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sz w:val="24"/>
          <w:szCs w:val="24"/>
        </w:rPr>
        <w:t>«____» ___________ 2026г.</w:t>
      </w:r>
    </w:p>
    <w:p>
      <w:pPr>
        <w:pStyle w:val="Normal"/>
        <w:keepNext w:val="true"/>
        <w:keepLines/>
        <w:jc w:val="right"/>
        <w:rPr>
          <w:bCs/>
          <w:sz w:val="26"/>
          <w:szCs w:val="26"/>
        </w:rPr>
      </w:pPr>
      <w:r>
        <w:rPr>
          <w:bCs/>
          <w:sz w:val="26"/>
          <w:szCs w:val="26"/>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jc w:val="center"/>
        <w:rPr>
          <w:b w:val="false"/>
          <w:bCs w:val="false"/>
        </w:rPr>
      </w:pPr>
      <w:r>
        <w:rPr>
          <w:rFonts w:eastAsia="Calibri"/>
          <w:b w:val="false"/>
          <w:bCs w:val="false"/>
          <w:kern w:val="0"/>
          <w:szCs w:val="24"/>
          <w:lang w:val="ru-RU" w:bidi="ar-SA"/>
        </w:rPr>
        <w:t>ОКПД 2: 86.10.19.000 Услуги по проведению периодических медицинских осмотров г. Билибино для нужд Камчатского филиала АО "ТК РусГидро"</w:t>
      </w:r>
    </w:p>
    <w:p>
      <w:pPr>
        <w:pStyle w:val="Normal"/>
        <w:jc w:val="center"/>
        <w:rPr>
          <w:rFonts w:eastAsia="Calibri"/>
          <w:b/>
          <w:szCs w:val="24"/>
        </w:rPr>
      </w:pPr>
      <w:r>
        <w:rPr>
          <w:rFonts w:eastAsia="Calibri"/>
          <w:b/>
          <w:szCs w:val="24"/>
        </w:rPr>
      </w:r>
    </w:p>
    <w:p>
      <w:pPr>
        <w:pStyle w:val="Normal"/>
        <w:keepNext w:val="true"/>
        <w:keepLines/>
        <w:jc w:val="center"/>
        <w:rPr>
          <w:rFonts w:eastAsia="Calibri"/>
          <w:b/>
          <w:i/>
          <w:i/>
          <w:sz w:val="26"/>
          <w:szCs w:val="26"/>
        </w:rPr>
      </w:pPr>
      <w:r>
        <w:rPr>
          <w:rFonts w:eastAsia="Calibri"/>
          <w:b/>
          <w:sz w:val="26"/>
          <w:szCs w:val="26"/>
        </w:rPr>
        <w:t>Лот № 2079-ЭКСП ПРОД-202</w:t>
      </w:r>
      <w:r>
        <w:rPr>
          <w:rFonts w:eastAsia="Calibri"/>
          <w:b/>
          <w:sz w:val="26"/>
          <w:szCs w:val="26"/>
        </w:rPr>
        <w:t>7</w:t>
      </w:r>
      <w:r>
        <w:rPr>
          <w:rFonts w:eastAsia="Calibri"/>
          <w:b/>
          <w:sz w:val="26"/>
          <w:szCs w:val="26"/>
        </w:rPr>
        <w:t>-ТК-КФ</w:t>
      </w:r>
    </w:p>
    <w:p>
      <w:pPr>
        <w:pStyle w:val="Normal"/>
        <w:keepNext w:val="true"/>
        <w:keepLines/>
        <w:jc w:val="both"/>
        <w:rPr>
          <w:sz w:val="26"/>
          <w:szCs w:val="26"/>
        </w:rPr>
      </w:pPr>
      <w:r>
        <w:rPr>
          <w:sz w:val="26"/>
          <w:szCs w:val="26"/>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t>1.</w:t>
        <w:tab/>
        <w:t>Общие сведения</w:t>
      </w:r>
      <w:r>
        <w:rPr>
          <w:b w:val="false"/>
        </w:rPr>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TOC1"/>
        <w:tabs>
          <w:tab w:val="clear" w:pos="708"/>
          <w:tab w:val="left" w:pos="560" w:leader="none"/>
          <w:tab w:val="right" w:pos="9911" w:leader="dot"/>
        </w:tabs>
        <w:spacing w:before="0" w:after="0"/>
        <w:rPr>
          <w:b w:val="false"/>
        </w:rPr>
      </w:pPr>
      <w:r>
        <w:rPr>
          <w:b w:val="false"/>
        </w:rPr>
        <w:t>1.3.</w:t>
        <w:tab/>
        <w:t>Цель оказания услуг</w:t>
        <w:tab/>
        <w:t>5</w:t>
      </w:r>
    </w:p>
    <w:p>
      <w:pPr>
        <w:pStyle w:val="TOC1"/>
        <w:tabs>
          <w:tab w:val="clear" w:pos="708"/>
          <w:tab w:val="left" w:pos="560" w:leader="none"/>
          <w:tab w:val="right" w:pos="9911" w:leader="dot"/>
        </w:tabs>
        <w:spacing w:before="0" w:after="0"/>
        <w:rPr>
          <w:b w:val="false"/>
        </w:rPr>
      </w:pPr>
      <w:r>
        <w:rPr>
          <w:b w:val="false"/>
        </w:rPr>
        <w:t>1.4.</w:t>
        <w:tab/>
        <w:t>Существующее положение</w:t>
        <w:tab/>
        <w:t>5</w:t>
      </w:r>
    </w:p>
    <w:p>
      <w:pPr>
        <w:pStyle w:val="TOC1"/>
        <w:tabs>
          <w:tab w:val="clear" w:pos="708"/>
          <w:tab w:val="left" w:pos="560" w:leader="none"/>
          <w:tab w:val="right" w:pos="9911" w:leader="dot"/>
        </w:tabs>
        <w:spacing w:before="0" w:after="0"/>
        <w:rPr>
          <w:b w:val="false"/>
        </w:rPr>
      </w:pPr>
      <w:r>
        <w:rPr/>
        <w:t>Таблица 1. Перечень объектов заказчика</w:t>
      </w:r>
      <w:r>
        <w:rPr>
          <w:b w:val="false"/>
        </w:rPr>
        <w:tab/>
        <w:t>5</w:t>
      </w:r>
    </w:p>
    <w:p>
      <w:pPr>
        <w:pStyle w:val="TOC1"/>
        <w:tabs>
          <w:tab w:val="clear" w:pos="708"/>
          <w:tab w:val="left" w:pos="560" w:leader="none"/>
          <w:tab w:val="right" w:pos="9911" w:leader="dot"/>
        </w:tabs>
        <w:spacing w:before="0" w:after="0"/>
        <w:rPr>
          <w:b w:val="false"/>
        </w:rPr>
      </w:pPr>
      <w:r>
        <w:rPr/>
        <w:t>2.</w:t>
        <w:tab/>
        <w:t>Требования к продукции</w:t>
      </w:r>
      <w:r>
        <w:rPr>
          <w:b w:val="false"/>
        </w:rPr>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t>Таблица 2. Перечень и объем оказываемых услуг</w:t>
      </w:r>
      <w:r>
        <w:rPr>
          <w:b w:val="false"/>
        </w:rPr>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t>Таблица 3. Требования к срокам оказания услуг</w:t>
      </w:r>
      <w:r>
        <w:rPr>
          <w:b w:val="false"/>
        </w:rPr>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продукции</w:t>
        <w:tab/>
        <w:t>6</w:t>
      </w:r>
    </w:p>
    <w:p>
      <w:pPr>
        <w:pStyle w:val="TOC1"/>
        <w:tabs>
          <w:tab w:val="clear" w:pos="708"/>
          <w:tab w:val="left" w:pos="560" w:leader="none"/>
          <w:tab w:val="right" w:pos="9911" w:leader="dot"/>
        </w:tabs>
        <w:spacing w:before="0" w:after="0"/>
        <w:rPr/>
      </w:pPr>
      <w:r>
        <w:rPr/>
        <w:t>Таблица 4. Требования к качеству продукции</w:t>
        <w:tab/>
        <w:t>7</w:t>
      </w:r>
    </w:p>
    <w:p>
      <w:pPr>
        <w:pStyle w:val="TOC1"/>
        <w:tabs>
          <w:tab w:val="clear" w:pos="708"/>
          <w:tab w:val="left" w:pos="560" w:leader="none"/>
          <w:tab w:val="right" w:pos="9911" w:leader="dot"/>
        </w:tabs>
        <w:spacing w:before="0" w:after="0"/>
        <w:rPr/>
      </w:pPr>
      <w:r>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pPr>
      <w:r>
        <w:rPr/>
        <w:t>4.</w:t>
        <w:tab/>
        <w:t>Требования к документации по ценообразованию на этапе заключения (исполнения) договора</w:t>
        <w:tab/>
        <w:t>11</w:t>
      </w:r>
    </w:p>
    <w:p>
      <w:pPr>
        <w:pStyle w:val="TOC1"/>
        <w:tabs>
          <w:tab w:val="clear" w:pos="708"/>
          <w:tab w:val="left" w:pos="560" w:leader="none"/>
          <w:tab w:val="right" w:pos="9911" w:leader="dot"/>
        </w:tabs>
        <w:spacing w:before="0" w:after="0"/>
        <w:rPr/>
      </w:pPr>
      <w:r>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54643695"/>
      <w:bookmarkStart w:id="2" w:name="_Toc46743505"/>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действующей редакции)</w:t>
            </w:r>
          </w:p>
        </w:tc>
      </w:tr>
    </w:tbl>
    <w:p>
      <w:pPr>
        <w:pStyle w:val="Normal"/>
        <w:keepNext w:val="true"/>
        <w:keepLines/>
        <w:jc w:val="both"/>
        <w:rPr>
          <w:sz w:val="24"/>
          <w:szCs w:val="24"/>
        </w:rPr>
      </w:pPr>
      <w:r>
        <w:rPr>
          <w:sz w:val="24"/>
          <w:szCs w:val="24"/>
        </w:rPr>
      </w:r>
    </w:p>
    <w:p>
      <w:pPr>
        <w:pStyle w:val="Heading4"/>
        <w:numPr>
          <w:ilvl w:val="1"/>
          <w:numId w:val="3"/>
        </w:numPr>
        <w:rPr/>
      </w:pPr>
      <w:bookmarkStart w:id="3" w:name="_Toc46743506"/>
      <w:bookmarkStart w:id="4" w:name="_Toc54643696"/>
      <w:r>
        <w:rPr/>
        <w:t>Наименование закупаемой продукции</w:t>
      </w:r>
      <w:bookmarkEnd w:id="3"/>
      <w:bookmarkEnd w:id="4"/>
    </w:p>
    <w:p>
      <w:pPr>
        <w:pStyle w:val="Normal"/>
        <w:widowControl w:val="false"/>
        <w:tabs>
          <w:tab w:val="clear" w:pos="708"/>
          <w:tab w:val="left" w:pos="426" w:leader="none"/>
        </w:tabs>
        <w:spacing w:before="120" w:after="120"/>
        <w:rPr>
          <w:rFonts w:eastAsia="Calibri"/>
          <w:b/>
          <w:bCs/>
          <w:sz w:val="24"/>
          <w:szCs w:val="24"/>
          <w:lang w:eastAsia="x-none"/>
        </w:rPr>
      </w:pPr>
      <w:r>
        <w:rPr>
          <w:rFonts w:eastAsia="Calibri"/>
          <w:b w:val="false"/>
          <w:bCs w:val="false"/>
          <w:i w:val="false"/>
          <w:iCs w:val="false"/>
          <w:kern w:val="0"/>
          <w:sz w:val="24"/>
          <w:szCs w:val="24"/>
          <w:lang w:val="ru-RU" w:eastAsia="x-none" w:bidi="ar-SA"/>
        </w:rPr>
        <w:t>ОКПД 2: 86.10.19.000 Услуги по проведению периодических медицинских осмотров г. Билибино для нужд Камчатского филиала АО "ТК РусГидро"</w:t>
      </w:r>
      <w:r>
        <w:rPr>
          <w:rFonts w:eastAsia="Calibri"/>
          <w:sz w:val="24"/>
          <w:szCs w:val="24"/>
          <w:lang w:eastAsia="x-none"/>
        </w:rPr>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Normal"/>
        <w:widowControl w:val="false"/>
        <w:tabs>
          <w:tab w:val="clear" w:pos="708"/>
          <w:tab w:val="left" w:pos="426" w:leader="none"/>
        </w:tabs>
        <w:spacing w:before="120" w:after="120"/>
        <w:jc w:val="both"/>
        <w:rPr>
          <w:b/>
          <w:bCs/>
        </w:rPr>
      </w:pPr>
      <w:r>
        <w:rPr>
          <w:rFonts w:eastAsia="Calibri"/>
          <w:b/>
          <w:bCs/>
          <w:sz w:val="24"/>
          <w:szCs w:val="24"/>
          <w:lang w:eastAsia="x-none"/>
        </w:rPr>
        <w:t>1.4. Существующее положение</w:t>
      </w:r>
    </w:p>
    <w:p>
      <w:pPr>
        <w:pStyle w:val="Heading1"/>
        <w:keepLines/>
        <w:tabs>
          <w:tab w:val="clear" w:pos="0"/>
        </w:tabs>
        <w:spacing w:before="240" w:after="60"/>
        <w:ind w:left="0" w:hanging="0"/>
        <w:rPr>
          <w:sz w:val="24"/>
          <w:szCs w:val="24"/>
          <w:lang w:val="ru-RU"/>
        </w:rPr>
      </w:pPr>
      <w:bookmarkStart w:id="5" w:name="_Toc54643699"/>
      <w:bookmarkStart w:id="6" w:name="_Toc46743507_Копия_1"/>
      <w:bookmarkEnd w:id="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5"/>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37"/>
        <w:gridCol w:w="2151"/>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Периодические медицинские осмотры работников Камчатского филиала АО «ТК РусГидро»</w:t>
            </w:r>
          </w:p>
        </w:tc>
        <w:tc>
          <w:tcPr>
            <w:tcW w:w="21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По месту нахождения Исполнителя в г. Билибино Чукотский автономный округ</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7" w:name="_Toc50125126"/>
      <w:bookmarkStart w:id="8" w:name="_Toc50125126"/>
      <w:bookmarkEnd w:id="8"/>
    </w:p>
    <w:p>
      <w:pPr>
        <w:pStyle w:val="Heading1"/>
        <w:keepLines/>
        <w:numPr>
          <w:ilvl w:val="0"/>
          <w:numId w:val="3"/>
        </w:numPr>
        <w:ind w:left="357" w:hanging="357"/>
        <w:jc w:val="center"/>
        <w:rPr>
          <w:iCs/>
          <w:caps/>
          <w:lang w:val="ru-RU"/>
        </w:rPr>
      </w:pPr>
      <w:bookmarkStart w:id="9" w:name="_Toc51339693"/>
      <w:bookmarkStart w:id="10" w:name="_Toc54643702"/>
      <w:r>
        <w:rPr>
          <w:iCs/>
          <w:lang w:val="ru-RU"/>
        </w:rPr>
        <w:t>Требования</w:t>
      </w:r>
      <w:r>
        <w:rPr>
          <w:iCs/>
        </w:rPr>
        <w:t xml:space="preserve"> к продукции</w:t>
      </w:r>
      <w:bookmarkEnd w:id="9"/>
      <w:bookmarkEnd w:id="10"/>
    </w:p>
    <w:p>
      <w:pPr>
        <w:pStyle w:val="Heading4"/>
        <w:numPr>
          <w:ilvl w:val="1"/>
          <w:numId w:val="3"/>
        </w:numPr>
        <w:ind w:left="0" w:hanging="0"/>
        <w:rPr/>
      </w:pPr>
      <w:bookmarkStart w:id="11" w:name="_Toc54643703"/>
      <w:r>
        <w:rPr/>
        <w:t xml:space="preserve">Требования к объемам и срокам </w:t>
      </w:r>
      <w:r>
        <w:rPr>
          <w:lang w:val="ru-RU"/>
        </w:rPr>
        <w:t>оказания услуг</w:t>
      </w:r>
      <w:bookmarkEnd w:id="11"/>
    </w:p>
    <w:p>
      <w:pPr>
        <w:pStyle w:val="Heading3"/>
        <w:numPr>
          <w:ilvl w:val="2"/>
          <w:numId w:val="3"/>
        </w:numPr>
        <w:ind w:left="0" w:hanging="0"/>
        <w:rPr/>
      </w:pPr>
      <w:bookmarkStart w:id="12" w:name="_Toc54643704"/>
      <w:r>
        <w:rPr>
          <w:lang w:val="ru-RU"/>
        </w:rPr>
        <w:t>Требования к перечню и объему услуг</w:t>
      </w:r>
      <w:bookmarkEnd w:id="12"/>
    </w:p>
    <w:p>
      <w:pPr>
        <w:pStyle w:val="Heading1"/>
        <w:keepLines/>
        <w:tabs>
          <w:tab w:val="clear" w:pos="0"/>
        </w:tabs>
        <w:spacing w:before="240" w:after="60"/>
        <w:ind w:left="0" w:hanging="0"/>
        <w:rPr>
          <w:sz w:val="24"/>
          <w:szCs w:val="24"/>
          <w:lang w:val="ru-RU"/>
        </w:rPr>
      </w:pPr>
      <w:bookmarkStart w:id="13" w:name="_Toc54643705"/>
      <w:bookmarkStart w:id="14"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4"/>
      <w:r>
        <w:rPr>
          <w:sz w:val="24"/>
          <w:szCs w:val="24"/>
          <w:lang w:val="ru-RU"/>
        </w:rPr>
        <w:t>и объем оказываемых услуг</w:t>
      </w:r>
      <w:bookmarkEnd w:id="13"/>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3</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3</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5" w:name="_Toc54643706"/>
      <w:bookmarkStart w:id="16" w:name="_Toc51339696"/>
      <w:r>
        <w:rPr>
          <w:lang w:val="ru-RU"/>
        </w:rPr>
        <w:t xml:space="preserve">Требования </w:t>
      </w:r>
      <w:bookmarkEnd w:id="16"/>
      <w:r>
        <w:rPr>
          <w:lang w:val="ru-RU"/>
        </w:rPr>
        <w:t>к срокам оказания услуг</w:t>
      </w:r>
      <w:bookmarkEnd w:id="15"/>
    </w:p>
    <w:p>
      <w:pPr>
        <w:pStyle w:val="Heading1"/>
        <w:keepLines/>
        <w:tabs>
          <w:tab w:val="clear" w:pos="0"/>
        </w:tabs>
        <w:spacing w:before="240" w:after="60"/>
        <w:ind w:left="0" w:hanging="0"/>
        <w:rPr>
          <w:sz w:val="24"/>
          <w:szCs w:val="24"/>
          <w:lang w:val="ru-RU"/>
        </w:rPr>
      </w:pPr>
      <w:bookmarkStart w:id="17" w:name="_Toc54643707"/>
      <w:bookmarkStart w:id="18" w:name="_Toc50125127"/>
      <w:bookmarkStart w:id="19" w:name="_Toc51339697"/>
      <w:bookmarkStart w:id="20" w:name="_Toc50125126_Копия_1"/>
      <w:bookmarkEnd w:id="20"/>
      <w:r>
        <w:rPr>
          <w:sz w:val="24"/>
          <w:szCs w:val="24"/>
        </w:rPr>
        <w:t xml:space="preserve">Таблица </w:t>
      </w:r>
      <w:r>
        <w:rPr>
          <w:sz w:val="24"/>
          <w:szCs w:val="24"/>
          <w:lang w:val="ru-RU"/>
        </w:rPr>
        <w:t>3</w:t>
      </w:r>
      <w:r>
        <w:rPr>
          <w:sz w:val="24"/>
          <w:szCs w:val="24"/>
        </w:rPr>
        <w:t xml:space="preserve">. </w:t>
      </w:r>
      <w:bookmarkStart w:id="21" w:name="_Hlk50465284"/>
      <w:r>
        <w:rPr>
          <w:sz w:val="24"/>
          <w:szCs w:val="24"/>
        </w:rPr>
        <w:t xml:space="preserve">Требования </w:t>
      </w:r>
      <w:r>
        <w:rPr>
          <w:sz w:val="24"/>
          <w:szCs w:val="24"/>
          <w:lang w:val="ru-RU"/>
        </w:rPr>
        <w:t>к</w:t>
      </w:r>
      <w:r>
        <w:rPr>
          <w:sz w:val="24"/>
          <w:szCs w:val="24"/>
        </w:rPr>
        <w:t xml:space="preserve"> срокам </w:t>
      </w:r>
      <w:bookmarkEnd w:id="18"/>
      <w:bookmarkEnd w:id="19"/>
      <w:bookmarkEnd w:id="21"/>
      <w:r>
        <w:rPr>
          <w:sz w:val="24"/>
          <w:szCs w:val="24"/>
          <w:lang w:val="ru-RU"/>
        </w:rPr>
        <w:t>оказания услуг</w:t>
      </w:r>
      <w:bookmarkEnd w:id="17"/>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8"/>
        <w:gridCol w:w="3107"/>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0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2" w:name="_Toc46743510"/>
            <w:r>
              <w:rPr>
                <w:b/>
                <w:sz w:val="24"/>
                <w:szCs w:val="24"/>
              </w:rPr>
              <w:t>4</w:t>
            </w:r>
            <w:bookmarkEnd w:id="22"/>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4"/>
                <w:szCs w:val="24"/>
              </w:rPr>
            </w:pPr>
            <w:r>
              <w:rPr>
                <w:sz w:val="24"/>
                <w:szCs w:val="24"/>
              </w:rPr>
            </w:r>
          </w:p>
          <w:p>
            <w:pPr>
              <w:pStyle w:val="Normal"/>
              <w:widowControl w:val="false"/>
              <w:jc w:val="left"/>
              <w:rPr/>
            </w:pPr>
            <w:r>
              <w:rPr>
                <w:sz w:val="24"/>
                <w:szCs w:val="24"/>
              </w:rPr>
              <w:t>С даты заключения договора</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sz w:val="24"/>
                <w:szCs w:val="24"/>
              </w:rPr>
              <w:t>До 31.08.202</w:t>
            </w:r>
            <w:r>
              <w:rPr>
                <w:sz w:val="24"/>
                <w:szCs w:val="24"/>
              </w:rPr>
              <w:t>7</w:t>
            </w:r>
            <w:r>
              <w:rPr>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3" w:name="_Toc54643709"/>
      <w:bookmarkStart w:id="24" w:name="_Toc51339698"/>
      <w:bookmarkStart w:id="25" w:name="_Toc54643708"/>
      <w:bookmarkStart w:id="26" w:name="_Toc46743511"/>
      <w:r>
        <w:rPr/>
        <w:t xml:space="preserve">Требования к </w:t>
      </w:r>
      <w:bookmarkEnd w:id="26"/>
      <w:r>
        <w:rPr>
          <w:lang w:val="ru-RU"/>
        </w:rPr>
        <w:t xml:space="preserve">качеству </w:t>
      </w:r>
      <w:bookmarkEnd w:id="25"/>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4"/>
      <w:r>
        <w:rPr>
          <w:sz w:val="24"/>
          <w:szCs w:val="24"/>
          <w:lang w:val="ru-RU"/>
        </w:rPr>
        <w:t xml:space="preserve">качеству </w:t>
      </w:r>
      <w:bookmarkEnd w:id="23"/>
      <w:r>
        <w:rPr>
          <w:sz w:val="24"/>
          <w:szCs w:val="24"/>
          <w:lang w:val="ru-RU"/>
        </w:rPr>
        <w:t>продукции</w:t>
      </w:r>
      <w:r>
        <w:rPr>
          <w:sz w:val="24"/>
          <w:szCs w:val="24"/>
        </w:rPr>
        <w:t xml:space="preserve"> </w:t>
      </w:r>
    </w:p>
    <w:p>
      <w:pPr>
        <w:pStyle w:val="Normal"/>
        <w:rPr>
          <w:rFonts w:eastAsia="Calibri"/>
          <w:sz w:val="24"/>
          <w:szCs w:val="24"/>
          <w:lang w:eastAsia="x-none"/>
        </w:rPr>
      </w:pPr>
      <w:r>
        <w:rPr>
          <w:b/>
          <w:bCs/>
          <w:sz w:val="24"/>
          <w:szCs w:val="24"/>
        </w:rPr>
        <w:t xml:space="preserve">Наименование услуг/этапа услуг (позиция № 1 Таблицы 2): </w:t>
      </w:r>
      <w:r>
        <w:rPr>
          <w:rFonts w:eastAsia="Calibri"/>
          <w:sz w:val="24"/>
          <w:szCs w:val="24"/>
          <w:lang w:eastAsia="x-none"/>
        </w:rPr>
        <w:t>Проведение периодического медицинского осмотра согласно</w:t>
      </w:r>
    </w:p>
    <w:p>
      <w:pPr>
        <w:pStyle w:val="Normal"/>
        <w:rPr>
          <w:i/>
          <w:i/>
          <w:iCs/>
          <w:shd w:fill="FFFF99" w:val="clear"/>
        </w:rPr>
      </w:pPr>
      <w:bookmarkStart w:id="27" w:name="_GoBack"/>
      <w:bookmarkEnd w:id="27"/>
      <w:r>
        <w:rPr>
          <w:rFonts w:eastAsia="Calibri"/>
          <w:sz w:val="24"/>
          <w:szCs w:val="24"/>
          <w:lang w:eastAsia="x-none"/>
        </w:rPr>
        <w:t>Приказа Минздрава России от 28.01.2021 N 29н.</w:t>
      </w:r>
    </w:p>
    <w:tbl>
      <w:tblPr>
        <w:tblStyle w:val="affff8"/>
        <w:tblW w:w="1263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1"/>
        <w:gridCol w:w="2779"/>
        <w:gridCol w:w="3550"/>
        <w:gridCol w:w="2506"/>
        <w:gridCol w:w="2762"/>
      </w:tblGrid>
      <w:tr>
        <w:trPr>
          <w:trHeight w:val="143" w:hRule="atLeast"/>
        </w:trPr>
        <w:tc>
          <w:tcPr>
            <w:tcW w:w="104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7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5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8"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rHeight w:val="143" w:hRule="atLeast"/>
        </w:trPr>
        <w:tc>
          <w:tcPr>
            <w:tcW w:w="104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77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5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rHeight w:val="143" w:hRule="atLeast"/>
        </w:trPr>
        <w:tc>
          <w:tcPr>
            <w:tcW w:w="1041" w:type="dxa"/>
            <w:tcBorders/>
            <w:vAlign w:val="center"/>
          </w:tcPr>
          <w:p>
            <w:pPr>
              <w:pStyle w:val="Normal"/>
              <w:widowControl w:val="false"/>
              <w:suppressAutoHyphens w:val="true"/>
              <w:spacing w:before="0" w:after="0"/>
              <w:jc w:val="center"/>
              <w:rPr>
                <w:b/>
                <w:bCs/>
                <w:sz w:val="24"/>
                <w:szCs w:val="24"/>
              </w:rPr>
            </w:pPr>
            <w:bookmarkStart w:id="28" w:name="_Toc53499667"/>
            <w:r>
              <w:rPr>
                <w:rFonts w:eastAsia="Times New Roman" w:cs="Times New Roman"/>
                <w:b/>
                <w:bCs/>
                <w:kern w:val="0"/>
                <w:sz w:val="24"/>
                <w:szCs w:val="24"/>
                <w:lang w:val="ru-RU" w:eastAsia="ru-RU" w:bidi="ar-SA"/>
              </w:rPr>
              <w:t>1</w:t>
            </w:r>
            <w:bookmarkEnd w:id="28"/>
          </w:p>
        </w:tc>
        <w:tc>
          <w:tcPr>
            <w:tcW w:w="277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5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6"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47"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79"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5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 (Постановление Правительства РФ от 01.06.2021 №852).</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6"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Проведение периодических медицинских осмотров на территории г. Билибино, Чукотского автономного округа</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 нахождения большой части рабочих мест или проживания работников Заказчика, Участник закупки должен осуществлять деятельность на территории г. Билибино, Чукотского автономного округа</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50"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3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6"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rHeight w:val="389"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70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201"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50"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336"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50"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r>
      <w:tr>
        <w:trPr>
          <w:trHeight w:val="9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515"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50"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11"/>
        </w:numPr>
        <w:jc w:val="both"/>
        <w:rPr/>
      </w:pPr>
      <w:bookmarkStart w:id="29" w:name="_Toc46743519"/>
      <w:bookmarkStart w:id="30" w:name="_Toc51339699"/>
      <w:bookmarkEnd w:id="29"/>
      <w:bookmarkEnd w:id="30"/>
      <w:r>
        <w:rPr>
          <w:sz w:val="24"/>
          <w:szCs w:val="24"/>
          <w:lang w:val="ru-RU"/>
        </w:rPr>
        <w:t xml:space="preserve">3. </w:t>
      </w:r>
      <w:bookmarkStart w:id="31" w:name="_Toc54643710"/>
      <w:bookmarkStart w:id="32" w:name="_Toc53393312"/>
      <w:bookmarkStart w:id="33" w:name="_Toc53395937"/>
      <w:r>
        <w:rPr>
          <w:sz w:val="24"/>
          <w:szCs w:val="24"/>
          <w:lang w:val="ru-RU"/>
        </w:rPr>
        <w:t>Требования к документации по ценообразованию</w:t>
      </w:r>
      <w:bookmarkEnd w:id="32"/>
      <w:bookmarkEnd w:id="33"/>
      <w:r>
        <w:rPr>
          <w:sz w:val="24"/>
          <w:szCs w:val="24"/>
          <w:lang w:val="ru-RU"/>
        </w:rPr>
        <w:t xml:space="preserve"> на этапе закупки</w:t>
      </w:r>
      <w:bookmarkEnd w:id="31"/>
    </w:p>
    <w:p>
      <w:pPr>
        <w:pStyle w:val="Normal"/>
        <w:numPr>
          <w:ilvl w:val="1"/>
          <w:numId w:val="11"/>
        </w:numPr>
        <w:suppressAutoHyphens w:val="false"/>
        <w:spacing w:before="60" w:after="0"/>
        <w:jc w:val="both"/>
        <w:rPr>
          <w:bCs/>
          <w:iCs/>
          <w:sz w:val="24"/>
          <w:szCs w:val="24"/>
          <w:lang w:eastAsia="x-none"/>
        </w:rPr>
      </w:pPr>
      <w:r>
        <w:rPr>
          <w:bCs/>
          <w:sz w:val="24"/>
          <w:szCs w:val="24"/>
        </w:rPr>
        <w:t xml:space="preserve"> </w:t>
      </w:r>
      <w:r>
        <w:rPr>
          <w:bCs/>
          <w:sz w:val="24"/>
          <w:szCs w:val="24"/>
        </w:rPr>
        <w:tab/>
      </w:r>
    </w:p>
    <w:p>
      <w:pPr>
        <w:pStyle w:val="Normal"/>
        <w:suppressAutoHyphens w:val="false"/>
        <w:spacing w:before="60" w:after="0"/>
        <w:jc w:val="both"/>
        <w:rPr>
          <w:bCs/>
          <w:iCs/>
          <w:sz w:val="24"/>
          <w:szCs w:val="24"/>
          <w:lang w:eastAsia="x-none"/>
        </w:rPr>
      </w:pPr>
      <w:r>
        <w:rPr>
          <w:bCs/>
          <w:sz w:val="24"/>
          <w:szCs w:val="24"/>
        </w:rPr>
        <w:t xml:space="preserve">3.1. </w:t>
      </w:r>
      <w:r>
        <w:rPr>
          <w:bCs/>
          <w:iCs/>
          <w:sz w:val="24"/>
          <w:szCs w:val="24"/>
          <w:lang w:eastAsia="x-none"/>
        </w:rPr>
        <w:t>В обоснование стоимости своей заявки Участник предоставляет Коммерческое предложение.</w:t>
      </w:r>
    </w:p>
    <w:p>
      <w:pPr>
        <w:pStyle w:val="ListParagraph"/>
        <w:numPr>
          <w:ilvl w:val="1"/>
          <w:numId w:val="11"/>
        </w:numPr>
        <w:jc w:val="both"/>
        <w:rPr>
          <w:rFonts w:eastAsia="Times New Roman"/>
          <w:iCs/>
          <w:lang w:eastAsia="x-none"/>
        </w:rPr>
      </w:pPr>
      <w:r>
        <w:rPr>
          <w:rFonts w:eastAsia="Times New Roman"/>
          <w:iCs/>
          <w:lang w:eastAsia="x-none"/>
        </w:rPr>
        <w:t xml:space="preserve">3.2. </w:t>
      </w:r>
      <w:bookmarkStart w:id="34" w:name="_Toc54281228"/>
      <w:bookmarkStart w:id="35" w:name="_Toc54643711"/>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34"/>
      <w:bookmarkEnd w:id="35"/>
    </w:p>
    <w:p>
      <w:pPr>
        <w:pStyle w:val="Normal"/>
        <w:numPr>
          <w:ilvl w:val="1"/>
          <w:numId w:val="11"/>
        </w:numPr>
        <w:suppressAutoHyphens w:val="false"/>
        <w:spacing w:before="60" w:after="0"/>
        <w:jc w:val="both"/>
        <w:rPr>
          <w:iCs/>
          <w:sz w:val="24"/>
          <w:szCs w:val="24"/>
          <w:lang w:eastAsia="x-none"/>
        </w:rPr>
      </w:pPr>
      <w:r>
        <w:rPr>
          <w:bCs/>
          <w:iCs/>
          <w:sz w:val="24"/>
          <w:szCs w:val="24"/>
          <w:lang w:eastAsia="x-none"/>
        </w:rPr>
        <w:t>3.3. Дополнительные документы по ценообразованию в состав заявки Участника не включаются.</w:t>
      </w:r>
    </w:p>
    <w:p>
      <w:pPr>
        <w:pStyle w:val="ListParagraph"/>
        <w:numPr>
          <w:ilvl w:val="1"/>
          <w:numId w:val="11"/>
        </w:numPr>
        <w:jc w:val="both"/>
        <w:rPr>
          <w:rFonts w:eastAsia="Times New Roman"/>
          <w:iCs/>
          <w:lang w:eastAsia="x-none"/>
        </w:rPr>
      </w:pPr>
      <w:r>
        <w:rPr>
          <w:rFonts w:eastAsia="Times New Roman"/>
          <w:iCs/>
          <w:lang w:eastAsia="x-none"/>
        </w:rPr>
      </w:r>
    </w:p>
    <w:p>
      <w:pPr>
        <w:pStyle w:val="Normal"/>
        <w:suppressAutoHyphens w:val="false"/>
        <w:spacing w:before="60" w:after="0"/>
        <w:ind w:left="720" w:hanging="0"/>
        <w:jc w:val="both"/>
        <w:rPr>
          <w:iCs/>
          <w:sz w:val="24"/>
          <w:szCs w:val="24"/>
          <w:lang w:eastAsia="x-none"/>
        </w:rPr>
      </w:pPr>
      <w:r>
        <w:rPr>
          <w:iCs/>
          <w:sz w:val="24"/>
          <w:szCs w:val="24"/>
          <w:lang w:eastAsia="x-none"/>
        </w:rPr>
      </w:r>
    </w:p>
    <w:p>
      <w:pPr>
        <w:pStyle w:val="Normal"/>
        <w:suppressAutoHyphens w:val="false"/>
        <w:spacing w:before="0" w:after="120"/>
        <w:jc w:val="both"/>
        <w:rPr>
          <w:b/>
          <w:bCs/>
          <w:iCs/>
          <w:sz w:val="24"/>
          <w:szCs w:val="24"/>
          <w:lang w:val="x-none" w:eastAsia="x-none"/>
        </w:rPr>
      </w:pPr>
      <w:r>
        <w:rPr>
          <w:b/>
          <w:bCs/>
          <w:iCs/>
          <w:sz w:val="24"/>
          <w:szCs w:val="24"/>
          <w:lang w:eastAsia="x-none"/>
        </w:rPr>
        <w:t xml:space="preserve">4. Требования к документации по ценообразованию на этапе заключения (исполнения) договора. </w:t>
      </w:r>
    </w:p>
    <w:p>
      <w:pPr>
        <w:pStyle w:val="Normal"/>
        <w:suppressAutoHyphens w:val="false"/>
        <w:spacing w:before="0" w:after="12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Heading1"/>
        <w:keepLines/>
        <w:tabs>
          <w:tab w:val="clear" w:pos="0"/>
        </w:tabs>
        <w:ind w:left="357" w:hanging="0"/>
        <w:rPr>
          <w:sz w:val="24"/>
          <w:szCs w:val="24"/>
        </w:rPr>
      </w:pPr>
      <w:r>
        <w:rPr>
          <w:sz w:val="24"/>
          <w:szCs w:val="24"/>
        </w:rPr>
      </w:r>
    </w:p>
    <w:p>
      <w:pPr>
        <w:pStyle w:val="Heading1"/>
        <w:keepLines/>
        <w:tabs>
          <w:tab w:val="clear" w:pos="0"/>
        </w:tabs>
        <w:ind w:left="357" w:hanging="0"/>
        <w:rPr>
          <w:sz w:val="24"/>
          <w:szCs w:val="24"/>
        </w:rPr>
      </w:pPr>
      <w:r>
        <w:rPr>
          <w:sz w:val="24"/>
          <w:szCs w:val="24"/>
        </w:rPr>
      </w:r>
    </w:p>
    <w:p>
      <w:pPr>
        <w:pStyle w:val="Normal"/>
        <w:ind w:left="357" w:hanging="0"/>
        <w:rPr>
          <w:sz w:val="24"/>
          <w:szCs w:val="24"/>
        </w:rPr>
      </w:pPr>
      <w:r>
        <w:rPr>
          <w:sz w:val="24"/>
          <w:szCs w:val="24"/>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 w:val="24"/>
          <w:szCs w:val="24"/>
        </w:rPr>
      </w:pPr>
      <w:r>
        <w:rPr>
          <w:bCs/>
          <w:iCs/>
          <w:sz w:val="24"/>
          <w:szCs w:val="24"/>
          <w:lang w:val="x-none" w:eastAsia="x-none"/>
        </w:rPr>
        <w:t>Камчатского филиала АО "ТК РусГидро"                                                                     Е.А. Грицких</w:t>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ListParagraph"/>
        <w:ind w:left="5038" w:hanging="0"/>
        <w:rPr>
          <w:rStyle w:val="Style8"/>
          <w:b w:val="false"/>
          <w:i w:val="false"/>
          <w:i w:val="false"/>
          <w:sz w:val="26"/>
          <w:szCs w:val="26"/>
          <w:shd w:fill="auto" w:val="clear"/>
        </w:rPr>
      </w:pPr>
      <w:r>
        <w:rPr>
          <w:b w:val="false"/>
          <w:i w:val="false"/>
          <w:sz w:val="26"/>
          <w:szCs w:val="26"/>
          <w:shd w:fill="auto" w:val="clear"/>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i/>
      <w:iCs/>
      <w:sz w:val="24"/>
      <w:szCs w:val="24"/>
    </w:rPr>
  </w:style>
  <w:style w:type="paragraph" w:styleId="Indexheading11111111" w:customStyle="1">
    <w:name w:val="index heading11111111"/>
    <w:basedOn w:val="Title"/>
    <w:qFormat/>
    <w:pPr/>
    <w:rPr/>
  </w:style>
  <w:style w:type="paragraph" w:styleId="Caption111111111" w:customStyle="1">
    <w:name w:val="caption111111111"/>
    <w:basedOn w:val="Normal"/>
    <w:qFormat/>
    <w:pPr>
      <w:suppressLineNumbers/>
      <w:spacing w:before="120" w:after="120"/>
    </w:pPr>
    <w:rPr>
      <w:i/>
      <w:iCs/>
      <w:sz w:val="24"/>
      <w:szCs w:val="24"/>
    </w:rPr>
  </w:style>
  <w:style w:type="paragraph" w:styleId="Indexheading111111111" w:customStyle="1">
    <w:name w:val="index heading111111111"/>
    <w:basedOn w:val="Title"/>
    <w:qFormat/>
    <w:pPr/>
    <w:rPr/>
  </w:style>
  <w:style w:type="paragraph" w:styleId="Caption1111111111" w:customStyle="1">
    <w:name w:val="caption1111111111"/>
    <w:basedOn w:val="Normal"/>
    <w:qFormat/>
    <w:pPr>
      <w:suppressLineNumbers/>
      <w:spacing w:before="120" w:after="120"/>
    </w:pPr>
    <w:rPr>
      <w:i/>
      <w:iCs/>
      <w:sz w:val="24"/>
      <w:szCs w:val="24"/>
    </w:rPr>
  </w:style>
  <w:style w:type="paragraph" w:styleId="Indexheading1111111111" w:customStyle="1">
    <w:name w:val="index heading111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111" w:customStyle="1">
    <w:name w:val="caption111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6E51-33C9-42B4-9ED0-9B62F24E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Application>AlterOffice/3.4.0.9$Linux_X86_64 LibreOffice_project/b8daf9e823b1a5463a2f48435ddc2e8696e7d4fc</Application>
  <AppVersion>15.0000</AppVersion>
  <Pages>12</Pages>
  <Words>1492</Words>
  <Characters>10184</Characters>
  <CharactersWithSpaces>11499</CharactersWithSpaces>
  <Paragraphs>263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2026-03-26T08:56:00Z</cp:lastPrinted>
  <dcterms:modified xsi:type="dcterms:W3CDTF">2026-06-17T18:21:43Z</dcterms:modified>
  <cp:revision>52</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