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header3.xml" ContentType="application/vnd.openxmlformats-officedocument.wordprocessingml.header+xml"/>
  <Override PartName="/word/_rels/document.xml.rels" ContentType="application/vnd.openxmlformats-package.relationships+xml"/>
  <Override PartName="/word/header2.xml" ContentType="application/vnd.openxmlformats-officedocument.wordprocessingml.header+xml"/>
  <Override PartName="/word/header1.xml" ContentType="application/vnd.openxmlformats-officedocument.wordprocessingml.header+xml"/>
  <Override PartName="/word/numbering.xml" ContentType="application/vnd.openxmlformats-officedocument.wordprocessingml.numbering+xml"/>
  <Override PartName="/word/header4.xml" ContentType="application/vnd.openxmlformats-officedocument.wordprocessingml.header+xml"/>
  <Override PartName="/word/styles.xml" ContentType="application/vnd.openxmlformats-officedocument.wordprocessingml.styles+xml"/>
  <Override PartName="/word/fontTable.xml" ContentType="application/vnd.openxmlformats-officedocument.wordprocessingml.fontTable+xml"/>
  <Override PartName="/word/document.xml" ContentType="application/vnd.openxmlformats-officedocument.wordprocessingml.document.main+xml"/>
  <Override PartName="/word/settings.xml" ContentType="application/vnd.openxmlformats-officedocument.wordprocessingml.settings+xml"/>
  <Override PartName="/word/theme/theme1.xml" ContentType="application/vnd.openxmlformats-officedocument.theme+xml"/>
  <Override PartName="/word/header7.xml" ContentType="application/vnd.openxmlformats-officedocument.wordprocessingml.header+xml"/>
  <Override PartName="/word/header6.xml" ContentType="application/vnd.openxmlformats-officedocument.wordprocessingml.header+xml"/>
  <Override PartName="/word/header5.xml" ContentType="application/vnd.openxmlformats-officedocument.wordprocessingml.header+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keepNext w:val="true"/>
        <w:keepLines/>
        <w:jc w:val="right"/>
        <w:rPr>
          <w:bCs/>
          <w:sz w:val="26"/>
          <w:szCs w:val="26"/>
        </w:rPr>
      </w:pPr>
      <w:r>
        <w:rPr>
          <w:bCs/>
          <w:sz w:val="26"/>
          <w:szCs w:val="26"/>
        </w:rPr>
        <w:t>Приложение №1 к ДоЗ</w:t>
      </w:r>
    </w:p>
    <w:p>
      <w:pPr>
        <w:pStyle w:val="Normal"/>
        <w:keepNext w:val="true"/>
        <w:keepLines/>
        <w:jc w:val="right"/>
        <w:rPr>
          <w:b/>
          <w:bCs/>
          <w:sz w:val="26"/>
          <w:szCs w:val="26"/>
        </w:rPr>
      </w:pPr>
      <w:r>
        <w:rPr>
          <w:b/>
          <w:bCs/>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jc w:val="center"/>
        <w:rPr>
          <w:rFonts w:eastAsia="Calibri"/>
          <w:b/>
          <w:sz w:val="26"/>
          <w:szCs w:val="26"/>
        </w:rPr>
      </w:pPr>
      <w:r>
        <w:rPr>
          <w:rFonts w:eastAsia="Calibri"/>
          <w:b/>
          <w:sz w:val="26"/>
          <w:szCs w:val="26"/>
        </w:rPr>
        <w:t>Технические требования на оказание услуг</w:t>
      </w:r>
    </w:p>
    <w:p>
      <w:pPr>
        <w:pStyle w:val="Normal"/>
        <w:keepNext w:val="true"/>
        <w:keepLines/>
        <w:jc w:val="center"/>
        <w:rPr>
          <w:rFonts w:eastAsia="Calibri"/>
          <w:b/>
          <w:sz w:val="26"/>
          <w:szCs w:val="26"/>
        </w:rPr>
      </w:pPr>
      <w:r>
        <w:rPr>
          <w:rFonts w:eastAsia="Calibri"/>
          <w:b/>
          <w:sz w:val="26"/>
          <w:szCs w:val="26"/>
        </w:rPr>
      </w:r>
    </w:p>
    <w:p>
      <w:pPr>
        <w:pStyle w:val="Normal"/>
        <w:keepNext w:val="true"/>
        <w:keepLines/>
        <w:jc w:val="center"/>
        <w:rPr>
          <w:rFonts w:eastAsia="Calibri"/>
          <w:b/>
          <w:sz w:val="26"/>
          <w:szCs w:val="26"/>
        </w:rPr>
      </w:pPr>
      <w:r>
        <w:rPr>
          <w:rFonts w:eastAsia="Calibri"/>
          <w:b/>
          <w:sz w:val="26"/>
          <w:szCs w:val="26"/>
        </w:rPr>
      </w:r>
    </w:p>
    <w:p>
      <w:pPr>
        <w:pStyle w:val="ListParagraph"/>
        <w:ind w:left="0" w:hanging="0"/>
        <w:jc w:val="center"/>
        <w:rPr>
          <w:sz w:val="28"/>
          <w:szCs w:val="28"/>
        </w:rPr>
      </w:pPr>
      <w:r>
        <w:rPr>
          <w:sz w:val="28"/>
          <w:szCs w:val="28"/>
        </w:rPr>
        <w:t>ОКПД 2: 86.10.19.000 Проведение периодических медицинских осмотров г. Петропавловск-Камчатский для нужд Камчатского филиала АО "ТК РусГидро"</w:t>
      </w:r>
    </w:p>
    <w:p>
      <w:pPr>
        <w:pStyle w:val="ListParagraph"/>
        <w:ind w:left="0" w:hanging="0"/>
        <w:jc w:val="center"/>
        <w:rPr/>
      </w:pPr>
      <w:r>
        <w:rPr/>
      </w:r>
    </w:p>
    <w:p>
      <w:pPr>
        <w:pStyle w:val="Normal"/>
        <w:keepNext w:val="true"/>
        <w:keepLines/>
        <w:jc w:val="center"/>
        <w:rPr/>
      </w:pPr>
      <w:r>
        <w:rPr>
          <w:rFonts w:eastAsia="Calibri"/>
          <w:sz w:val="26"/>
          <w:szCs w:val="26"/>
        </w:rPr>
        <w:t xml:space="preserve">Лот № </w:t>
      </w:r>
      <w:r>
        <w:rPr/>
        <w:t>2080-ЭКСП ПРОД-202</w:t>
      </w:r>
      <w:r>
        <w:rPr/>
        <w:t>7</w:t>
      </w:r>
      <w:r>
        <w:rPr/>
        <w:t>-ТК-КФ</w:t>
      </w:r>
    </w:p>
    <w:p>
      <w:pPr>
        <w:pStyle w:val="Normal"/>
        <w:keepNext w:val="true"/>
        <w:keepLines/>
        <w:jc w:val="center"/>
        <w:rPr>
          <w:rFonts w:eastAsia="Calibri"/>
          <w:b/>
          <w:i/>
          <w:i/>
          <w:sz w:val="26"/>
          <w:szCs w:val="26"/>
        </w:rPr>
      </w:pPr>
      <w:r>
        <w:rPr>
          <w:rFonts w:eastAsia="Calibri"/>
          <w:b/>
          <w:i/>
          <w:sz w:val="26"/>
          <w:szCs w:val="26"/>
        </w:rPr>
      </w:r>
    </w:p>
    <w:p>
      <w:pPr>
        <w:pStyle w:val="Normal"/>
        <w:keepNext w:val="true"/>
        <w:keepLines/>
        <w:jc w:val="both"/>
        <w:rPr>
          <w:sz w:val="26"/>
          <w:szCs w:val="26"/>
        </w:rPr>
      </w:pPr>
      <w:r>
        <w:rPr>
          <w:sz w:val="26"/>
          <w:szCs w:val="26"/>
        </w:rPr>
      </w:r>
    </w:p>
    <w:p>
      <w:pPr>
        <w:pStyle w:val="Normal"/>
        <w:rPr>
          <w:sz w:val="26"/>
          <w:szCs w:val="26"/>
        </w:rPr>
      </w:pPr>
      <w:r>
        <w:rPr>
          <w:sz w:val="26"/>
          <w:szCs w:val="26"/>
        </w:rPr>
      </w:r>
      <w:r>
        <w:br w:type="page"/>
      </w:r>
    </w:p>
    <w:p>
      <w:pPr>
        <w:pStyle w:val="Normal"/>
        <w:jc w:val="center"/>
        <w:rPr>
          <w:b/>
        </w:rPr>
      </w:pPr>
      <w:r>
        <w:rPr>
          <w:b/>
        </w:rPr>
        <w:t>СОДЕРЖАНИЕ</w:t>
      </w:r>
    </w:p>
    <w:p>
      <w:pPr>
        <w:pStyle w:val="TOC1"/>
        <w:tabs>
          <w:tab w:val="clear" w:pos="708"/>
          <w:tab w:val="left" w:pos="560" w:leader="none"/>
          <w:tab w:val="right" w:pos="9911" w:leader="dot"/>
        </w:tabs>
        <w:spacing w:before="0" w:after="0"/>
        <w:rPr>
          <w:b w:val="false"/>
        </w:rPr>
      </w:pPr>
      <w:r>
        <w:rPr>
          <w:b w:val="false"/>
        </w:rPr>
        <w:t>1.</w:t>
        <w:tab/>
        <w:t>Общие сведения</w:t>
        <w:tab/>
        <w:t>4</w:t>
      </w:r>
    </w:p>
    <w:p>
      <w:pPr>
        <w:pStyle w:val="TOC1"/>
        <w:tabs>
          <w:tab w:val="clear" w:pos="708"/>
          <w:tab w:val="left" w:pos="560" w:leader="none"/>
          <w:tab w:val="right" w:pos="9911" w:leader="dot"/>
        </w:tabs>
        <w:spacing w:before="0" w:after="0"/>
        <w:rPr>
          <w:b w:val="false"/>
        </w:rPr>
      </w:pPr>
      <w:r>
        <w:rPr>
          <w:b w:val="false"/>
        </w:rPr>
        <w:t>1.1.</w:t>
        <w:tab/>
        <w:t>Обозначения и сокращения</w:t>
        <w:tab/>
        <w:t>4</w:t>
      </w:r>
    </w:p>
    <w:p>
      <w:pPr>
        <w:pStyle w:val="TOC1"/>
        <w:tabs>
          <w:tab w:val="clear" w:pos="708"/>
          <w:tab w:val="left" w:pos="560" w:leader="none"/>
          <w:tab w:val="right" w:pos="9911" w:leader="dot"/>
        </w:tabs>
        <w:spacing w:before="0" w:after="0"/>
        <w:rPr>
          <w:b w:val="false"/>
        </w:rPr>
      </w:pPr>
      <w:r>
        <w:rPr>
          <w:b w:val="false"/>
        </w:rPr>
        <w:t>1.2.</w:t>
        <w:tab/>
        <w:t>Наименование закупаемой продукции</w:t>
        <w:tab/>
        <w:t>5</w:t>
      </w:r>
    </w:p>
    <w:p>
      <w:pPr>
        <w:pStyle w:val="TOC1"/>
        <w:tabs>
          <w:tab w:val="clear" w:pos="708"/>
          <w:tab w:val="left" w:pos="560" w:leader="none"/>
          <w:tab w:val="right" w:pos="9911" w:leader="dot"/>
        </w:tabs>
        <w:spacing w:before="0" w:after="0"/>
        <w:rPr>
          <w:b w:val="false"/>
        </w:rPr>
      </w:pPr>
      <w:r>
        <w:rPr>
          <w:b w:val="false"/>
        </w:rPr>
        <w:t>Таблица 1. Перечень объектов заказчика</w:t>
        <w:tab/>
        <w:t>5</w:t>
      </w:r>
    </w:p>
    <w:p>
      <w:pPr>
        <w:pStyle w:val="TOC1"/>
        <w:tabs>
          <w:tab w:val="clear" w:pos="708"/>
          <w:tab w:val="left" w:pos="560" w:leader="none"/>
          <w:tab w:val="right" w:pos="9911" w:leader="dot"/>
        </w:tabs>
        <w:spacing w:before="0" w:after="0"/>
        <w:rPr>
          <w:b w:val="false"/>
        </w:rPr>
      </w:pPr>
      <w:r>
        <w:rPr>
          <w:b w:val="false"/>
        </w:rPr>
        <w:t>1.5.</w:t>
        <w:tab/>
        <w:t xml:space="preserve">Информация в отношении исполнения договора, которая должна быть учтена при подготовке заявки (в том числе перечень ресурсов, услуг и документов, предоставляемых заказчиком на этапе исполнения договора) </w:t>
        <w:tab/>
        <w:t>5</w:t>
      </w:r>
    </w:p>
    <w:p>
      <w:pPr>
        <w:pStyle w:val="TOC1"/>
        <w:tabs>
          <w:tab w:val="clear" w:pos="708"/>
          <w:tab w:val="left" w:pos="560" w:leader="none"/>
          <w:tab w:val="right" w:pos="9911" w:leader="dot"/>
        </w:tabs>
        <w:spacing w:before="0" w:after="0"/>
        <w:rPr>
          <w:b w:val="false"/>
        </w:rPr>
      </w:pPr>
      <w:r>
        <w:rPr>
          <w:b w:val="false"/>
        </w:rPr>
        <w:t>2.</w:t>
        <w:tab/>
        <w:t>Требования к продукции</w:t>
        <w:tab/>
        <w:t>5</w:t>
      </w:r>
    </w:p>
    <w:p>
      <w:pPr>
        <w:pStyle w:val="TOC1"/>
        <w:tabs>
          <w:tab w:val="clear" w:pos="708"/>
          <w:tab w:val="left" w:pos="560" w:leader="none"/>
          <w:tab w:val="right" w:pos="9911" w:leader="dot"/>
        </w:tabs>
        <w:spacing w:before="0" w:after="0"/>
        <w:rPr>
          <w:b w:val="false"/>
        </w:rPr>
      </w:pPr>
      <w:r>
        <w:rPr>
          <w:b w:val="false"/>
        </w:rPr>
        <w:t>2.1.</w:t>
        <w:tab/>
        <w:t>Требования к объемам и срокам оказания услуг</w:t>
        <w:tab/>
        <w:t>5</w:t>
      </w:r>
    </w:p>
    <w:p>
      <w:pPr>
        <w:pStyle w:val="TOC1"/>
        <w:tabs>
          <w:tab w:val="clear" w:pos="708"/>
          <w:tab w:val="left" w:pos="560" w:leader="none"/>
          <w:tab w:val="right" w:pos="9911" w:leader="dot"/>
        </w:tabs>
        <w:spacing w:before="0" w:after="0"/>
        <w:rPr>
          <w:b w:val="false"/>
        </w:rPr>
      </w:pPr>
      <w:r>
        <w:rPr>
          <w:b w:val="false"/>
        </w:rPr>
        <w:t>2.1.1.</w:t>
        <w:tab/>
        <w:t>Требования к перечню и объему услуг</w:t>
        <w:tab/>
        <w:t>5</w:t>
      </w:r>
    </w:p>
    <w:p>
      <w:pPr>
        <w:pStyle w:val="TOC1"/>
        <w:tabs>
          <w:tab w:val="clear" w:pos="708"/>
          <w:tab w:val="left" w:pos="560" w:leader="none"/>
          <w:tab w:val="right" w:pos="9911" w:leader="dot"/>
        </w:tabs>
        <w:spacing w:before="0" w:after="0"/>
        <w:rPr>
          <w:b w:val="false"/>
        </w:rPr>
      </w:pPr>
      <w:r>
        <w:rPr>
          <w:b w:val="false"/>
        </w:rPr>
        <w:t>Таблица 2. Перечень и объем оказываемых услуг</w:t>
        <w:tab/>
        <w:t>5</w:t>
      </w:r>
    </w:p>
    <w:p>
      <w:pPr>
        <w:pStyle w:val="TOC1"/>
        <w:tabs>
          <w:tab w:val="clear" w:pos="708"/>
          <w:tab w:val="left" w:pos="560" w:leader="none"/>
          <w:tab w:val="right" w:pos="9911" w:leader="dot"/>
        </w:tabs>
        <w:spacing w:before="0" w:after="0"/>
        <w:rPr>
          <w:b w:val="false"/>
        </w:rPr>
      </w:pPr>
      <w:r>
        <w:rPr>
          <w:b w:val="false"/>
        </w:rPr>
        <w:t>2.1.2.</w:t>
        <w:tab/>
        <w:t>Требования к срокам оказания услуг</w:t>
        <w:tab/>
        <w:t>6</w:t>
      </w:r>
    </w:p>
    <w:p>
      <w:pPr>
        <w:pStyle w:val="TOC1"/>
        <w:tabs>
          <w:tab w:val="clear" w:pos="708"/>
          <w:tab w:val="left" w:pos="560" w:leader="none"/>
          <w:tab w:val="right" w:pos="9911" w:leader="dot"/>
        </w:tabs>
        <w:spacing w:before="0" w:after="0"/>
        <w:rPr>
          <w:b w:val="false"/>
        </w:rPr>
      </w:pPr>
      <w:r>
        <w:rPr>
          <w:b w:val="false"/>
        </w:rPr>
        <w:t>Таблица 3. Требования к срокам оказания услуг</w:t>
        <w:tab/>
        <w:t>6</w:t>
      </w:r>
    </w:p>
    <w:p>
      <w:pPr>
        <w:pStyle w:val="TOC1"/>
        <w:tabs>
          <w:tab w:val="clear" w:pos="708"/>
          <w:tab w:val="left" w:pos="560" w:leader="none"/>
          <w:tab w:val="right" w:pos="9911" w:leader="dot"/>
        </w:tabs>
        <w:spacing w:before="0" w:after="0"/>
        <w:rPr>
          <w:b w:val="false"/>
        </w:rPr>
      </w:pPr>
      <w:r>
        <w:rPr>
          <w:b w:val="false"/>
        </w:rPr>
        <w:t>2.2.</w:t>
        <w:tab/>
        <w:t>Требования к качеству услуг</w:t>
        <w:tab/>
        <w:t>6</w:t>
      </w:r>
    </w:p>
    <w:p>
      <w:pPr>
        <w:pStyle w:val="TOC1"/>
        <w:tabs>
          <w:tab w:val="clear" w:pos="708"/>
          <w:tab w:val="left" w:pos="560" w:leader="none"/>
          <w:tab w:val="right" w:pos="9911" w:leader="dot"/>
        </w:tabs>
        <w:spacing w:before="0" w:after="0"/>
        <w:rPr>
          <w:b w:val="false"/>
        </w:rPr>
      </w:pPr>
      <w:r>
        <w:rPr>
          <w:b w:val="false"/>
        </w:rPr>
        <w:t>Таблица 4. Требования к качеству услуг</w:t>
        <w:tab/>
        <w:t>7</w:t>
      </w:r>
    </w:p>
    <w:p>
      <w:pPr>
        <w:pStyle w:val="TOC1"/>
        <w:tabs>
          <w:tab w:val="clear" w:pos="708"/>
          <w:tab w:val="left" w:pos="560" w:leader="none"/>
          <w:tab w:val="right" w:pos="9911" w:leader="dot"/>
        </w:tabs>
        <w:spacing w:before="0" w:after="0"/>
        <w:rPr>
          <w:b w:val="false"/>
        </w:rPr>
      </w:pPr>
      <w:r>
        <w:rPr>
          <w:b w:val="false"/>
        </w:rPr>
        <w:t>3.</w:t>
        <w:tab/>
        <w:t>Требования к документации по ценообразованию на этапе закупки</w:t>
        <w:tab/>
        <w:t>10</w:t>
      </w:r>
    </w:p>
    <w:p>
      <w:pPr>
        <w:pStyle w:val="TOC1"/>
        <w:tabs>
          <w:tab w:val="clear" w:pos="708"/>
          <w:tab w:val="left" w:pos="560" w:leader="none"/>
          <w:tab w:val="right" w:pos="9911" w:leader="dot"/>
        </w:tabs>
        <w:spacing w:before="0" w:after="0"/>
        <w:rPr>
          <w:b w:val="false"/>
        </w:rPr>
      </w:pPr>
      <w:r>
        <w:rPr>
          <w:b w:val="false"/>
        </w:rPr>
        <w:t>4.</w:t>
        <w:tab/>
        <w:t>Требования к документации по ценообразованию на этапе заключения (исполнения) договора</w:t>
        <w:tab/>
        <w:t>11</w:t>
      </w:r>
    </w:p>
    <w:p>
      <w:pPr>
        <w:pStyle w:val="TOC1"/>
        <w:tabs>
          <w:tab w:val="clear" w:pos="708"/>
          <w:tab w:val="left" w:pos="560" w:leader="none"/>
          <w:tab w:val="right" w:pos="9911" w:leader="dot"/>
        </w:tabs>
        <w:spacing w:before="0" w:after="0"/>
        <w:rPr>
          <w:b w:val="false"/>
        </w:rPr>
      </w:pPr>
      <w:r>
        <w:rPr>
          <w:b w:val="false"/>
        </w:rPr>
        <w:t>5.</w:t>
        <w:tab/>
        <w:t>Приложения</w:t>
        <w:tab/>
        <w:t>12</w:t>
      </w:r>
    </w:p>
    <w:p>
      <w:pPr>
        <w:pStyle w:val="TOC1"/>
        <w:tabs>
          <w:tab w:val="clear" w:pos="708"/>
          <w:tab w:val="left" w:pos="560" w:leader="none"/>
          <w:tab w:val="right" w:pos="9911" w:leader="dot"/>
        </w:tabs>
        <w:spacing w:before="0" w:after="0"/>
        <w:rPr>
          <w:rFonts w:ascii="Calibri" w:hAnsi="Calibri" w:eastAsia="新細明體" w:cs="Arial" w:asciiTheme="minorHAnsi" w:cstheme="minorBidi" w:eastAsiaTheme="minorEastAsia" w:hAnsiTheme="minorHAnsi"/>
          <w:b w:val="false"/>
          <w:bCs w:val="false"/>
        </w:rPr>
      </w:pPr>
      <w:r>
        <w:rPr>
          <w:b w:val="false"/>
        </w:rPr>
        <w:t>Требования к оформлению и составлению документации по ценообразованию</w:t>
        <w:tab/>
        <w:t>13</w:t>
      </w:r>
    </w:p>
    <w:p>
      <w:pPr>
        <w:pStyle w:val="Heading2"/>
        <w:tabs>
          <w:tab w:val="clear" w:pos="0"/>
        </w:tabs>
        <w:ind w:left="0" w:hanging="0"/>
        <w:rPr>
          <w:b w:val="false"/>
          <w:i/>
          <w:i/>
        </w:rPr>
      </w:pPr>
      <w:r>
        <w:rPr>
          <w:b w:val="false"/>
          <w:i/>
        </w:rPr>
      </w:r>
    </w:p>
    <w:p>
      <w:pPr>
        <w:pStyle w:val="Normal"/>
        <w:keepNext w:val="true"/>
        <w:keepLines/>
        <w:jc w:val="center"/>
        <w:rPr>
          <w:rFonts w:eastAsia="Calibri"/>
          <w:b/>
          <w:i/>
          <w:i/>
          <w:sz w:val="24"/>
          <w:szCs w:val="24"/>
        </w:rPr>
      </w:pPr>
      <w:r>
        <w:rPr>
          <w:rFonts w:eastAsia="Calibri"/>
          <w:b/>
          <w:i/>
          <w:sz w:val="24"/>
          <w:szCs w:val="24"/>
        </w:rPr>
      </w:r>
      <w:r>
        <w:br w:type="page"/>
      </w:r>
    </w:p>
    <w:p>
      <w:pPr>
        <w:pStyle w:val="Heading1"/>
        <w:keepLines/>
        <w:numPr>
          <w:ilvl w:val="0"/>
          <w:numId w:val="3"/>
        </w:numPr>
        <w:ind w:left="357" w:hanging="357"/>
        <w:jc w:val="center"/>
        <w:rPr>
          <w:caps/>
          <w:lang w:val="ru-RU"/>
        </w:rPr>
      </w:pPr>
      <w:bookmarkStart w:id="0" w:name="_Toc54643694"/>
      <w:r>
        <w:rPr>
          <w:lang w:val="ru-RU"/>
        </w:rPr>
        <w:t>Общие сведения</w:t>
      </w:r>
      <w:bookmarkEnd w:id="0"/>
    </w:p>
    <w:p>
      <w:pPr>
        <w:pStyle w:val="Heading4"/>
        <w:numPr>
          <w:ilvl w:val="1"/>
          <w:numId w:val="3"/>
        </w:numPr>
        <w:rPr/>
      </w:pPr>
      <w:bookmarkStart w:id="1" w:name="_Toc54643695"/>
      <w:bookmarkStart w:id="2" w:name="_Toc46743505"/>
      <w:r>
        <w:rPr/>
        <w:t>Обозначения и сокращения</w:t>
      </w:r>
      <w:bookmarkEnd w:id="1"/>
      <w:bookmarkEnd w:id="2"/>
    </w:p>
    <w:p>
      <w:pPr>
        <w:pStyle w:val="Normal"/>
        <w:rPr>
          <w:rStyle w:val="Style8"/>
          <w:b w:val="false"/>
          <w:bCs/>
          <w:iCs/>
          <w:sz w:val="26"/>
          <w:szCs w:val="26"/>
        </w:rPr>
      </w:pPr>
      <w:r>
        <w:rPr>
          <w:b w:val="false"/>
          <w:bCs/>
          <w:iCs/>
          <w:sz w:val="26"/>
          <w:szCs w:val="26"/>
        </w:rPr>
      </w:r>
    </w:p>
    <w:tbl>
      <w:tblPr>
        <w:tblW w:w="9783" w:type="dxa"/>
        <w:jc w:val="center"/>
        <w:tblInd w:w="0" w:type="dxa"/>
        <w:tblLayout w:type="fixed"/>
        <w:tblCellMar>
          <w:top w:w="0" w:type="dxa"/>
          <w:left w:w="108" w:type="dxa"/>
          <w:bottom w:w="0" w:type="dxa"/>
          <w:right w:w="108" w:type="dxa"/>
        </w:tblCellMar>
        <w:tblLook w:noVBand="1" w:val="04a0" w:noHBand="0" w:lastColumn="0" w:firstColumn="1" w:lastRow="0" w:firstRow="1"/>
      </w:tblPr>
      <w:tblGrid>
        <w:gridCol w:w="1785"/>
        <w:gridCol w:w="7997"/>
      </w:tblGrid>
      <w:tr>
        <w:trPr>
          <w:cantSplit w:val="true"/>
        </w:trPr>
        <w:tc>
          <w:tcPr>
            <w:tcW w:w="17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426" w:leader="none"/>
              </w:tabs>
              <w:spacing w:before="120" w:after="120"/>
              <w:jc w:val="both"/>
              <w:rPr>
                <w:sz w:val="24"/>
                <w:szCs w:val="24"/>
              </w:rPr>
            </w:pPr>
            <w:r>
              <w:rPr>
                <w:rStyle w:val="Style8"/>
                <w:b w:val="false"/>
                <w:bCs/>
                <w:i w:val="false"/>
                <w:sz w:val="24"/>
                <w:szCs w:val="24"/>
                <w:shd w:fill="auto" w:val="clear"/>
              </w:rPr>
              <w:t>НПА</w:t>
            </w:r>
          </w:p>
        </w:tc>
        <w:tc>
          <w:tcPr>
            <w:tcW w:w="799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426" w:leader="none"/>
              </w:tabs>
              <w:spacing w:before="120" w:after="120"/>
              <w:jc w:val="both"/>
              <w:rPr>
                <w:sz w:val="24"/>
                <w:szCs w:val="24"/>
              </w:rPr>
            </w:pPr>
            <w:r>
              <w:rPr>
                <w:rStyle w:val="Style8"/>
                <w:b w:val="false"/>
                <w:bCs/>
                <w:i w:val="false"/>
                <w:sz w:val="24"/>
                <w:szCs w:val="24"/>
                <w:shd w:fill="auto" w:val="clear"/>
              </w:rPr>
              <w:t>Нормативно-правовой акт</w:t>
            </w:r>
          </w:p>
        </w:tc>
      </w:tr>
      <w:tr>
        <w:trPr>
          <w:cantSplit w:val="true"/>
        </w:trPr>
        <w:tc>
          <w:tcPr>
            <w:tcW w:w="1785" w:type="dxa"/>
            <w:tcBorders>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t>Приказ Минздрава России от 28.01.2021 N 29н</w:t>
            </w:r>
          </w:p>
        </w:tc>
        <w:tc>
          <w:tcPr>
            <w:tcW w:w="7997" w:type="dxa"/>
            <w:tcBorders>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t>Приказ Минздрава России от 28.01.2021 N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p>
        </w:tc>
      </w:tr>
    </w:tbl>
    <w:p>
      <w:pPr>
        <w:pStyle w:val="Normal"/>
        <w:keepNext w:val="true"/>
        <w:keepLines/>
        <w:jc w:val="both"/>
        <w:rPr>
          <w:sz w:val="24"/>
          <w:szCs w:val="24"/>
        </w:rPr>
      </w:pPr>
      <w:r>
        <w:rPr>
          <w:sz w:val="24"/>
          <w:szCs w:val="24"/>
        </w:rPr>
      </w:r>
    </w:p>
    <w:p>
      <w:pPr>
        <w:pStyle w:val="Heading4"/>
        <w:numPr>
          <w:ilvl w:val="1"/>
          <w:numId w:val="3"/>
        </w:numPr>
        <w:rPr/>
      </w:pPr>
      <w:bookmarkStart w:id="3" w:name="_Toc46743506"/>
      <w:bookmarkStart w:id="4" w:name="_Toc54643696"/>
      <w:r>
        <w:rPr/>
        <w:t>Наименование закупаемой продукции</w:t>
      </w:r>
      <w:bookmarkEnd w:id="3"/>
      <w:bookmarkEnd w:id="4"/>
    </w:p>
    <w:p>
      <w:pPr>
        <w:pStyle w:val="Normal"/>
        <w:widowControl w:val="false"/>
        <w:tabs>
          <w:tab w:val="clear" w:pos="708"/>
          <w:tab w:val="left" w:pos="426" w:leader="none"/>
        </w:tabs>
        <w:spacing w:before="120" w:after="120"/>
        <w:rPr>
          <w:rFonts w:eastAsia="Calibri"/>
          <w:b/>
          <w:bCs/>
          <w:sz w:val="24"/>
          <w:szCs w:val="24"/>
          <w:lang w:eastAsia="x-none"/>
        </w:rPr>
      </w:pPr>
      <w:r>
        <w:rPr>
          <w:rFonts w:eastAsia="Calibri"/>
          <w:sz w:val="24"/>
          <w:szCs w:val="24"/>
          <w:lang w:eastAsia="x-none"/>
        </w:rPr>
        <w:t>ОКПД 2: 86.10.19.000 Проведение периодических медицинских осмотров г. Петропавловск-Камчатский для нужд Камчатского филиала АО "ТК РусГидро"</w:t>
        <w:br/>
      </w:r>
    </w:p>
    <w:p>
      <w:pPr>
        <w:pStyle w:val="Normal"/>
        <w:widowControl w:val="false"/>
        <w:tabs>
          <w:tab w:val="clear" w:pos="708"/>
          <w:tab w:val="left" w:pos="426" w:leader="none"/>
        </w:tabs>
        <w:spacing w:before="120" w:after="120"/>
        <w:rPr>
          <w:b/>
          <w:bCs/>
          <w:sz w:val="24"/>
          <w:szCs w:val="24"/>
        </w:rPr>
      </w:pPr>
      <w:r>
        <w:rPr>
          <w:rFonts w:eastAsia="Calibri"/>
          <w:b/>
          <w:bCs/>
          <w:sz w:val="24"/>
          <w:szCs w:val="24"/>
          <w:lang w:eastAsia="x-none"/>
        </w:rPr>
        <w:t>1.3. Цель оказания услуг</w:t>
      </w:r>
    </w:p>
    <w:p>
      <w:pPr>
        <w:pStyle w:val="Normal"/>
        <w:widowControl w:val="false"/>
        <w:tabs>
          <w:tab w:val="clear" w:pos="708"/>
          <w:tab w:val="left" w:pos="426" w:leader="none"/>
        </w:tabs>
        <w:spacing w:before="120" w:after="120"/>
        <w:jc w:val="both"/>
        <w:rPr>
          <w:rFonts w:eastAsia="Calibri"/>
          <w:sz w:val="24"/>
          <w:szCs w:val="24"/>
          <w:lang w:eastAsia="x-none"/>
        </w:rPr>
      </w:pPr>
      <w:r>
        <w:rPr>
          <w:rFonts w:eastAsia="Calibri"/>
          <w:sz w:val="24"/>
          <w:szCs w:val="24"/>
          <w:lang w:eastAsia="x-none"/>
        </w:rPr>
        <w:t>Оказание периодических медицинских осмотров Камчатского филиала АО «ТК РусГидро» по перечню работников, подлежащих прохождению медосмотра.</w:t>
      </w:r>
    </w:p>
    <w:p>
      <w:pPr>
        <w:pStyle w:val="Heading1"/>
        <w:keepLines/>
        <w:tabs>
          <w:tab w:val="clear" w:pos="0"/>
        </w:tabs>
        <w:spacing w:before="240" w:after="60"/>
        <w:ind w:left="0" w:hanging="0"/>
        <w:rPr>
          <w:sz w:val="24"/>
          <w:szCs w:val="24"/>
          <w:lang w:val="ru-RU"/>
        </w:rPr>
      </w:pPr>
      <w:bookmarkStart w:id="5" w:name="_Toc54643699"/>
      <w:bookmarkStart w:id="6" w:name="_Toc46743507_Копия_1"/>
      <w:bookmarkEnd w:id="6"/>
      <w:r>
        <w:rPr>
          <w:sz w:val="24"/>
          <w:szCs w:val="24"/>
        </w:rPr>
        <w:t>Таблица 1</w:t>
      </w:r>
      <w:r>
        <w:rPr>
          <w:sz w:val="24"/>
          <w:szCs w:val="24"/>
          <w:lang w:val="ru-RU"/>
        </w:rPr>
        <w:t>.</w:t>
      </w:r>
      <w:r>
        <w:rPr>
          <w:sz w:val="24"/>
          <w:szCs w:val="24"/>
        </w:rPr>
        <w:t xml:space="preserve"> «</w:t>
      </w:r>
      <w:r>
        <w:rPr>
          <w:sz w:val="24"/>
          <w:szCs w:val="24"/>
          <w:lang w:val="ru-RU"/>
        </w:rPr>
        <w:t>Перечень объектов заказчика</w:t>
      </w:r>
      <w:bookmarkEnd w:id="5"/>
    </w:p>
    <w:tbl>
      <w:tblPr>
        <w:tblW w:w="9918"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817"/>
        <w:gridCol w:w="2845"/>
        <w:gridCol w:w="2143"/>
        <w:gridCol w:w="2129"/>
        <w:gridCol w:w="1984"/>
      </w:tblGrid>
      <w:tr>
        <w:trPr/>
        <w:tc>
          <w:tcPr>
            <w:tcW w:w="817"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w:t>
            </w:r>
          </w:p>
          <w:p>
            <w:pPr>
              <w:pStyle w:val="Normal"/>
              <w:widowControl w:val="false"/>
              <w:rPr>
                <w:sz w:val="24"/>
                <w:szCs w:val="24"/>
              </w:rPr>
            </w:pPr>
            <w:r>
              <w:rPr>
                <w:sz w:val="24"/>
                <w:szCs w:val="24"/>
              </w:rPr>
              <w:t>п/п</w:t>
            </w:r>
          </w:p>
        </w:tc>
        <w:tc>
          <w:tcPr>
            <w:tcW w:w="284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Наименование объекта</w:t>
            </w:r>
          </w:p>
          <w:p>
            <w:pPr>
              <w:pStyle w:val="Normal"/>
              <w:widowControl w:val="false"/>
              <w:jc w:val="center"/>
              <w:rPr>
                <w:sz w:val="24"/>
                <w:szCs w:val="24"/>
              </w:rPr>
            </w:pPr>
            <w:r>
              <w:rPr>
                <w:sz w:val="24"/>
                <w:szCs w:val="24"/>
              </w:rPr>
            </w:r>
          </w:p>
        </w:tc>
        <w:tc>
          <w:tcPr>
            <w:tcW w:w="214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 xml:space="preserve">Расположение объекта </w:t>
              <w:br/>
            </w:r>
            <w:r>
              <w:rPr>
                <w:i/>
                <w:iCs/>
                <w:sz w:val="24"/>
                <w:szCs w:val="24"/>
              </w:rPr>
              <w:t>(место оказания услуг)</w:t>
            </w:r>
            <w:r>
              <w:rPr>
                <w:sz w:val="24"/>
                <w:szCs w:val="24"/>
              </w:rPr>
              <w:t xml:space="preserve"> </w:t>
            </w:r>
          </w:p>
        </w:tc>
        <w:tc>
          <w:tcPr>
            <w:tcW w:w="212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 xml:space="preserve">Наименование основного средства </w:t>
              <w:br/>
              <w:t>(в отношении которого оказываются услуги)</w:t>
            </w:r>
          </w:p>
        </w:tc>
        <w:tc>
          <w:tcPr>
            <w:tcW w:w="198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Примечания</w:t>
            </w:r>
          </w:p>
        </w:tc>
      </w:tr>
      <w:tr>
        <w:trPr/>
        <w:tc>
          <w:tcPr>
            <w:tcW w:w="81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rPr>
            </w:pPr>
            <w:r>
              <w:rPr>
                <w:b/>
                <w:sz w:val="24"/>
                <w:szCs w:val="24"/>
              </w:rPr>
              <w:t>1</w:t>
            </w:r>
          </w:p>
        </w:tc>
        <w:tc>
          <w:tcPr>
            <w:tcW w:w="284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rPr>
            </w:pPr>
            <w:r>
              <w:rPr>
                <w:b/>
                <w:sz w:val="24"/>
                <w:szCs w:val="24"/>
              </w:rPr>
              <w:t>2</w:t>
            </w:r>
          </w:p>
        </w:tc>
        <w:tc>
          <w:tcPr>
            <w:tcW w:w="214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rPr>
            </w:pPr>
            <w:r>
              <w:rPr>
                <w:b/>
                <w:sz w:val="24"/>
                <w:szCs w:val="24"/>
              </w:rPr>
              <w:t>3</w:t>
            </w:r>
          </w:p>
        </w:tc>
        <w:tc>
          <w:tcPr>
            <w:tcW w:w="212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rPr>
            </w:pPr>
            <w:r>
              <w:rPr>
                <w:b/>
                <w:sz w:val="24"/>
                <w:szCs w:val="24"/>
              </w:rPr>
              <w:t>4</w:t>
            </w:r>
          </w:p>
        </w:tc>
        <w:tc>
          <w:tcPr>
            <w:tcW w:w="198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rPr>
            </w:pPr>
            <w:r>
              <w:rPr>
                <w:b/>
                <w:sz w:val="24"/>
                <w:szCs w:val="24"/>
              </w:rPr>
              <w:t>5</w:t>
            </w:r>
          </w:p>
        </w:tc>
      </w:tr>
      <w:tr>
        <w:trPr>
          <w:trHeight w:val="881" w:hRule="atLeast"/>
        </w:trPr>
        <w:tc>
          <w:tcPr>
            <w:tcW w:w="817"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7"/>
              </w:numPr>
              <w:rPr/>
            </w:pPr>
            <w:r>
              <w:rPr/>
            </w:r>
          </w:p>
        </w:tc>
        <w:tc>
          <w:tcPr>
            <w:tcW w:w="28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iCs/>
                <w:sz w:val="24"/>
                <w:szCs w:val="24"/>
              </w:rPr>
            </w:pPr>
            <w:r>
              <w:rPr>
                <w:rFonts w:eastAsia="Calibri"/>
                <w:sz w:val="24"/>
                <w:szCs w:val="24"/>
                <w:lang w:eastAsia="x-none"/>
              </w:rPr>
              <w:t xml:space="preserve">Периодические медицинские осмотры работников Камчатского филиала АО «ТК РусГидро», </w:t>
            </w:r>
          </w:p>
        </w:tc>
        <w:tc>
          <w:tcPr>
            <w:tcW w:w="21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iCs/>
                <w:sz w:val="24"/>
                <w:szCs w:val="24"/>
              </w:rPr>
            </w:pPr>
            <w:r>
              <w:rPr>
                <w:iCs/>
                <w:sz w:val="24"/>
                <w:szCs w:val="24"/>
              </w:rPr>
              <w:t xml:space="preserve"> </w:t>
            </w:r>
            <w:r>
              <w:rPr>
                <w:iCs/>
                <w:sz w:val="24"/>
                <w:szCs w:val="24"/>
              </w:rPr>
              <w:t>г. Петропавловск-Камчатский Камчатского края.</w:t>
            </w:r>
          </w:p>
        </w:tc>
        <w:tc>
          <w:tcPr>
            <w:tcW w:w="212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Cs/>
                <w:sz w:val="24"/>
                <w:szCs w:val="24"/>
              </w:rPr>
            </w:pPr>
            <w:r>
              <w:rPr>
                <w:iCs/>
                <w:sz w:val="24"/>
                <w:szCs w:val="24"/>
              </w:rPr>
              <w:t>нет</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iCs/>
                <w:sz w:val="24"/>
                <w:szCs w:val="24"/>
              </w:rPr>
            </w:pPr>
            <w:r>
              <w:rPr>
                <w:iCs/>
                <w:sz w:val="24"/>
                <w:szCs w:val="24"/>
              </w:rPr>
              <w:t>нет</w:t>
            </w:r>
          </w:p>
        </w:tc>
      </w:tr>
    </w:tbl>
    <w:p>
      <w:pPr>
        <w:pStyle w:val="Heading4"/>
        <w:rPr/>
      </w:pPr>
      <w:r>
        <w:rPr/>
      </w:r>
      <w:bookmarkStart w:id="7" w:name="_Toc50125126"/>
      <w:bookmarkStart w:id="8" w:name="_Toc50125126"/>
      <w:bookmarkEnd w:id="8"/>
    </w:p>
    <w:p>
      <w:pPr>
        <w:pStyle w:val="Heading1"/>
        <w:keepLines/>
        <w:numPr>
          <w:ilvl w:val="0"/>
          <w:numId w:val="3"/>
        </w:numPr>
        <w:ind w:left="357" w:hanging="357"/>
        <w:jc w:val="center"/>
        <w:rPr>
          <w:iCs/>
          <w:caps/>
          <w:lang w:val="ru-RU"/>
        </w:rPr>
      </w:pPr>
      <w:bookmarkStart w:id="9" w:name="_Toc54643702"/>
      <w:bookmarkStart w:id="10" w:name="_Toc51339693"/>
      <w:r>
        <w:rPr>
          <w:iCs/>
          <w:lang w:val="ru-RU"/>
        </w:rPr>
        <w:t>Требования</w:t>
      </w:r>
      <w:r>
        <w:rPr>
          <w:iCs/>
        </w:rPr>
        <w:t xml:space="preserve"> к продукции</w:t>
      </w:r>
      <w:bookmarkEnd w:id="9"/>
      <w:bookmarkEnd w:id="10"/>
    </w:p>
    <w:p>
      <w:pPr>
        <w:pStyle w:val="Heading4"/>
        <w:numPr>
          <w:ilvl w:val="1"/>
          <w:numId w:val="3"/>
        </w:numPr>
        <w:ind w:left="0" w:hanging="0"/>
        <w:rPr/>
      </w:pPr>
      <w:bookmarkStart w:id="11" w:name="_Toc54643703"/>
      <w:r>
        <w:rPr/>
        <w:t xml:space="preserve">Требования к объемам и срокам </w:t>
      </w:r>
      <w:r>
        <w:rPr>
          <w:lang w:val="ru-RU"/>
        </w:rPr>
        <w:t>оказания услуг</w:t>
      </w:r>
      <w:bookmarkEnd w:id="11"/>
    </w:p>
    <w:p>
      <w:pPr>
        <w:pStyle w:val="Heading3"/>
        <w:numPr>
          <w:ilvl w:val="2"/>
          <w:numId w:val="3"/>
        </w:numPr>
        <w:ind w:left="0" w:hanging="0"/>
        <w:rPr/>
      </w:pPr>
      <w:bookmarkStart w:id="12" w:name="_Toc54643704"/>
      <w:r>
        <w:rPr>
          <w:lang w:val="ru-RU"/>
        </w:rPr>
        <w:t>Требования к перечню и объему услуг</w:t>
      </w:r>
      <w:bookmarkEnd w:id="12"/>
    </w:p>
    <w:p>
      <w:pPr>
        <w:pStyle w:val="Heading1"/>
        <w:keepLines/>
        <w:tabs>
          <w:tab w:val="clear" w:pos="0"/>
        </w:tabs>
        <w:spacing w:before="240" w:after="60"/>
        <w:ind w:left="0" w:hanging="0"/>
        <w:rPr>
          <w:sz w:val="24"/>
          <w:szCs w:val="24"/>
          <w:lang w:val="ru-RU"/>
        </w:rPr>
      </w:pPr>
      <w:bookmarkStart w:id="13" w:name="_Toc54643705"/>
      <w:bookmarkStart w:id="14" w:name="_Toc51339695"/>
      <w:r>
        <w:rPr>
          <w:sz w:val="24"/>
          <w:szCs w:val="24"/>
        </w:rPr>
        <w:t xml:space="preserve">Таблица </w:t>
      </w:r>
      <w:r>
        <w:rPr>
          <w:sz w:val="24"/>
          <w:szCs w:val="24"/>
          <w:lang w:val="ru-RU"/>
        </w:rPr>
        <w:t>2.</w:t>
      </w:r>
      <w:r>
        <w:rPr>
          <w:sz w:val="24"/>
          <w:szCs w:val="24"/>
        </w:rPr>
        <w:t xml:space="preserve"> </w:t>
      </w:r>
      <w:r>
        <w:rPr>
          <w:sz w:val="24"/>
          <w:szCs w:val="24"/>
          <w:lang w:val="ru-RU"/>
        </w:rPr>
        <w:t xml:space="preserve">Перечень </w:t>
      </w:r>
      <w:bookmarkEnd w:id="14"/>
      <w:r>
        <w:rPr>
          <w:sz w:val="24"/>
          <w:szCs w:val="24"/>
          <w:lang w:val="ru-RU"/>
        </w:rPr>
        <w:t>и объем оказываемых услуг</w:t>
      </w:r>
      <w:bookmarkEnd w:id="13"/>
    </w:p>
    <w:tbl>
      <w:tblPr>
        <w:tblW w:w="9810" w:type="dxa"/>
        <w:jc w:val="left"/>
        <w:tblInd w:w="108" w:type="dxa"/>
        <w:tblLayout w:type="fixed"/>
        <w:tblCellMar>
          <w:top w:w="0" w:type="dxa"/>
          <w:left w:w="108" w:type="dxa"/>
          <w:bottom w:w="0" w:type="dxa"/>
          <w:right w:w="108" w:type="dxa"/>
        </w:tblCellMar>
        <w:tblLook w:noVBand="0" w:val="0000" w:noHBand="0" w:lastColumn="0" w:firstColumn="0" w:lastRow="0" w:firstRow="0"/>
      </w:tblPr>
      <w:tblGrid>
        <w:gridCol w:w="849"/>
        <w:gridCol w:w="4849"/>
        <w:gridCol w:w="1995"/>
        <w:gridCol w:w="2116"/>
      </w:tblGrid>
      <w:tr>
        <w:trPr/>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sz w:val="24"/>
                <w:szCs w:val="24"/>
              </w:rPr>
            </w:pPr>
            <w:r>
              <w:rPr>
                <w:sz w:val="24"/>
                <w:szCs w:val="24"/>
              </w:rPr>
              <w:t>№</w:t>
            </w:r>
          </w:p>
          <w:p>
            <w:pPr>
              <w:pStyle w:val="Normal"/>
              <w:keepNext w:val="true"/>
              <w:widowControl w:val="false"/>
              <w:jc w:val="center"/>
              <w:rPr>
                <w:sz w:val="24"/>
                <w:szCs w:val="24"/>
              </w:rPr>
            </w:pPr>
            <w:r>
              <w:rPr>
                <w:sz w:val="24"/>
                <w:szCs w:val="24"/>
              </w:rPr>
              <w:t>п/п</w:t>
            </w:r>
          </w:p>
        </w:tc>
        <w:tc>
          <w:tcPr>
            <w:tcW w:w="4849"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sz w:val="24"/>
                <w:szCs w:val="24"/>
              </w:rPr>
            </w:pPr>
            <w:r>
              <w:rPr>
                <w:sz w:val="24"/>
                <w:szCs w:val="24"/>
              </w:rPr>
              <w:t>Наименование услуг / этапа услуг</w:t>
            </w:r>
          </w:p>
        </w:tc>
        <w:tc>
          <w:tcPr>
            <w:tcW w:w="1995"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sz w:val="24"/>
                <w:szCs w:val="24"/>
              </w:rPr>
            </w:pPr>
            <w:r>
              <w:rPr>
                <w:sz w:val="24"/>
                <w:szCs w:val="24"/>
              </w:rPr>
              <w:t>Единица измерения</w:t>
            </w:r>
          </w:p>
        </w:tc>
        <w:tc>
          <w:tcPr>
            <w:tcW w:w="2116"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sz w:val="24"/>
                <w:szCs w:val="24"/>
              </w:rPr>
            </w:pPr>
            <w:r>
              <w:rPr>
                <w:sz w:val="24"/>
                <w:szCs w:val="24"/>
              </w:rPr>
              <w:t>Количество</w:t>
            </w:r>
          </w:p>
        </w:tc>
      </w:tr>
      <w:tr>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rPr>
            </w:pPr>
            <w:r>
              <w:rPr>
                <w:b/>
                <w:sz w:val="24"/>
                <w:szCs w:val="24"/>
              </w:rPr>
              <w:t>1</w:t>
            </w:r>
          </w:p>
        </w:tc>
        <w:tc>
          <w:tcPr>
            <w:tcW w:w="4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rPr>
            </w:pPr>
            <w:r>
              <w:rPr>
                <w:b/>
                <w:sz w:val="24"/>
                <w:szCs w:val="24"/>
              </w:rPr>
              <w:t>2</w:t>
            </w:r>
          </w:p>
        </w:tc>
        <w:tc>
          <w:tcPr>
            <w:tcW w:w="199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rPr>
            </w:pPr>
            <w:r>
              <w:rPr>
                <w:b/>
                <w:sz w:val="24"/>
                <w:szCs w:val="24"/>
              </w:rPr>
              <w:t>3</w:t>
            </w:r>
          </w:p>
        </w:tc>
        <w:tc>
          <w:tcPr>
            <w:tcW w:w="211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rPr>
            </w:pPr>
            <w:r>
              <w:rPr>
                <w:b/>
                <w:sz w:val="24"/>
                <w:szCs w:val="24"/>
              </w:rPr>
              <w:t>4</w:t>
            </w:r>
          </w:p>
        </w:tc>
      </w:tr>
      <w:tr>
        <w:trPr/>
        <w:tc>
          <w:tcPr>
            <w:tcW w:w="849"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8"/>
              </w:numPr>
              <w:rPr/>
            </w:pPr>
            <w:r>
              <w:rPr/>
            </w:r>
          </w:p>
        </w:tc>
        <w:tc>
          <w:tcPr>
            <w:tcW w:w="4849" w:type="dxa"/>
            <w:tcBorders>
              <w:top w:val="single" w:sz="4" w:space="0" w:color="000000"/>
              <w:left w:val="single" w:sz="4" w:space="0" w:color="000000"/>
              <w:bottom w:val="single" w:sz="4" w:space="0" w:color="000000"/>
              <w:right w:val="single" w:sz="4" w:space="0" w:color="000000"/>
            </w:tcBorders>
          </w:tcPr>
          <w:p>
            <w:pPr>
              <w:pStyle w:val="Normal"/>
              <w:widowControl w:val="false"/>
              <w:rPr>
                <w:i/>
                <w:i/>
                <w:sz w:val="24"/>
                <w:szCs w:val="24"/>
              </w:rPr>
            </w:pPr>
            <w:r>
              <w:rPr>
                <w:rFonts w:eastAsia="Calibri"/>
                <w:sz w:val="24"/>
                <w:szCs w:val="24"/>
                <w:lang w:eastAsia="x-none"/>
              </w:rPr>
              <w:t>Проведение периодического медицинского осмотра  согласно Приказа Минздрава России от 28.01.2021 N 29н.</w:t>
            </w:r>
          </w:p>
        </w:tc>
        <w:tc>
          <w:tcPr>
            <w:tcW w:w="199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человек</w:t>
            </w:r>
          </w:p>
        </w:tc>
        <w:tc>
          <w:tcPr>
            <w:tcW w:w="211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3</w:t>
            </w:r>
            <w:r>
              <w:rPr>
                <w:sz w:val="24"/>
                <w:szCs w:val="24"/>
              </w:rPr>
              <w:t>30</w:t>
            </w:r>
          </w:p>
        </w:tc>
      </w:tr>
      <w:tr>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2.</w:t>
            </w:r>
          </w:p>
        </w:tc>
        <w:tc>
          <w:tcPr>
            <w:tcW w:w="4849" w:type="dxa"/>
            <w:tcBorders>
              <w:top w:val="single" w:sz="4" w:space="0" w:color="000000"/>
              <w:left w:val="single" w:sz="4" w:space="0" w:color="000000"/>
              <w:bottom w:val="single" w:sz="4" w:space="0" w:color="000000"/>
              <w:right w:val="single" w:sz="4" w:space="0" w:color="000000"/>
            </w:tcBorders>
          </w:tcPr>
          <w:p>
            <w:pPr>
              <w:pStyle w:val="Normal"/>
              <w:widowControl w:val="false"/>
              <w:rPr>
                <w:i/>
                <w:i/>
                <w:sz w:val="24"/>
                <w:szCs w:val="24"/>
              </w:rPr>
            </w:pPr>
            <w:r>
              <w:rPr>
                <w:rFonts w:eastAsia="Calibri"/>
                <w:sz w:val="24"/>
                <w:szCs w:val="24"/>
                <w:lang w:eastAsia="x-none"/>
              </w:rPr>
              <w:t>Оформление и выдача заключительного акта предусмотренного Приказом Минздрава России от 28.01.2021 N 29н.</w:t>
            </w:r>
          </w:p>
        </w:tc>
        <w:tc>
          <w:tcPr>
            <w:tcW w:w="199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штук</w:t>
            </w:r>
          </w:p>
        </w:tc>
        <w:tc>
          <w:tcPr>
            <w:tcW w:w="211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2</w:t>
            </w:r>
          </w:p>
        </w:tc>
      </w:tr>
      <w:tr>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3.</w:t>
            </w:r>
          </w:p>
        </w:tc>
        <w:tc>
          <w:tcPr>
            <w:tcW w:w="4849" w:type="dxa"/>
            <w:tcBorders>
              <w:top w:val="single" w:sz="4" w:space="0" w:color="000000"/>
              <w:left w:val="single" w:sz="4" w:space="0" w:color="000000"/>
              <w:bottom w:val="single" w:sz="4" w:space="0" w:color="000000"/>
              <w:right w:val="single" w:sz="4" w:space="0" w:color="000000"/>
            </w:tcBorders>
          </w:tcPr>
          <w:p>
            <w:pPr>
              <w:pStyle w:val="Normal"/>
              <w:widowControl w:val="false"/>
              <w:rPr>
                <w:i/>
                <w:i/>
                <w:sz w:val="24"/>
                <w:szCs w:val="24"/>
              </w:rPr>
            </w:pPr>
            <w:r>
              <w:rPr>
                <w:rFonts w:eastAsia="Calibri"/>
                <w:sz w:val="24"/>
                <w:szCs w:val="24"/>
                <w:lang w:eastAsia="x-none"/>
              </w:rPr>
              <w:t>Оформление и выдача заключения  о состоянии здоровья на каждого работника  прошедшего периодический медосмотр.</w:t>
            </w:r>
          </w:p>
        </w:tc>
        <w:tc>
          <w:tcPr>
            <w:tcW w:w="199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штук</w:t>
            </w:r>
          </w:p>
        </w:tc>
        <w:tc>
          <w:tcPr>
            <w:tcW w:w="211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330</w:t>
            </w:r>
          </w:p>
        </w:tc>
      </w:tr>
      <w:tr>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4.</w:t>
            </w:r>
          </w:p>
        </w:tc>
        <w:tc>
          <w:tcPr>
            <w:tcW w:w="4849"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Calibri"/>
                <w:sz w:val="24"/>
                <w:szCs w:val="24"/>
                <w:lang w:eastAsia="x-none"/>
              </w:rPr>
            </w:pPr>
            <w:r>
              <w:rPr>
                <w:rFonts w:eastAsia="Calibri"/>
                <w:sz w:val="24"/>
                <w:szCs w:val="24"/>
                <w:lang w:eastAsia="x-none"/>
              </w:rPr>
              <w:t>Оформление и выдача паспорта здоровья на каждого  прошедшего периодический медосмотр.</w:t>
            </w:r>
          </w:p>
        </w:tc>
        <w:tc>
          <w:tcPr>
            <w:tcW w:w="199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штук</w:t>
            </w:r>
          </w:p>
        </w:tc>
        <w:tc>
          <w:tcPr>
            <w:tcW w:w="211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3</w:t>
            </w:r>
            <w:r>
              <w:rPr>
                <w:sz w:val="24"/>
                <w:szCs w:val="24"/>
              </w:rPr>
              <w:t>30</w:t>
            </w:r>
          </w:p>
        </w:tc>
      </w:tr>
    </w:tbl>
    <w:p>
      <w:pPr>
        <w:pStyle w:val="Normal"/>
        <w:widowControl w:val="false"/>
        <w:tabs>
          <w:tab w:val="clear" w:pos="708"/>
          <w:tab w:val="left" w:pos="426" w:leader="none"/>
        </w:tabs>
        <w:spacing w:before="120" w:after="120"/>
        <w:ind w:firstLine="142"/>
        <w:rPr>
          <w:bCs/>
          <w:i/>
          <w:i/>
          <w:sz w:val="24"/>
          <w:szCs w:val="24"/>
          <w:shd w:fill="FFFF99" w:val="clear"/>
        </w:rPr>
      </w:pPr>
      <w:r>
        <w:rPr>
          <w:bCs/>
          <w:i/>
          <w:sz w:val="24"/>
          <w:szCs w:val="24"/>
          <w:shd w:fill="FFFF99" w:val="clear"/>
        </w:rPr>
      </w:r>
    </w:p>
    <w:p>
      <w:pPr>
        <w:pStyle w:val="Heading3"/>
        <w:numPr>
          <w:ilvl w:val="2"/>
          <w:numId w:val="3"/>
        </w:numPr>
        <w:ind w:left="709" w:hanging="709"/>
        <w:rPr>
          <w:lang w:val="ru-RU"/>
        </w:rPr>
      </w:pPr>
      <w:bookmarkStart w:id="15" w:name="_Toc54643706"/>
      <w:bookmarkStart w:id="16" w:name="_Toc51339696"/>
      <w:r>
        <w:rPr>
          <w:lang w:val="ru-RU"/>
        </w:rPr>
        <w:t xml:space="preserve">Требования </w:t>
      </w:r>
      <w:bookmarkEnd w:id="16"/>
      <w:r>
        <w:rPr>
          <w:lang w:val="ru-RU"/>
        </w:rPr>
        <w:t>к срокам оказания услуг</w:t>
      </w:r>
      <w:bookmarkEnd w:id="15"/>
    </w:p>
    <w:p>
      <w:pPr>
        <w:pStyle w:val="Heading1"/>
        <w:keepLines/>
        <w:tabs>
          <w:tab w:val="clear" w:pos="0"/>
        </w:tabs>
        <w:spacing w:before="240" w:after="60"/>
        <w:ind w:left="0" w:hanging="0"/>
        <w:rPr>
          <w:sz w:val="24"/>
          <w:szCs w:val="24"/>
          <w:lang w:val="ru-RU"/>
        </w:rPr>
      </w:pPr>
      <w:bookmarkStart w:id="17" w:name="_Toc54643707"/>
      <w:bookmarkStart w:id="18" w:name="_Toc50125127"/>
      <w:bookmarkStart w:id="19" w:name="_Toc51339697"/>
      <w:bookmarkStart w:id="20" w:name="_Toc50125126_Копия_1"/>
      <w:bookmarkEnd w:id="20"/>
      <w:r>
        <w:rPr>
          <w:sz w:val="24"/>
          <w:szCs w:val="24"/>
        </w:rPr>
        <w:t xml:space="preserve">Таблица </w:t>
      </w:r>
      <w:r>
        <w:rPr>
          <w:sz w:val="24"/>
          <w:szCs w:val="24"/>
          <w:lang w:val="ru-RU"/>
        </w:rPr>
        <w:t>3</w:t>
      </w:r>
      <w:r>
        <w:rPr>
          <w:sz w:val="24"/>
          <w:szCs w:val="24"/>
        </w:rPr>
        <w:t xml:space="preserve">. </w:t>
      </w:r>
      <w:bookmarkStart w:id="21" w:name="_Hlk50465284"/>
      <w:r>
        <w:rPr>
          <w:sz w:val="24"/>
          <w:szCs w:val="24"/>
        </w:rPr>
        <w:t xml:space="preserve">Требования </w:t>
      </w:r>
      <w:r>
        <w:rPr>
          <w:sz w:val="24"/>
          <w:szCs w:val="24"/>
          <w:lang w:val="ru-RU"/>
        </w:rPr>
        <w:t>к</w:t>
      </w:r>
      <w:r>
        <w:rPr>
          <w:sz w:val="24"/>
          <w:szCs w:val="24"/>
        </w:rPr>
        <w:t xml:space="preserve"> срокам </w:t>
      </w:r>
      <w:bookmarkEnd w:id="18"/>
      <w:bookmarkEnd w:id="19"/>
      <w:bookmarkEnd w:id="21"/>
      <w:r>
        <w:rPr>
          <w:sz w:val="24"/>
          <w:szCs w:val="24"/>
          <w:lang w:val="ru-RU"/>
        </w:rPr>
        <w:t>оказания услуг</w:t>
      </w:r>
      <w:bookmarkEnd w:id="17"/>
    </w:p>
    <w:tbl>
      <w:tblPr>
        <w:tblW w:w="9776"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1134"/>
        <w:gridCol w:w="2546"/>
        <w:gridCol w:w="2985"/>
        <w:gridCol w:w="3110"/>
      </w:tblGrid>
      <w:tr>
        <w:trPr/>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t xml:space="preserve">№ </w:t>
            </w:r>
            <w:r>
              <w:rPr>
                <w:sz w:val="24"/>
                <w:szCs w:val="24"/>
              </w:rPr>
              <w:t>п/п</w:t>
            </w:r>
          </w:p>
        </w:tc>
        <w:tc>
          <w:tcPr>
            <w:tcW w:w="2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t>Наименование услуг/ этапа услуг</w:t>
            </w:r>
          </w:p>
        </w:tc>
        <w:tc>
          <w:tcPr>
            <w:tcW w:w="298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Требования к началу срока оказания услуг/ этапа услуг</w:t>
            </w:r>
          </w:p>
        </w:tc>
        <w:tc>
          <w:tcPr>
            <w:tcW w:w="31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Требования к окончанию срока оказания услуг / этапа услуг</w:t>
            </w:r>
          </w:p>
        </w:tc>
      </w:tr>
      <w:tr>
        <w:trPr/>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b/>
                <w:sz w:val="24"/>
                <w:szCs w:val="24"/>
              </w:rPr>
              <w:t>1</w:t>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b/>
                <w:sz w:val="24"/>
                <w:szCs w:val="24"/>
              </w:rPr>
              <w:t>2</w:t>
            </w:r>
          </w:p>
        </w:tc>
        <w:tc>
          <w:tcPr>
            <w:tcW w:w="2985" w:type="dxa"/>
            <w:tcBorders>
              <w:top w:val="single" w:sz="4" w:space="0" w:color="000000"/>
              <w:left w:val="single" w:sz="4" w:space="0" w:color="000000"/>
              <w:bottom w:val="single" w:sz="4" w:space="0" w:color="000000"/>
              <w:right w:val="single" w:sz="4" w:space="0" w:color="000000"/>
            </w:tcBorders>
          </w:tcPr>
          <w:p>
            <w:pPr>
              <w:pStyle w:val="Style28"/>
              <w:keepNext w:val="false"/>
              <w:widowControl w:val="false"/>
              <w:spacing w:before="40" w:after="40"/>
              <w:jc w:val="center"/>
              <w:rPr>
                <w:sz w:val="24"/>
                <w:szCs w:val="24"/>
              </w:rPr>
            </w:pPr>
            <w:r>
              <w:rPr>
                <w:b/>
                <w:sz w:val="24"/>
                <w:szCs w:val="24"/>
              </w:rPr>
              <w:t>3</w:t>
            </w:r>
          </w:p>
        </w:tc>
        <w:tc>
          <w:tcPr>
            <w:tcW w:w="3110" w:type="dxa"/>
            <w:tcBorders>
              <w:top w:val="single" w:sz="4" w:space="0" w:color="000000"/>
              <w:left w:val="single" w:sz="4" w:space="0" w:color="000000"/>
              <w:bottom w:val="single" w:sz="4" w:space="0" w:color="000000"/>
              <w:right w:val="single" w:sz="4" w:space="0" w:color="000000"/>
            </w:tcBorders>
          </w:tcPr>
          <w:p>
            <w:pPr>
              <w:pStyle w:val="Style28"/>
              <w:keepNext w:val="false"/>
              <w:widowControl w:val="false"/>
              <w:spacing w:before="40" w:after="40"/>
              <w:jc w:val="center"/>
              <w:rPr>
                <w:sz w:val="24"/>
                <w:szCs w:val="24"/>
              </w:rPr>
            </w:pPr>
            <w:bookmarkStart w:id="22" w:name="_Toc46743510"/>
            <w:r>
              <w:rPr>
                <w:b/>
                <w:sz w:val="24"/>
                <w:szCs w:val="24"/>
              </w:rPr>
              <w:t>4</w:t>
            </w:r>
            <w:bookmarkEnd w:id="22"/>
          </w:p>
        </w:tc>
      </w:tr>
      <w:tr>
        <w:trPr/>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numPr>
                <w:ilvl w:val="0"/>
                <w:numId w:val="9"/>
              </w:numPr>
              <w:jc w:val="center"/>
              <w:rPr/>
            </w:pPr>
            <w:r>
              <w:rPr/>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t>Проведение периодического медицинского осмотра работников Камчатского филиала АО «ТК РусГидро»</w:t>
            </w:r>
          </w:p>
        </w:tc>
        <w:tc>
          <w:tcPr>
            <w:tcW w:w="2985"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С даты подписания договора</w:t>
            </w:r>
          </w:p>
        </w:tc>
        <w:tc>
          <w:tcPr>
            <w:tcW w:w="311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color w:val="000000" w:themeColor="text1"/>
                <w:sz w:val="24"/>
                <w:szCs w:val="24"/>
              </w:rPr>
              <w:t>До 31.1</w:t>
            </w:r>
            <w:r>
              <w:rPr>
                <w:color w:val="000000" w:themeColor="text1"/>
                <w:sz w:val="24"/>
                <w:szCs w:val="24"/>
                <w:lang w:val="en-US"/>
              </w:rPr>
              <w:t>2</w:t>
            </w:r>
            <w:r>
              <w:rPr>
                <w:color w:val="000000" w:themeColor="text1"/>
                <w:sz w:val="24"/>
                <w:szCs w:val="24"/>
              </w:rPr>
              <w:t>.202</w:t>
            </w:r>
            <w:r>
              <w:rPr>
                <w:color w:val="000000" w:themeColor="text1"/>
                <w:sz w:val="24"/>
                <w:szCs w:val="24"/>
              </w:rPr>
              <w:t>7</w:t>
            </w:r>
            <w:r>
              <w:rPr>
                <w:color w:val="000000" w:themeColor="text1"/>
                <w:sz w:val="24"/>
                <w:szCs w:val="24"/>
              </w:rPr>
              <w:t xml:space="preserve"> года</w:t>
            </w:r>
          </w:p>
        </w:tc>
      </w:tr>
      <w:tr>
        <w:trPr/>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numPr>
                <w:ilvl w:val="0"/>
                <w:numId w:val="9"/>
              </w:numPr>
              <w:jc w:val="center"/>
              <w:rPr/>
            </w:pPr>
            <w:r>
              <w:rPr/>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rFonts w:eastAsia="Calibri"/>
                <w:sz w:val="24"/>
                <w:szCs w:val="24"/>
                <w:lang w:eastAsia="x-none"/>
              </w:rPr>
              <w:t>Оформление и выдача заключительного акта предусмотренного Приказом Минздрава России от 28.01.2021 N 29н за первое полугодие.</w:t>
            </w:r>
          </w:p>
        </w:tc>
        <w:tc>
          <w:tcPr>
            <w:tcW w:w="2985"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С даты подписания договора</w:t>
            </w:r>
          </w:p>
        </w:tc>
        <w:tc>
          <w:tcPr>
            <w:tcW w:w="311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lang w:val="en-US"/>
              </w:rPr>
            </w:pPr>
            <w:r>
              <w:rPr>
                <w:sz w:val="24"/>
                <w:szCs w:val="24"/>
              </w:rPr>
              <w:t>До 31.07.202</w:t>
            </w:r>
            <w:r>
              <w:rPr>
                <w:sz w:val="24"/>
                <w:szCs w:val="24"/>
              </w:rPr>
              <w:t>7</w:t>
            </w:r>
            <w:r>
              <w:rPr>
                <w:sz w:val="24"/>
                <w:szCs w:val="24"/>
              </w:rPr>
              <w:t xml:space="preserve"> года.</w:t>
            </w:r>
          </w:p>
        </w:tc>
      </w:tr>
      <w:tr>
        <w:trPr/>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numPr>
                <w:ilvl w:val="0"/>
                <w:numId w:val="9"/>
              </w:numPr>
              <w:jc w:val="center"/>
              <w:rPr/>
            </w:pPr>
            <w:r>
              <w:rPr/>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eastAsia="Calibri"/>
                <w:sz w:val="24"/>
                <w:szCs w:val="24"/>
                <w:lang w:eastAsia="x-none"/>
              </w:rPr>
            </w:pPr>
            <w:r>
              <w:rPr>
                <w:rFonts w:eastAsia="Calibri"/>
                <w:sz w:val="24"/>
                <w:szCs w:val="24"/>
                <w:lang w:eastAsia="x-none"/>
              </w:rPr>
              <w:t>Оформление и выдача заключительного акта предусмотренного Приказом Минздрава России от 28.01.2021 N 29н за второе полугодие.</w:t>
            </w:r>
          </w:p>
        </w:tc>
        <w:tc>
          <w:tcPr>
            <w:tcW w:w="2985"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С даты подписания договора</w:t>
            </w:r>
          </w:p>
        </w:tc>
        <w:tc>
          <w:tcPr>
            <w:tcW w:w="311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color w:val="000000" w:themeColor="text1"/>
                <w:sz w:val="24"/>
                <w:szCs w:val="24"/>
              </w:rPr>
              <w:t>До 31.1</w:t>
            </w:r>
            <w:r>
              <w:rPr>
                <w:color w:val="000000" w:themeColor="text1"/>
                <w:sz w:val="24"/>
                <w:szCs w:val="24"/>
                <w:lang w:val="en-US"/>
              </w:rPr>
              <w:t>2</w:t>
            </w:r>
            <w:r>
              <w:rPr>
                <w:color w:val="000000" w:themeColor="text1"/>
                <w:sz w:val="24"/>
                <w:szCs w:val="24"/>
              </w:rPr>
              <w:t>.202</w:t>
            </w:r>
            <w:r>
              <w:rPr>
                <w:color w:val="000000" w:themeColor="text1"/>
                <w:sz w:val="24"/>
                <w:szCs w:val="24"/>
              </w:rPr>
              <w:t>7</w:t>
            </w:r>
            <w:r>
              <w:rPr>
                <w:color w:val="000000" w:themeColor="text1"/>
                <w:sz w:val="24"/>
                <w:szCs w:val="24"/>
              </w:rPr>
              <w:t xml:space="preserve"> года</w:t>
            </w:r>
          </w:p>
        </w:tc>
      </w:tr>
      <w:tr>
        <w:trPr/>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sz w:val="24"/>
                <w:szCs w:val="24"/>
              </w:rPr>
              <w:t>4.</w:t>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rFonts w:eastAsia="Calibri"/>
                <w:sz w:val="24"/>
                <w:szCs w:val="24"/>
                <w:lang w:eastAsia="x-none"/>
              </w:rPr>
              <w:t>Оформление и выдача заключения  о состоянии здоровья на каждого работника Камчатского филиала АО «ТК РусГидро», прошедшего периодический медосмотр.</w:t>
            </w:r>
          </w:p>
        </w:tc>
        <w:tc>
          <w:tcPr>
            <w:tcW w:w="2985"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С даты подписания договора</w:t>
            </w:r>
          </w:p>
        </w:tc>
        <w:tc>
          <w:tcPr>
            <w:tcW w:w="311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color w:val="000000" w:themeColor="text1"/>
                <w:sz w:val="24"/>
                <w:szCs w:val="24"/>
              </w:rPr>
              <w:t>До 31.1</w:t>
            </w:r>
            <w:r>
              <w:rPr>
                <w:color w:val="000000" w:themeColor="text1"/>
                <w:sz w:val="24"/>
                <w:szCs w:val="24"/>
                <w:lang w:val="en-US"/>
              </w:rPr>
              <w:t>2</w:t>
            </w:r>
            <w:r>
              <w:rPr>
                <w:color w:val="000000" w:themeColor="text1"/>
                <w:sz w:val="24"/>
                <w:szCs w:val="24"/>
              </w:rPr>
              <w:t>.202</w:t>
            </w:r>
            <w:r>
              <w:rPr>
                <w:color w:val="000000" w:themeColor="text1"/>
                <w:sz w:val="24"/>
                <w:szCs w:val="24"/>
              </w:rPr>
              <w:t>7</w:t>
            </w:r>
            <w:r>
              <w:rPr>
                <w:color w:val="000000" w:themeColor="text1"/>
                <w:sz w:val="24"/>
                <w:szCs w:val="24"/>
              </w:rPr>
              <w:t xml:space="preserve"> года</w:t>
            </w:r>
          </w:p>
        </w:tc>
      </w:tr>
    </w:tbl>
    <w:p>
      <w:pPr>
        <w:sectPr>
          <w:headerReference w:type="even" r:id="rId2"/>
          <w:headerReference w:type="default" r:id="rId3"/>
          <w:headerReference w:type="first" r:id="rId4"/>
          <w:type w:val="nextPage"/>
          <w:pgSz w:w="11906" w:h="16838"/>
          <w:pgMar w:left="1134" w:right="851" w:gutter="0" w:header="680" w:top="1134" w:footer="0" w:bottom="992"/>
          <w:pgNumType w:fmt="decimal"/>
          <w:formProt w:val="false"/>
          <w:titlePg/>
          <w:textDirection w:val="lrTb"/>
          <w:docGrid w:type="default" w:linePitch="360" w:charSpace="0"/>
        </w:sectPr>
      </w:pPr>
    </w:p>
    <w:p>
      <w:pPr>
        <w:pStyle w:val="Heading4"/>
        <w:numPr>
          <w:ilvl w:val="1"/>
          <w:numId w:val="3"/>
        </w:numPr>
        <w:rPr/>
      </w:pPr>
      <w:bookmarkStart w:id="23" w:name="_Toc54643709"/>
      <w:bookmarkStart w:id="24" w:name="_Toc51339698"/>
      <w:bookmarkStart w:id="25" w:name="_Toc54643708"/>
      <w:bookmarkStart w:id="26" w:name="_Toc46743511"/>
      <w:r>
        <w:rPr/>
        <w:t xml:space="preserve">Требования к </w:t>
      </w:r>
      <w:bookmarkEnd w:id="26"/>
      <w:r>
        <w:rPr>
          <w:lang w:val="ru-RU"/>
        </w:rPr>
        <w:t xml:space="preserve">качеству </w:t>
      </w:r>
      <w:bookmarkEnd w:id="25"/>
      <w:r>
        <w:rPr>
          <w:lang w:val="ru-RU"/>
        </w:rPr>
        <w:t>продукции</w:t>
      </w:r>
    </w:p>
    <w:p>
      <w:pPr>
        <w:pStyle w:val="Heading1"/>
        <w:keepLines/>
        <w:tabs>
          <w:tab w:val="clear" w:pos="0"/>
        </w:tabs>
        <w:spacing w:before="240" w:after="60"/>
        <w:ind w:left="0" w:hanging="0"/>
        <w:rPr>
          <w:rStyle w:val="Style8"/>
          <w:b/>
          <w:i w:val="false"/>
          <w:i w:val="false"/>
          <w:sz w:val="24"/>
          <w:szCs w:val="24"/>
          <w:shd w:fill="auto" w:val="clear"/>
        </w:rPr>
      </w:pPr>
      <w:r>
        <w:rPr>
          <w:sz w:val="24"/>
          <w:szCs w:val="24"/>
        </w:rPr>
        <w:t>Таблица </w:t>
      </w:r>
      <w:r>
        <w:rPr>
          <w:sz w:val="24"/>
          <w:szCs w:val="24"/>
          <w:lang w:val="ru-RU"/>
        </w:rPr>
        <w:t>4</w:t>
      </w:r>
      <w:r>
        <w:rPr>
          <w:sz w:val="24"/>
          <w:szCs w:val="24"/>
        </w:rPr>
        <w:t xml:space="preserve">. Требования к </w:t>
      </w:r>
      <w:bookmarkEnd w:id="24"/>
      <w:r>
        <w:rPr>
          <w:sz w:val="24"/>
          <w:szCs w:val="24"/>
          <w:lang w:val="ru-RU"/>
        </w:rPr>
        <w:t xml:space="preserve">качеству </w:t>
      </w:r>
      <w:bookmarkEnd w:id="23"/>
      <w:r>
        <w:rPr>
          <w:sz w:val="24"/>
          <w:szCs w:val="24"/>
          <w:lang w:val="ru-RU"/>
        </w:rPr>
        <w:t>продукции</w:t>
      </w:r>
      <w:r>
        <w:rPr>
          <w:sz w:val="24"/>
          <w:szCs w:val="24"/>
        </w:rPr>
        <w:t xml:space="preserve"> </w:t>
      </w:r>
    </w:p>
    <w:p>
      <w:pPr>
        <w:pStyle w:val="Normal"/>
        <w:rPr>
          <w:i/>
          <w:i/>
          <w:iCs/>
          <w:shd w:fill="FFFF99" w:val="clear"/>
        </w:rPr>
      </w:pPr>
      <w:r>
        <w:rPr>
          <w:b/>
          <w:bCs/>
          <w:sz w:val="24"/>
          <w:szCs w:val="24"/>
        </w:rPr>
        <w:t xml:space="preserve">Наименование услуг/этапа услуг (позиция № 1 Таблицы 2): </w:t>
      </w:r>
      <w:r>
        <w:rPr>
          <w:bCs/>
          <w:sz w:val="24"/>
          <w:szCs w:val="24"/>
        </w:rPr>
        <w:t>ОКПД 2: 86.10.19.000 Проведение периодических медицинских осмотров г. Петропавловск-Камчатский для нужд Камчатского филиала АО "ТК РусГидро"</w:t>
      </w:r>
    </w:p>
    <w:tbl>
      <w:tblPr>
        <w:tblStyle w:val="affff8"/>
        <w:tblW w:w="15309" w:type="dxa"/>
        <w:jc w:val="left"/>
        <w:tblInd w:w="-5" w:type="dxa"/>
        <w:tblLayout w:type="fixed"/>
        <w:tblCellMar>
          <w:top w:w="0" w:type="dxa"/>
          <w:left w:w="108" w:type="dxa"/>
          <w:bottom w:w="0" w:type="dxa"/>
          <w:right w:w="108" w:type="dxa"/>
        </w:tblCellMar>
        <w:tblLook w:noVBand="1" w:val="04a0" w:noHBand="0" w:lastColumn="0" w:firstColumn="1" w:lastRow="0" w:firstRow="1"/>
      </w:tblPr>
      <w:tblGrid>
        <w:gridCol w:w="1042"/>
        <w:gridCol w:w="2780"/>
        <w:gridCol w:w="3549"/>
        <w:gridCol w:w="2504"/>
        <w:gridCol w:w="2762"/>
        <w:gridCol w:w="2671"/>
      </w:tblGrid>
      <w:tr>
        <w:trPr>
          <w:trHeight w:val="143" w:hRule="atLeast"/>
        </w:trPr>
        <w:tc>
          <w:tcPr>
            <w:tcW w:w="1042" w:type="dxa"/>
            <w:vMerge w:val="restart"/>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 xml:space="preserve">№ </w:t>
            </w:r>
            <w:r>
              <w:rPr>
                <w:rFonts w:eastAsia="Times New Roman" w:cs="Times New Roman"/>
                <w:b/>
                <w:bCs/>
                <w:kern w:val="0"/>
                <w:sz w:val="24"/>
                <w:szCs w:val="24"/>
                <w:lang w:val="ru-RU" w:eastAsia="ru-RU" w:bidi="ar-SA"/>
              </w:rPr>
              <w:t>п/п</w:t>
            </w:r>
          </w:p>
        </w:tc>
        <w:tc>
          <w:tcPr>
            <w:tcW w:w="2780" w:type="dxa"/>
            <w:vMerge w:val="restart"/>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Наименование параметра</w:t>
            </w:r>
          </w:p>
        </w:tc>
        <w:tc>
          <w:tcPr>
            <w:tcW w:w="3549" w:type="dxa"/>
            <w:vMerge w:val="restart"/>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Требование заказчика</w:t>
            </w:r>
          </w:p>
        </w:tc>
        <w:tc>
          <w:tcPr>
            <w:tcW w:w="5266" w:type="dxa"/>
            <w:gridSpan w:val="2"/>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Способ подтверждения участником соответствия требованиям</w:t>
            </w:r>
          </w:p>
        </w:tc>
        <w:tc>
          <w:tcPr>
            <w:tcW w:w="2671" w:type="dxa"/>
            <w:vMerge w:val="restart"/>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Предложение участника по характеристикам и параметрам</w:t>
            </w:r>
          </w:p>
        </w:tc>
      </w:tr>
      <w:tr>
        <w:trPr>
          <w:trHeight w:val="143" w:hRule="atLeast"/>
        </w:trPr>
        <w:tc>
          <w:tcPr>
            <w:tcW w:w="1042" w:type="dxa"/>
            <w:vMerge w:val="continue"/>
            <w:tcBorders/>
            <w:vAlign w:val="center"/>
          </w:tcPr>
          <w:p>
            <w:pPr>
              <w:pStyle w:val="Normal"/>
              <w:widowControl w:val="false"/>
              <w:suppressAutoHyphens w:val="true"/>
              <w:spacing w:before="0" w:after="0"/>
              <w:jc w:val="left"/>
              <w:rPr>
                <w:b/>
                <w:bCs/>
                <w:sz w:val="24"/>
                <w:szCs w:val="24"/>
              </w:rPr>
            </w:pPr>
            <w:r>
              <w:rPr>
                <w:rFonts w:eastAsia="Times New Roman" w:cs="Times New Roman"/>
                <w:b/>
                <w:bCs/>
                <w:kern w:val="0"/>
                <w:sz w:val="24"/>
                <w:szCs w:val="24"/>
                <w:lang w:val="ru-RU" w:eastAsia="ru-RU" w:bidi="ar-SA"/>
              </w:rPr>
            </w:r>
          </w:p>
        </w:tc>
        <w:tc>
          <w:tcPr>
            <w:tcW w:w="2780" w:type="dxa"/>
            <w:vMerge w:val="continue"/>
            <w:tcBorders/>
            <w:vAlign w:val="center"/>
          </w:tcPr>
          <w:p>
            <w:pPr>
              <w:pStyle w:val="Normal"/>
              <w:widowControl w:val="false"/>
              <w:suppressAutoHyphens w:val="true"/>
              <w:spacing w:before="0" w:after="0"/>
              <w:jc w:val="left"/>
              <w:rPr>
                <w:b/>
                <w:bCs/>
                <w:sz w:val="24"/>
                <w:szCs w:val="24"/>
              </w:rPr>
            </w:pPr>
            <w:r>
              <w:rPr>
                <w:rFonts w:eastAsia="Times New Roman" w:cs="Times New Roman"/>
                <w:b/>
                <w:bCs/>
                <w:kern w:val="0"/>
                <w:sz w:val="24"/>
                <w:szCs w:val="24"/>
                <w:lang w:val="ru-RU" w:eastAsia="ru-RU" w:bidi="ar-SA"/>
              </w:rPr>
            </w:r>
          </w:p>
        </w:tc>
        <w:tc>
          <w:tcPr>
            <w:tcW w:w="3549" w:type="dxa"/>
            <w:vMerge w:val="continue"/>
            <w:tcBorders/>
            <w:vAlign w:val="center"/>
          </w:tcPr>
          <w:p>
            <w:pPr>
              <w:pStyle w:val="Normal"/>
              <w:widowControl w:val="false"/>
              <w:suppressAutoHyphens w:val="true"/>
              <w:spacing w:before="0" w:after="0"/>
              <w:jc w:val="left"/>
              <w:rPr>
                <w:b/>
                <w:bCs/>
                <w:sz w:val="24"/>
                <w:szCs w:val="24"/>
              </w:rPr>
            </w:pPr>
            <w:r>
              <w:rPr>
                <w:rFonts w:eastAsia="Times New Roman" w:cs="Times New Roman"/>
                <w:b/>
                <w:bCs/>
                <w:kern w:val="0"/>
                <w:sz w:val="24"/>
                <w:szCs w:val="24"/>
                <w:lang w:val="ru-RU" w:eastAsia="ru-RU" w:bidi="ar-SA"/>
              </w:rPr>
            </w:r>
          </w:p>
        </w:tc>
        <w:tc>
          <w:tcPr>
            <w:tcW w:w="2504" w:type="dxa"/>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Согласие с требованием/ указание характеристик</w:t>
            </w:r>
          </w:p>
        </w:tc>
        <w:tc>
          <w:tcPr>
            <w:tcW w:w="2762" w:type="dxa"/>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Предоставление подтверждающего документа или иной способ подтверждения</w:t>
            </w:r>
          </w:p>
        </w:tc>
        <w:tc>
          <w:tcPr>
            <w:tcW w:w="2671" w:type="dxa"/>
            <w:vMerge w:val="continue"/>
            <w:tcBorders/>
            <w:shd w:color="auto" w:fill="auto" w:val="clear"/>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r>
          </w:p>
        </w:tc>
      </w:tr>
      <w:tr>
        <w:trPr>
          <w:trHeight w:val="143" w:hRule="atLeast"/>
        </w:trPr>
        <w:tc>
          <w:tcPr>
            <w:tcW w:w="1042" w:type="dxa"/>
            <w:tcBorders/>
            <w:vAlign w:val="center"/>
          </w:tcPr>
          <w:p>
            <w:pPr>
              <w:pStyle w:val="Normal"/>
              <w:widowControl w:val="false"/>
              <w:suppressAutoHyphens w:val="true"/>
              <w:spacing w:before="0" w:after="0"/>
              <w:jc w:val="center"/>
              <w:rPr>
                <w:b/>
                <w:bCs/>
                <w:sz w:val="24"/>
                <w:szCs w:val="24"/>
              </w:rPr>
            </w:pPr>
            <w:bookmarkStart w:id="27" w:name="_Toc53499667"/>
            <w:r>
              <w:rPr>
                <w:rFonts w:eastAsia="Times New Roman" w:cs="Times New Roman"/>
                <w:b/>
                <w:bCs/>
                <w:kern w:val="0"/>
                <w:sz w:val="24"/>
                <w:szCs w:val="24"/>
                <w:lang w:val="ru-RU" w:eastAsia="ru-RU" w:bidi="ar-SA"/>
              </w:rPr>
              <w:t>1</w:t>
            </w:r>
            <w:bookmarkEnd w:id="27"/>
          </w:p>
        </w:tc>
        <w:tc>
          <w:tcPr>
            <w:tcW w:w="2780" w:type="dxa"/>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2</w:t>
            </w:r>
          </w:p>
        </w:tc>
        <w:tc>
          <w:tcPr>
            <w:tcW w:w="3549" w:type="dxa"/>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3</w:t>
            </w:r>
          </w:p>
        </w:tc>
        <w:tc>
          <w:tcPr>
            <w:tcW w:w="2504" w:type="dxa"/>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4</w:t>
            </w:r>
          </w:p>
        </w:tc>
        <w:tc>
          <w:tcPr>
            <w:tcW w:w="2762" w:type="dxa"/>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5</w:t>
            </w:r>
          </w:p>
        </w:tc>
        <w:tc>
          <w:tcPr>
            <w:tcW w:w="2671" w:type="dxa"/>
            <w:tcBorders/>
            <w:shd w:color="auto" w:fill="auto" w:val="clear"/>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6</w:t>
            </w:r>
          </w:p>
        </w:tc>
      </w:tr>
      <w:tr>
        <w:trPr>
          <w:trHeight w:val="143" w:hRule="atLeast"/>
        </w:trPr>
        <w:tc>
          <w:tcPr>
            <w:tcW w:w="1042" w:type="dxa"/>
            <w:tcBorders/>
            <w:vAlign w:val="center"/>
          </w:tcPr>
          <w:p>
            <w:pPr>
              <w:pStyle w:val="ListParagraph"/>
              <w:widowControl w:val="false"/>
              <w:numPr>
                <w:ilvl w:val="0"/>
                <w:numId w:val="6"/>
              </w:numPr>
              <w:suppressAutoHyphens w:val="true"/>
              <w:spacing w:before="60" w:after="60"/>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6329" w:type="dxa"/>
            <w:gridSpan w:val="2"/>
            <w:tcBorders/>
            <w:vAlign w:val="center"/>
          </w:tcPr>
          <w:p>
            <w:pPr>
              <w:pStyle w:val="Normal"/>
              <w:widowControl w:val="false"/>
              <w:suppressAutoHyphens w:val="true"/>
              <w:spacing w:before="0" w:after="0"/>
              <w:jc w:val="left"/>
              <w:rPr>
                <w:b/>
                <w:sz w:val="24"/>
                <w:szCs w:val="24"/>
              </w:rPr>
            </w:pPr>
            <w:r>
              <w:rPr>
                <w:rFonts w:eastAsia="Times New Roman" w:cs="Times New Roman"/>
                <w:b/>
                <w:kern w:val="0"/>
                <w:sz w:val="24"/>
                <w:szCs w:val="24"/>
                <w:lang w:val="ru-RU" w:eastAsia="ru-RU" w:bidi="ar-SA"/>
              </w:rPr>
              <w:t xml:space="preserve">Требования к оказанию услуг </w:t>
            </w:r>
          </w:p>
        </w:tc>
        <w:tc>
          <w:tcPr>
            <w:tcW w:w="2504" w:type="dxa"/>
            <w:vMerge w:val="restart"/>
            <w:tcBorders/>
          </w:tcPr>
          <w:p>
            <w:pPr>
              <w:pStyle w:val="Normal"/>
              <w:keepNext w:val="true"/>
              <w:widowControl w:val="false"/>
              <w:suppressAutoHyphens w:val="true"/>
              <w:spacing w:before="60" w:after="60"/>
              <w:jc w:val="center"/>
              <w:rPr>
                <w:i/>
                <w:i/>
                <w:sz w:val="24"/>
                <w:szCs w:val="24"/>
              </w:rPr>
            </w:pPr>
            <w:r>
              <w:rPr>
                <w:rFonts w:eastAsia="Times New Roman" w:cs="Times New Roman"/>
                <w:i/>
                <w:kern w:val="0"/>
                <w:sz w:val="24"/>
                <w:szCs w:val="24"/>
                <w:lang w:val="ru-RU" w:eastAsia="ru-RU" w:bidi="ar-SA"/>
              </w:rPr>
              <w:t>Участник должен предоставить в заявке согласие оказать услуги, полностью соответствующие настоящим техническим требованиям, по форме Технического предложения, установленной в Документации о закупке</w:t>
            </w:r>
          </w:p>
        </w:tc>
        <w:tc>
          <w:tcPr>
            <w:tcW w:w="2762"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c>
          <w:tcPr>
            <w:tcW w:w="2671"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r>
          </w:p>
        </w:tc>
      </w:tr>
      <w:tr>
        <w:trPr>
          <w:trHeight w:val="247" w:hRule="atLeast"/>
        </w:trPr>
        <w:tc>
          <w:tcPr>
            <w:tcW w:w="1042" w:type="dxa"/>
            <w:tcBorders/>
            <w:vAlign w:val="center"/>
          </w:tcPr>
          <w:p>
            <w:pPr>
              <w:pStyle w:val="ListParagraph"/>
              <w:widowControl w:val="false"/>
              <w:numPr>
                <w:ilvl w:val="1"/>
                <w:numId w:val="6"/>
              </w:numPr>
              <w:suppressAutoHyphens w:val="true"/>
              <w:spacing w:before="60" w:after="60"/>
              <w:ind w:left="-117" w:firstLine="142"/>
              <w:contextualSpacing/>
              <w:jc w:val="center"/>
              <w:rPr>
                <w:b/>
                <w:bCs/>
              </w:rPr>
            </w:pPr>
            <w:r>
              <w:rPr>
                <w:rFonts w:cs="Times New Roman"/>
                <w:b/>
                <w:bCs/>
                <w:kern w:val="0"/>
                <w:lang w:val="ru-RU" w:eastAsia="ru-RU" w:bidi="ar-SA"/>
              </w:rPr>
            </w:r>
          </w:p>
        </w:tc>
        <w:tc>
          <w:tcPr>
            <w:tcW w:w="6329" w:type="dxa"/>
            <w:gridSpan w:val="2"/>
            <w:tcBorders/>
            <w:vAlign w:val="center"/>
          </w:tcPr>
          <w:p>
            <w:pPr>
              <w:pStyle w:val="Normal"/>
              <w:widowControl w:val="false"/>
              <w:suppressAutoHyphens w:val="true"/>
              <w:spacing w:before="60" w:after="60"/>
              <w:jc w:val="left"/>
              <w:rPr>
                <w:b/>
                <w:sz w:val="24"/>
                <w:szCs w:val="24"/>
              </w:rPr>
            </w:pPr>
            <w:r>
              <w:rPr>
                <w:rFonts w:eastAsia="Times New Roman" w:cs="Times New Roman"/>
                <w:b/>
                <w:kern w:val="0"/>
                <w:sz w:val="24"/>
                <w:szCs w:val="24"/>
                <w:lang w:val="ru-RU" w:eastAsia="ru-RU" w:bidi="ar-SA"/>
              </w:rPr>
              <w:t xml:space="preserve">Общие требования к оказанию услуг </w:t>
            </w:r>
          </w:p>
        </w:tc>
        <w:tc>
          <w:tcPr>
            <w:tcW w:w="2504" w:type="dxa"/>
            <w:vMerge w:val="continue"/>
            <w:tcBorders/>
          </w:tcPr>
          <w:p>
            <w:pPr>
              <w:pStyle w:val="Normal"/>
              <w:widowControl w:val="false"/>
              <w:suppressAutoHyphens w:val="true"/>
              <w:spacing w:before="0" w:after="0"/>
              <w:jc w:val="left"/>
              <w:rPr>
                <w:b/>
                <w:sz w:val="24"/>
                <w:szCs w:val="24"/>
              </w:rPr>
            </w:pPr>
            <w:r>
              <w:rPr>
                <w:rFonts w:eastAsia="Times New Roman" w:cs="Times New Roman"/>
                <w:b/>
                <w:kern w:val="0"/>
                <w:sz w:val="24"/>
                <w:szCs w:val="24"/>
                <w:lang w:val="ru-RU" w:eastAsia="ru-RU" w:bidi="ar-SA"/>
              </w:rPr>
            </w:r>
          </w:p>
        </w:tc>
        <w:tc>
          <w:tcPr>
            <w:tcW w:w="2762"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c>
          <w:tcPr>
            <w:tcW w:w="2671"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r>
          </w:p>
        </w:tc>
      </w:tr>
      <w:tr>
        <w:trPr>
          <w:trHeight w:val="143" w:hRule="atLeast"/>
        </w:trPr>
        <w:tc>
          <w:tcPr>
            <w:tcW w:w="1042"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780" w:type="dxa"/>
            <w:tcBorders/>
            <w:shd w:color="auto" w:fill="auto" w:val="clear"/>
          </w:tcPr>
          <w:p>
            <w:pPr>
              <w:pStyle w:val="Normal"/>
              <w:widowControl w:val="false"/>
              <w:suppressAutoHyphens w:val="true"/>
              <w:spacing w:before="0" w:after="0"/>
              <w:jc w:val="left"/>
              <w:rPr>
                <w:sz w:val="24"/>
                <w:szCs w:val="24"/>
              </w:rPr>
            </w:pPr>
            <w:r>
              <w:rPr>
                <w:rFonts w:eastAsia="Calibri" w:cs="Times New Roman"/>
                <w:kern w:val="0"/>
                <w:sz w:val="24"/>
                <w:szCs w:val="24"/>
                <w:lang w:val="ru-RU" w:eastAsia="x-none" w:bidi="ar-SA"/>
              </w:rPr>
              <w:t xml:space="preserve">Проведение периодических медицинских осмотров </w:t>
            </w:r>
          </w:p>
        </w:tc>
        <w:tc>
          <w:tcPr>
            <w:tcW w:w="3549"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При оказании услуг исполнитель должен руководствоваться следующими НПА: Приказ Минздрава России от 28.01.2021 N 29н</w:t>
            </w:r>
          </w:p>
        </w:tc>
        <w:tc>
          <w:tcPr>
            <w:tcW w:w="2504" w:type="dxa"/>
            <w:vMerge w:val="continue"/>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r>
          </w:p>
        </w:tc>
        <w:tc>
          <w:tcPr>
            <w:tcW w:w="2762" w:type="dxa"/>
            <w:tcBorders/>
            <w:shd w:color="auto" w:fill="auto" w:val="clear"/>
          </w:tcPr>
          <w:p>
            <w:pPr>
              <w:pStyle w:val="Style27"/>
              <w:keepNext w:val="false"/>
              <w:widowControl w:val="false"/>
              <w:numPr>
                <w:ilvl w:val="0"/>
                <w:numId w:val="0"/>
              </w:numPr>
              <w:suppressAutoHyphens w:val="true"/>
              <w:spacing w:before="0" w:after="60"/>
              <w:jc w:val="left"/>
              <w:outlineLvl w:val="2"/>
              <w:rPr>
                <w:rFonts w:eastAsia="Times New Roman"/>
                <w:lang w:val="ru-RU" w:eastAsia="ru-RU"/>
              </w:rPr>
            </w:pPr>
            <w:r>
              <w:rPr>
                <w:rFonts w:eastAsia="Times New Roman" w:cs="Times New Roman"/>
                <w:kern w:val="0"/>
                <w:sz w:val="20"/>
                <w:szCs w:val="20"/>
                <w:lang w:val="ru-RU" w:eastAsia="ru-RU" w:bidi="ar-SA"/>
              </w:rPr>
            </w:r>
          </w:p>
        </w:tc>
        <w:tc>
          <w:tcPr>
            <w:tcW w:w="2671" w:type="dxa"/>
            <w:tcBorders/>
          </w:tcPr>
          <w:p>
            <w:pPr>
              <w:pStyle w:val="Style27"/>
              <w:keepNext w:val="false"/>
              <w:widowControl w:val="false"/>
              <w:numPr>
                <w:ilvl w:val="0"/>
                <w:numId w:val="0"/>
              </w:numPr>
              <w:suppressAutoHyphens w:val="true"/>
              <w:spacing w:before="0" w:after="60"/>
              <w:jc w:val="left"/>
              <w:outlineLvl w:val="2"/>
              <w:rPr>
                <w:rFonts w:eastAsia="Times New Roman"/>
                <w:lang w:val="ru-RU" w:eastAsia="ru-RU"/>
              </w:rPr>
            </w:pPr>
            <w:r>
              <w:rPr>
                <w:rFonts w:eastAsia="Times New Roman" w:cs="Times New Roman"/>
                <w:kern w:val="0"/>
                <w:sz w:val="20"/>
                <w:szCs w:val="20"/>
                <w:lang w:val="ru-RU" w:eastAsia="ru-RU" w:bidi="ar-SA"/>
              </w:rPr>
            </w:r>
          </w:p>
        </w:tc>
      </w:tr>
      <w:tr>
        <w:trPr>
          <w:trHeight w:val="143" w:hRule="atLeast"/>
        </w:trPr>
        <w:tc>
          <w:tcPr>
            <w:tcW w:w="1042" w:type="dxa"/>
            <w:tcBorders>
              <w:top w:val="nil"/>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t>‍</w:t>
            </w:r>
          </w:p>
        </w:tc>
        <w:tc>
          <w:tcPr>
            <w:tcW w:w="2780" w:type="dxa"/>
            <w:tcBorders>
              <w:top w:val="nil"/>
            </w:tcBorders>
            <w:shd w:color="auto" w:fill="auto" w:val="clear"/>
          </w:tcPr>
          <w:p>
            <w:pPr>
              <w:pStyle w:val="Normal"/>
              <w:widowControl w:val="false"/>
              <w:suppressAutoHyphens w:val="true"/>
              <w:spacing w:before="0" w:after="0"/>
              <w:jc w:val="left"/>
              <w:rPr>
                <w:sz w:val="24"/>
                <w:szCs w:val="24"/>
              </w:rPr>
            </w:pPr>
            <w:r>
              <w:rPr>
                <w:rFonts w:eastAsia="Calibri" w:cs="Times New Roman"/>
                <w:kern w:val="0"/>
                <w:sz w:val="24"/>
                <w:szCs w:val="24"/>
                <w:lang w:val="ru-RU" w:eastAsia="x-none" w:bidi="ar-SA"/>
              </w:rPr>
              <w:t>Оформление и выдача заключительного акта предусмотренного Приказом Минздрава России от 28.01.2021 N 29н.</w:t>
            </w:r>
          </w:p>
        </w:tc>
        <w:tc>
          <w:tcPr>
            <w:tcW w:w="3549"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При оказании услуг исполнитель должен руководствоваться следующими НПА: Приказ Минздрава России от 28.01.2021 N 29н</w:t>
            </w:r>
          </w:p>
        </w:tc>
        <w:tc>
          <w:tcPr>
            <w:tcW w:w="2504" w:type="dxa"/>
            <w:vMerge w:val="continue"/>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r>
          </w:p>
        </w:tc>
        <w:tc>
          <w:tcPr>
            <w:tcW w:w="2762" w:type="dxa"/>
            <w:tcBorders>
              <w:top w:val="nil"/>
            </w:tcBorders>
            <w:shd w:color="auto" w:fill="auto" w:val="clear"/>
          </w:tcPr>
          <w:p>
            <w:pPr>
              <w:pStyle w:val="Style27"/>
              <w:keepNext w:val="false"/>
              <w:widowControl w:val="false"/>
              <w:numPr>
                <w:ilvl w:val="0"/>
                <w:numId w:val="0"/>
              </w:numPr>
              <w:suppressAutoHyphens w:val="true"/>
              <w:spacing w:before="0" w:after="60"/>
              <w:jc w:val="left"/>
              <w:outlineLvl w:val="2"/>
              <w:rPr>
                <w:rFonts w:eastAsia="Times New Roman"/>
                <w:lang w:val="ru-RU" w:eastAsia="ru-RU"/>
              </w:rPr>
            </w:pPr>
            <w:r>
              <w:rPr>
                <w:rFonts w:eastAsia="Times New Roman" w:cs="Times New Roman"/>
                <w:kern w:val="0"/>
                <w:sz w:val="20"/>
                <w:szCs w:val="20"/>
                <w:lang w:val="ru-RU" w:eastAsia="ru-RU" w:bidi="ar-SA"/>
              </w:rPr>
            </w:r>
          </w:p>
        </w:tc>
        <w:tc>
          <w:tcPr>
            <w:tcW w:w="2671" w:type="dxa"/>
            <w:tcBorders>
              <w:top w:val="nil"/>
            </w:tcBorders>
          </w:tcPr>
          <w:p>
            <w:pPr>
              <w:pStyle w:val="Style27"/>
              <w:keepNext w:val="false"/>
              <w:widowControl w:val="false"/>
              <w:numPr>
                <w:ilvl w:val="0"/>
                <w:numId w:val="0"/>
              </w:numPr>
              <w:suppressAutoHyphens w:val="true"/>
              <w:spacing w:before="0" w:after="60"/>
              <w:jc w:val="left"/>
              <w:outlineLvl w:val="2"/>
              <w:rPr>
                <w:rFonts w:eastAsia="Times New Roman"/>
                <w:lang w:val="ru-RU" w:eastAsia="ru-RU"/>
              </w:rPr>
            </w:pPr>
            <w:r>
              <w:rPr>
                <w:rFonts w:eastAsia="Times New Roman" w:cs="Times New Roman"/>
                <w:kern w:val="0"/>
                <w:sz w:val="20"/>
                <w:szCs w:val="20"/>
                <w:lang w:val="ru-RU" w:eastAsia="ru-RU" w:bidi="ar-SA"/>
              </w:rPr>
            </w:r>
          </w:p>
        </w:tc>
      </w:tr>
      <w:tr>
        <w:trPr>
          <w:trHeight w:val="143" w:hRule="atLeast"/>
        </w:trPr>
        <w:tc>
          <w:tcPr>
            <w:tcW w:w="1042"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780"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 xml:space="preserve">Наличие действующей лицензии на осуществление следующего вида медицинской деятельности: «Работы (услуги) по медицинским осмотрам (периодическим)» </w:t>
            </w:r>
          </w:p>
        </w:tc>
        <w:tc>
          <w:tcPr>
            <w:tcW w:w="3549"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Участником закупки может быть только юридическое лицо, имеющее действующую и не приостановленную лицензию на осуществление следующего вида медицинской деятельности: «Работы (услуги) по медицинским осмотрам (периодическим)»</w:t>
            </w:r>
          </w:p>
        </w:tc>
        <w:tc>
          <w:tcPr>
            <w:tcW w:w="2504" w:type="dxa"/>
            <w:vMerge w:val="continue"/>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r>
          </w:p>
        </w:tc>
        <w:tc>
          <w:tcPr>
            <w:tcW w:w="2762"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Предоставление лицензии на осуществление следующего вида медицинской деятельности: «Работы (услуги) по медицинским осмотрам (периодическим)».</w:t>
            </w:r>
          </w:p>
        </w:tc>
        <w:tc>
          <w:tcPr>
            <w:tcW w:w="2671" w:type="dxa"/>
            <w:tcBorders/>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r>
          </w:p>
        </w:tc>
      </w:tr>
      <w:tr>
        <w:trPr>
          <w:trHeight w:val="143" w:hRule="atLeast"/>
        </w:trPr>
        <w:tc>
          <w:tcPr>
            <w:tcW w:w="1042"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6329" w:type="dxa"/>
            <w:gridSpan w:val="2"/>
            <w:tcBorders/>
            <w:shd w:color="auto" w:fill="auto" w:val="clear"/>
          </w:tcPr>
          <w:p>
            <w:pPr>
              <w:pStyle w:val="Normal"/>
              <w:widowControl w:val="false"/>
              <w:tabs>
                <w:tab w:val="clear" w:pos="708"/>
                <w:tab w:val="left" w:pos="426" w:leader="none"/>
              </w:tabs>
              <w:suppressAutoHyphens w:val="true"/>
              <w:spacing w:before="60" w:after="0"/>
              <w:jc w:val="both"/>
              <w:rPr>
                <w:b/>
                <w:sz w:val="24"/>
                <w:szCs w:val="24"/>
              </w:rPr>
            </w:pPr>
            <w:r>
              <w:rPr>
                <w:rFonts w:eastAsia="Times New Roman" w:cs="Times New Roman"/>
                <w:b/>
                <w:kern w:val="0"/>
                <w:sz w:val="24"/>
                <w:szCs w:val="24"/>
                <w:lang w:val="ru-RU" w:eastAsia="ru-RU" w:bidi="ar-SA"/>
              </w:rPr>
              <w:t>Требования к способам оказания услуг</w:t>
            </w:r>
          </w:p>
        </w:tc>
        <w:tc>
          <w:tcPr>
            <w:tcW w:w="2504" w:type="dxa"/>
            <w:vMerge w:val="continue"/>
            <w:tcBorders/>
            <w:shd w:color="auto" w:fill="auto" w:val="clear"/>
          </w:tcPr>
          <w:p>
            <w:pPr>
              <w:pStyle w:val="Normal"/>
              <w:widowControl w:val="false"/>
              <w:suppressAutoHyphens w:val="true"/>
              <w:spacing w:before="0" w:after="0"/>
              <w:jc w:val="left"/>
              <w:rPr>
                <w:b/>
                <w:sz w:val="24"/>
                <w:szCs w:val="24"/>
              </w:rPr>
            </w:pPr>
            <w:r>
              <w:rPr>
                <w:rFonts w:eastAsia="Times New Roman" w:cs="Times New Roman"/>
                <w:b/>
                <w:kern w:val="0"/>
                <w:sz w:val="24"/>
                <w:szCs w:val="24"/>
                <w:lang w:val="ru-RU" w:eastAsia="ru-RU" w:bidi="ar-SA"/>
              </w:rPr>
            </w:r>
          </w:p>
        </w:tc>
        <w:tc>
          <w:tcPr>
            <w:tcW w:w="2762" w:type="dxa"/>
            <w:tcBorders/>
            <w:shd w:color="auto" w:fill="auto" w:val="clear"/>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c>
          <w:tcPr>
            <w:tcW w:w="2671"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r>
          </w:p>
        </w:tc>
      </w:tr>
      <w:tr>
        <w:trPr>
          <w:trHeight w:val="143" w:hRule="atLeast"/>
        </w:trPr>
        <w:tc>
          <w:tcPr>
            <w:tcW w:w="1042"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780"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Проведение периодических медицинских осмотров на территории г. Петропавловска-Камчатского Камчатского края.</w:t>
            </w:r>
          </w:p>
        </w:tc>
        <w:tc>
          <w:tcPr>
            <w:tcW w:w="3549" w:type="dxa"/>
            <w:tcBorders/>
            <w:shd w:color="auto" w:fill="auto" w:val="clear"/>
          </w:tcPr>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Исходя из географической или территориальной привязки Заказчика и нахождения большой части рабочих мест или проживания работников Заказчика, Исполнитель должен осуществлять деятельность на территории г. Петропавловска-Камчатского Камчатского края.</w:t>
            </w:r>
          </w:p>
        </w:tc>
        <w:tc>
          <w:tcPr>
            <w:tcW w:w="2504" w:type="dxa"/>
            <w:vMerge w:val="continue"/>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r>
          </w:p>
        </w:tc>
        <w:tc>
          <w:tcPr>
            <w:tcW w:w="2762"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Предоставление выписки из ЕГРЮЛ.</w:t>
            </w:r>
          </w:p>
        </w:tc>
        <w:tc>
          <w:tcPr>
            <w:tcW w:w="2671" w:type="dxa"/>
            <w:tcBorders/>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r>
          </w:p>
        </w:tc>
      </w:tr>
      <w:tr>
        <w:trPr>
          <w:trHeight w:val="143" w:hRule="atLeast"/>
        </w:trPr>
        <w:tc>
          <w:tcPr>
            <w:tcW w:w="1042"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780"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Время оказания услуг.</w:t>
            </w:r>
          </w:p>
        </w:tc>
        <w:tc>
          <w:tcPr>
            <w:tcW w:w="3549" w:type="dxa"/>
            <w:tcBorders/>
            <w:shd w:color="auto" w:fill="auto" w:val="clear"/>
          </w:tcPr>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Услуги должны оказываться подрядчиком 5 дней в неделю, кроме субботы и воскресенья с 9.00 часов до 17.00 часов, без учета времени на перерыв или обед.</w:t>
            </w:r>
          </w:p>
        </w:tc>
        <w:tc>
          <w:tcPr>
            <w:tcW w:w="2504" w:type="dxa"/>
            <w:vMerge w:val="continue"/>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r>
          </w:p>
        </w:tc>
        <w:tc>
          <w:tcPr>
            <w:tcW w:w="2762"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r>
          </w:p>
        </w:tc>
        <w:tc>
          <w:tcPr>
            <w:tcW w:w="2671" w:type="dxa"/>
            <w:tcBorders/>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r>
          </w:p>
        </w:tc>
      </w:tr>
      <w:tr>
        <w:trPr>
          <w:trHeight w:val="143" w:hRule="atLeast"/>
        </w:trPr>
        <w:tc>
          <w:tcPr>
            <w:tcW w:w="1042"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6329" w:type="dxa"/>
            <w:gridSpan w:val="2"/>
            <w:tcBorders/>
            <w:vAlign w:val="center"/>
          </w:tcPr>
          <w:p>
            <w:pPr>
              <w:pStyle w:val="Normal"/>
              <w:widowControl w:val="false"/>
              <w:suppressAutoHyphens w:val="true"/>
              <w:spacing w:before="60" w:after="0"/>
              <w:jc w:val="left"/>
              <w:rPr>
                <w:b/>
              </w:rPr>
            </w:pPr>
            <w:r>
              <w:rPr>
                <w:rFonts w:eastAsia="Times New Roman" w:cs="Times New Roman"/>
                <w:b/>
                <w:kern w:val="0"/>
                <w:sz w:val="24"/>
                <w:szCs w:val="24"/>
                <w:lang w:val="ru-RU" w:eastAsia="ru-RU" w:bidi="ar-SA"/>
              </w:rPr>
              <w:t>Требования к процедурам оказания услуг</w:t>
            </w:r>
          </w:p>
        </w:tc>
        <w:tc>
          <w:tcPr>
            <w:tcW w:w="2504" w:type="dxa"/>
            <w:vMerge w:val="continue"/>
            <w:tcBorders/>
          </w:tcPr>
          <w:p>
            <w:pPr>
              <w:pStyle w:val="Normal"/>
              <w:widowControl w:val="false"/>
              <w:suppressAutoHyphens w:val="true"/>
              <w:spacing w:before="0" w:after="0"/>
              <w:jc w:val="left"/>
              <w:rPr>
                <w:b/>
                <w:sz w:val="24"/>
                <w:szCs w:val="24"/>
              </w:rPr>
            </w:pPr>
            <w:r>
              <w:rPr>
                <w:rFonts w:eastAsia="Times New Roman" w:cs="Times New Roman"/>
                <w:b/>
                <w:kern w:val="0"/>
                <w:sz w:val="24"/>
                <w:szCs w:val="24"/>
                <w:lang w:val="ru-RU" w:eastAsia="ru-RU" w:bidi="ar-SA"/>
              </w:rPr>
            </w:r>
          </w:p>
        </w:tc>
        <w:tc>
          <w:tcPr>
            <w:tcW w:w="2762"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c>
          <w:tcPr>
            <w:tcW w:w="2671"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r>
          </w:p>
        </w:tc>
      </w:tr>
      <w:tr>
        <w:trPr>
          <w:trHeight w:val="143" w:hRule="atLeast"/>
        </w:trPr>
        <w:tc>
          <w:tcPr>
            <w:tcW w:w="1042"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780" w:type="dxa"/>
            <w:tcBorders/>
          </w:tcPr>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Требование к информационной безопасности</w:t>
            </w:r>
          </w:p>
        </w:tc>
        <w:tc>
          <w:tcPr>
            <w:tcW w:w="3549" w:type="dxa"/>
            <w:tcBorders/>
          </w:tcPr>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При пересылке файлов не допускается использование открытых файлообменных сервисов.</w:t>
            </w:r>
          </w:p>
        </w:tc>
        <w:tc>
          <w:tcPr>
            <w:tcW w:w="2504" w:type="dxa"/>
            <w:vMerge w:val="continue"/>
            <w:tcBorders/>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r>
          </w:p>
        </w:tc>
        <w:tc>
          <w:tcPr>
            <w:tcW w:w="2762" w:type="dxa"/>
            <w:tcBorders/>
          </w:tcPr>
          <w:p>
            <w:pPr>
              <w:pStyle w:val="Style27"/>
              <w:keepNext w:val="false"/>
              <w:widowControl w:val="false"/>
              <w:numPr>
                <w:ilvl w:val="0"/>
                <w:numId w:val="0"/>
              </w:numPr>
              <w:suppressAutoHyphens w:val="true"/>
              <w:spacing w:before="0" w:after="60"/>
              <w:jc w:val="left"/>
              <w:outlineLvl w:val="2"/>
              <w:rPr>
                <w:rFonts w:eastAsia="Times New Roman"/>
                <w:b w:val="false"/>
                <w:lang w:val="ru-RU" w:eastAsia="ru-RU"/>
              </w:rPr>
            </w:pPr>
            <w:r>
              <w:rPr>
                <w:rFonts w:eastAsia="Times New Roman" w:cs="Times New Roman"/>
                <w:b w:val="false"/>
                <w:kern w:val="0"/>
                <w:sz w:val="20"/>
                <w:szCs w:val="20"/>
                <w:lang w:val="ru-RU" w:eastAsia="ru-RU" w:bidi="ar-SA"/>
              </w:rPr>
            </w:r>
          </w:p>
        </w:tc>
        <w:tc>
          <w:tcPr>
            <w:tcW w:w="2671" w:type="dxa"/>
            <w:tcBorders/>
          </w:tcPr>
          <w:p>
            <w:pPr>
              <w:pStyle w:val="Style27"/>
              <w:keepNext w:val="false"/>
              <w:widowControl w:val="false"/>
              <w:numPr>
                <w:ilvl w:val="0"/>
                <w:numId w:val="0"/>
              </w:numPr>
              <w:suppressAutoHyphens w:val="true"/>
              <w:spacing w:before="0" w:after="60"/>
              <w:jc w:val="left"/>
              <w:outlineLvl w:val="2"/>
              <w:rPr>
                <w:rFonts w:eastAsia="Times New Roman"/>
                <w:b w:val="false"/>
                <w:lang w:val="ru-RU" w:eastAsia="ru-RU"/>
              </w:rPr>
            </w:pPr>
            <w:r>
              <w:rPr>
                <w:rFonts w:eastAsia="Times New Roman" w:cs="Times New Roman"/>
                <w:b w:val="false"/>
                <w:kern w:val="0"/>
                <w:sz w:val="20"/>
                <w:szCs w:val="20"/>
                <w:lang w:val="ru-RU" w:eastAsia="ru-RU" w:bidi="ar-SA"/>
              </w:rPr>
            </w:r>
          </w:p>
        </w:tc>
      </w:tr>
      <w:tr>
        <w:trPr>
          <w:trHeight w:val="143" w:hRule="atLeast"/>
        </w:trPr>
        <w:tc>
          <w:tcPr>
            <w:tcW w:w="1042"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780" w:type="dxa"/>
            <w:tcBorders/>
          </w:tcPr>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В стоимость услуг должны быть включены все расходы, связанные с оказанием услуг</w:t>
            </w:r>
          </w:p>
        </w:tc>
        <w:tc>
          <w:tcPr>
            <w:tcW w:w="3549" w:type="dxa"/>
            <w:tcBorders/>
          </w:tcPr>
          <w:p>
            <w:pPr>
              <w:pStyle w:val="ListParagraph"/>
              <w:widowControl w:val="false"/>
              <w:tabs>
                <w:tab w:val="clear" w:pos="708"/>
                <w:tab w:val="left" w:pos="567" w:leader="none"/>
              </w:tabs>
              <w:suppressAutoHyphens w:val="true"/>
              <w:spacing w:before="0" w:after="0"/>
              <w:ind w:left="0" w:hanging="0"/>
              <w:contextualSpacing/>
              <w:jc w:val="both"/>
              <w:rPr>
                <w:bCs/>
              </w:rPr>
            </w:pPr>
            <w:r>
              <w:rPr>
                <w:rFonts w:cs="Times New Roman"/>
                <w:kern w:val="0"/>
                <w:lang w:val="ru-RU" w:eastAsia="ru-RU" w:bidi="ar-SA"/>
              </w:rPr>
              <w:t>В том числе, но не ограничиваясь следующим: расходы на оплату услуг специалистов, оформления документов.</w:t>
            </w:r>
          </w:p>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r>
          </w:p>
        </w:tc>
        <w:tc>
          <w:tcPr>
            <w:tcW w:w="2504" w:type="dxa"/>
            <w:vMerge w:val="continue"/>
            <w:tcBorders/>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r>
          </w:p>
        </w:tc>
        <w:tc>
          <w:tcPr>
            <w:tcW w:w="2762" w:type="dxa"/>
            <w:tcBorders/>
          </w:tcPr>
          <w:p>
            <w:pPr>
              <w:pStyle w:val="Style27"/>
              <w:keepNext w:val="false"/>
              <w:widowControl w:val="false"/>
              <w:numPr>
                <w:ilvl w:val="0"/>
                <w:numId w:val="0"/>
              </w:numPr>
              <w:suppressAutoHyphens w:val="true"/>
              <w:spacing w:before="0" w:after="60"/>
              <w:jc w:val="left"/>
              <w:outlineLvl w:val="2"/>
              <w:rPr>
                <w:rFonts w:eastAsia="Times New Roman"/>
                <w:b w:val="false"/>
                <w:lang w:val="ru-RU" w:eastAsia="ru-RU"/>
              </w:rPr>
            </w:pPr>
            <w:r>
              <w:rPr>
                <w:rFonts w:eastAsia="Times New Roman" w:cs="Times New Roman"/>
                <w:b w:val="false"/>
                <w:kern w:val="0"/>
                <w:sz w:val="20"/>
                <w:szCs w:val="20"/>
                <w:lang w:val="ru-RU" w:eastAsia="ru-RU" w:bidi="ar-SA"/>
              </w:rPr>
            </w:r>
          </w:p>
        </w:tc>
        <w:tc>
          <w:tcPr>
            <w:tcW w:w="2671" w:type="dxa"/>
            <w:tcBorders/>
          </w:tcPr>
          <w:p>
            <w:pPr>
              <w:pStyle w:val="Style27"/>
              <w:keepNext w:val="false"/>
              <w:widowControl w:val="false"/>
              <w:numPr>
                <w:ilvl w:val="0"/>
                <w:numId w:val="0"/>
              </w:numPr>
              <w:suppressAutoHyphens w:val="true"/>
              <w:spacing w:before="0" w:after="60"/>
              <w:jc w:val="left"/>
              <w:outlineLvl w:val="2"/>
              <w:rPr>
                <w:rFonts w:eastAsia="Times New Roman"/>
                <w:b w:val="false"/>
                <w:lang w:val="ru-RU" w:eastAsia="ru-RU"/>
              </w:rPr>
            </w:pPr>
            <w:r>
              <w:rPr>
                <w:rFonts w:eastAsia="Times New Roman" w:cs="Times New Roman"/>
                <w:b w:val="false"/>
                <w:kern w:val="0"/>
                <w:sz w:val="20"/>
                <w:szCs w:val="20"/>
                <w:lang w:val="ru-RU" w:eastAsia="ru-RU" w:bidi="ar-SA"/>
              </w:rPr>
            </w:r>
          </w:p>
        </w:tc>
      </w:tr>
      <w:tr>
        <w:trPr>
          <w:trHeight w:val="143" w:hRule="atLeast"/>
        </w:trPr>
        <w:tc>
          <w:tcPr>
            <w:tcW w:w="1042"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6329" w:type="dxa"/>
            <w:gridSpan w:val="2"/>
            <w:tcBorders/>
            <w:vAlign w:val="center"/>
          </w:tcPr>
          <w:p>
            <w:pPr>
              <w:pStyle w:val="Normal"/>
              <w:widowControl w:val="false"/>
              <w:suppressAutoHyphens w:val="true"/>
              <w:spacing w:before="60" w:after="0"/>
              <w:jc w:val="left"/>
              <w:rPr>
                <w:b/>
                <w:sz w:val="24"/>
                <w:szCs w:val="24"/>
              </w:rPr>
            </w:pPr>
            <w:r>
              <w:rPr>
                <w:rFonts w:eastAsia="Times New Roman" w:cs="Times New Roman"/>
                <w:b/>
                <w:kern w:val="0"/>
                <w:sz w:val="24"/>
                <w:szCs w:val="24"/>
                <w:lang w:val="ru-RU" w:eastAsia="ru-RU" w:bidi="ar-SA"/>
              </w:rPr>
              <w:t>Требования к применяемым при оказании услуг оборудованию и материалам</w:t>
            </w:r>
          </w:p>
        </w:tc>
        <w:tc>
          <w:tcPr>
            <w:tcW w:w="2504" w:type="dxa"/>
            <w:vMerge w:val="continue"/>
            <w:tcBorders/>
          </w:tcPr>
          <w:p>
            <w:pPr>
              <w:pStyle w:val="Normal"/>
              <w:widowControl w:val="false"/>
              <w:suppressAutoHyphens w:val="true"/>
              <w:spacing w:before="0" w:after="0"/>
              <w:jc w:val="left"/>
              <w:rPr>
                <w:b/>
                <w:sz w:val="24"/>
                <w:szCs w:val="24"/>
              </w:rPr>
            </w:pPr>
            <w:r>
              <w:rPr>
                <w:rFonts w:eastAsia="Times New Roman" w:cs="Times New Roman"/>
                <w:b/>
                <w:kern w:val="0"/>
                <w:sz w:val="24"/>
                <w:szCs w:val="24"/>
                <w:lang w:val="ru-RU" w:eastAsia="ru-RU" w:bidi="ar-SA"/>
              </w:rPr>
            </w:r>
          </w:p>
        </w:tc>
        <w:tc>
          <w:tcPr>
            <w:tcW w:w="2762"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c>
          <w:tcPr>
            <w:tcW w:w="2671"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r>
          </w:p>
        </w:tc>
      </w:tr>
      <w:tr>
        <w:trPr>
          <w:trHeight w:val="143" w:hRule="atLeast"/>
        </w:trPr>
        <w:tc>
          <w:tcPr>
            <w:tcW w:w="1042"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780" w:type="dxa"/>
            <w:tcBorders/>
          </w:tcPr>
          <w:p>
            <w:pPr>
              <w:pStyle w:val="Normal"/>
              <w:widowControl w:val="false"/>
              <w:tabs>
                <w:tab w:val="clear" w:pos="708"/>
                <w:tab w:val="left" w:pos="426" w:leader="none"/>
              </w:tabs>
              <w:suppressAutoHyphens w:val="true"/>
              <w:spacing w:before="60" w:after="0"/>
              <w:jc w:val="left"/>
              <w:rPr>
                <w:b/>
                <w:sz w:val="24"/>
                <w:szCs w:val="24"/>
              </w:rPr>
            </w:pPr>
            <w:r>
              <w:rPr>
                <w:rFonts w:eastAsia="Times New Roman" w:cs="Times New Roman"/>
                <w:kern w:val="0"/>
                <w:sz w:val="24"/>
                <w:szCs w:val="24"/>
                <w:lang w:val="ru-RU" w:eastAsia="ru-RU" w:bidi="ar-SA"/>
              </w:rPr>
              <w:t>В стоимость услуг должны быть включены все расходы, связанные с оказанием услуг</w:t>
            </w:r>
          </w:p>
        </w:tc>
        <w:tc>
          <w:tcPr>
            <w:tcW w:w="3549" w:type="dxa"/>
            <w:tcBorders/>
          </w:tcPr>
          <w:p>
            <w:pPr>
              <w:pStyle w:val="ListParagraph"/>
              <w:widowControl w:val="false"/>
              <w:tabs>
                <w:tab w:val="clear" w:pos="708"/>
                <w:tab w:val="left" w:pos="567" w:leader="none"/>
              </w:tabs>
              <w:suppressAutoHyphens w:val="true"/>
              <w:spacing w:before="0" w:after="0"/>
              <w:ind w:left="0" w:hanging="0"/>
              <w:contextualSpacing/>
              <w:jc w:val="both"/>
              <w:rPr>
                <w:rFonts w:ascii="Times New Roman" w:hAnsi="Times New Roman" w:cs="Times New Roman"/>
                <w:kern w:val="0"/>
                <w:lang w:val="ru-RU" w:eastAsia="ru-RU" w:bidi="ar-SA"/>
              </w:rPr>
            </w:pPr>
            <w:r>
              <w:rPr>
                <w:rFonts w:cs="Times New Roman"/>
                <w:kern w:val="0"/>
                <w:lang w:val="ru-RU" w:eastAsia="ru-RU" w:bidi="ar-SA"/>
              </w:rPr>
              <w:t>В том числе, но не ограничиваясь следующим: расходы на стоимость используемых медицинских изделий.</w:t>
            </w:r>
          </w:p>
        </w:tc>
        <w:tc>
          <w:tcPr>
            <w:tcW w:w="2504" w:type="dxa"/>
            <w:vMerge w:val="continue"/>
            <w:tcBorders/>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r>
          </w:p>
        </w:tc>
        <w:tc>
          <w:tcPr>
            <w:tcW w:w="2762" w:type="dxa"/>
            <w:tcBorders/>
          </w:tcPr>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 xml:space="preserve"> </w:t>
            </w:r>
          </w:p>
        </w:tc>
        <w:tc>
          <w:tcPr>
            <w:tcW w:w="2671" w:type="dxa"/>
            <w:tcBorders/>
          </w:tcPr>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r>
          </w:p>
        </w:tc>
      </w:tr>
      <w:tr>
        <w:trPr>
          <w:trHeight w:val="143" w:hRule="atLeast"/>
        </w:trPr>
        <w:tc>
          <w:tcPr>
            <w:tcW w:w="1042"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6329" w:type="dxa"/>
            <w:gridSpan w:val="2"/>
            <w:tcBorders/>
          </w:tcPr>
          <w:p>
            <w:pPr>
              <w:pStyle w:val="Normal"/>
              <w:widowControl w:val="false"/>
              <w:suppressAutoHyphens w:val="true"/>
              <w:spacing w:before="0" w:after="0"/>
              <w:jc w:val="left"/>
              <w:rPr>
                <w:b/>
                <w:sz w:val="24"/>
                <w:szCs w:val="24"/>
              </w:rPr>
            </w:pPr>
            <w:r>
              <w:rPr>
                <w:rFonts w:eastAsia="Times New Roman" w:cs="Times New Roman"/>
                <w:b/>
                <w:kern w:val="0"/>
                <w:sz w:val="24"/>
                <w:szCs w:val="24"/>
                <w:lang w:val="ru-RU" w:eastAsia="ru-RU" w:bidi="ar-SA"/>
              </w:rPr>
              <w:t>Требования к персоналу исполнителя</w:t>
            </w:r>
          </w:p>
        </w:tc>
        <w:tc>
          <w:tcPr>
            <w:tcW w:w="2504" w:type="dxa"/>
            <w:vMerge w:val="continue"/>
            <w:tcBorders/>
          </w:tcPr>
          <w:p>
            <w:pPr>
              <w:pStyle w:val="Normal"/>
              <w:widowControl w:val="false"/>
              <w:suppressAutoHyphens w:val="true"/>
              <w:spacing w:before="0" w:after="0"/>
              <w:jc w:val="left"/>
              <w:rPr>
                <w:b/>
                <w:sz w:val="24"/>
                <w:szCs w:val="24"/>
              </w:rPr>
            </w:pPr>
            <w:r>
              <w:rPr>
                <w:rFonts w:eastAsia="Times New Roman" w:cs="Times New Roman"/>
                <w:b/>
                <w:kern w:val="0"/>
                <w:sz w:val="24"/>
                <w:szCs w:val="24"/>
                <w:lang w:val="ru-RU" w:eastAsia="ru-RU" w:bidi="ar-SA"/>
              </w:rPr>
            </w:r>
          </w:p>
        </w:tc>
        <w:tc>
          <w:tcPr>
            <w:tcW w:w="2762"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c>
          <w:tcPr>
            <w:tcW w:w="2671"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r>
          </w:p>
        </w:tc>
      </w:tr>
      <w:tr>
        <w:trPr>
          <w:trHeight w:val="143" w:hRule="atLeast"/>
        </w:trPr>
        <w:tc>
          <w:tcPr>
            <w:tcW w:w="1042"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780" w:type="dxa"/>
            <w:tcBorders/>
          </w:tcPr>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Врач-профпатолог</w:t>
            </w:r>
          </w:p>
        </w:tc>
        <w:tc>
          <w:tcPr>
            <w:tcW w:w="3549" w:type="dxa"/>
            <w:tcBorders/>
          </w:tcPr>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Исполнитель должен обладать следующими кадровыми ресурсами:</w:t>
            </w:r>
          </w:p>
          <w:p>
            <w:pPr>
              <w:pStyle w:val="ListParagraph"/>
              <w:widowControl w:val="false"/>
              <w:numPr>
                <w:ilvl w:val="0"/>
                <w:numId w:val="10"/>
              </w:numPr>
              <w:tabs>
                <w:tab w:val="clear" w:pos="708"/>
                <w:tab w:val="left" w:pos="0" w:leader="none"/>
                <w:tab w:val="left" w:pos="567" w:leader="none"/>
                <w:tab w:val="left" w:pos="1134" w:leader="none"/>
              </w:tabs>
              <w:suppressAutoHyphens w:val="true"/>
              <w:spacing w:before="0" w:after="0"/>
              <w:ind w:left="0" w:hanging="0"/>
              <w:contextualSpacing/>
              <w:jc w:val="both"/>
              <w:rPr>
                <w:bCs/>
              </w:rPr>
            </w:pPr>
            <w:r>
              <w:rPr>
                <w:rFonts w:cs="Times New Roman"/>
                <w:bCs/>
                <w:kern w:val="0"/>
                <w:lang w:val="ru-RU" w:eastAsia="ru-RU" w:bidi="ar-SA"/>
              </w:rPr>
              <w:t>не менее 1 (одного) врача-профпатолога.</w:t>
            </w:r>
          </w:p>
        </w:tc>
        <w:tc>
          <w:tcPr>
            <w:tcW w:w="2504" w:type="dxa"/>
            <w:vMerge w:val="continue"/>
            <w:tcBorders/>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r>
          </w:p>
        </w:tc>
        <w:tc>
          <w:tcPr>
            <w:tcW w:w="2762" w:type="dxa"/>
            <w:tcBorders/>
          </w:tcPr>
          <w:p>
            <w:pPr>
              <w:pStyle w:val="Normal"/>
              <w:widowControl w:val="false"/>
              <w:tabs>
                <w:tab w:val="clear" w:pos="708"/>
                <w:tab w:val="left" w:pos="426" w:leader="none"/>
              </w:tabs>
              <w:suppressAutoHyphens w:val="true"/>
              <w:spacing w:before="60" w:after="0"/>
              <w:jc w:val="left"/>
              <w:rPr>
                <w:b/>
                <w:sz w:val="24"/>
                <w:szCs w:val="24"/>
              </w:rPr>
            </w:pPr>
            <w:r>
              <w:rPr>
                <w:rFonts w:eastAsia="Times New Roman" w:cs="Times New Roman"/>
                <w:b/>
                <w:kern w:val="0"/>
                <w:sz w:val="24"/>
                <w:szCs w:val="24"/>
                <w:lang w:val="ru-RU" w:eastAsia="ru-RU" w:bidi="ar-SA"/>
              </w:rPr>
            </w:r>
          </w:p>
        </w:tc>
        <w:tc>
          <w:tcPr>
            <w:tcW w:w="2671" w:type="dxa"/>
            <w:tcBorders/>
          </w:tcPr>
          <w:p>
            <w:pPr>
              <w:pStyle w:val="Normal"/>
              <w:widowControl w:val="false"/>
              <w:tabs>
                <w:tab w:val="clear" w:pos="708"/>
                <w:tab w:val="left" w:pos="426" w:leader="none"/>
              </w:tabs>
              <w:suppressAutoHyphens w:val="true"/>
              <w:spacing w:before="60" w:after="0"/>
              <w:jc w:val="left"/>
              <w:rPr>
                <w:b/>
                <w:sz w:val="24"/>
                <w:szCs w:val="24"/>
              </w:rPr>
            </w:pPr>
            <w:r>
              <w:rPr>
                <w:rFonts w:eastAsia="Times New Roman" w:cs="Times New Roman"/>
                <w:b/>
                <w:kern w:val="0"/>
                <w:sz w:val="24"/>
                <w:szCs w:val="24"/>
                <w:lang w:val="ru-RU" w:eastAsia="ru-RU" w:bidi="ar-SA"/>
              </w:rPr>
            </w:r>
          </w:p>
        </w:tc>
      </w:tr>
      <w:tr>
        <w:trPr>
          <w:trHeight w:val="143" w:hRule="atLeast"/>
        </w:trPr>
        <w:tc>
          <w:tcPr>
            <w:tcW w:w="1042"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780" w:type="dxa"/>
            <w:tcBorders/>
          </w:tcPr>
          <w:p>
            <w:pPr>
              <w:pStyle w:val="Normal"/>
              <w:widowControl w:val="false"/>
              <w:tabs>
                <w:tab w:val="clear" w:pos="708"/>
                <w:tab w:val="left" w:pos="426" w:leader="none"/>
              </w:tabs>
              <w:suppressAutoHyphens w:val="true"/>
              <w:spacing w:before="60" w:after="0"/>
              <w:jc w:val="left"/>
              <w:rPr>
                <w:iCs/>
                <w:sz w:val="24"/>
                <w:szCs w:val="24"/>
              </w:rPr>
            </w:pPr>
            <w:r>
              <w:rPr>
                <w:rFonts w:eastAsia="Times New Roman" w:cs="Times New Roman"/>
                <w:iCs/>
                <w:kern w:val="0"/>
                <w:sz w:val="24"/>
                <w:szCs w:val="24"/>
                <w:lang w:val="ru-RU" w:eastAsia="ru-RU" w:bidi="ar-SA"/>
              </w:rPr>
              <w:t xml:space="preserve">Врач-терапевт </w:t>
            </w:r>
          </w:p>
        </w:tc>
        <w:tc>
          <w:tcPr>
            <w:tcW w:w="3549" w:type="dxa"/>
            <w:tcBorders/>
          </w:tcPr>
          <w:p>
            <w:pPr>
              <w:pStyle w:val="Normal"/>
              <w:widowControl w:val="false"/>
              <w:tabs>
                <w:tab w:val="clear" w:pos="708"/>
                <w:tab w:val="left" w:pos="426" w:leader="none"/>
              </w:tabs>
              <w:suppressAutoHyphens w:val="true"/>
              <w:spacing w:before="60" w:after="0"/>
              <w:jc w:val="left"/>
              <w:rPr>
                <w:rFonts w:ascii="Times New Roman" w:hAnsi="Times New Roman" w:eastAsia="Times New Roman" w:cs="Times New Roman"/>
                <w:kern w:val="0"/>
                <w:lang w:val="ru-RU" w:eastAsia="ru-RU" w:bidi="ar-SA"/>
              </w:rPr>
            </w:pPr>
            <w:r>
              <w:rPr>
                <w:rFonts w:eastAsia="Times New Roman" w:cs="Times New Roman"/>
                <w:kern w:val="0"/>
                <w:sz w:val="24"/>
                <w:szCs w:val="24"/>
                <w:lang w:val="ru-RU" w:eastAsia="ru-RU" w:bidi="ar-SA"/>
              </w:rPr>
              <w:t>Исполнитель должен обладать следующими кадровыми ресурсами:</w:t>
            </w:r>
            <w:r>
              <w:rPr>
                <w:rFonts w:eastAsia="Times New Roman" w:cs="Times New Roman"/>
                <w:kern w:val="0"/>
                <w:lang w:val="ru-RU" w:eastAsia="ru-RU" w:bidi="ar-SA"/>
              </w:rPr>
              <w:t xml:space="preserve"> </w:t>
            </w:r>
          </w:p>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w:t>
            </w:r>
            <w:r>
              <w:rPr>
                <w:rFonts w:eastAsia="Times New Roman" w:cs="Times New Roman"/>
                <w:kern w:val="0"/>
                <w:sz w:val="24"/>
                <w:szCs w:val="24"/>
                <w:lang w:val="ru-RU" w:eastAsia="ru-RU" w:bidi="ar-SA"/>
              </w:rPr>
              <w:tab/>
              <w:t>не менее 1 (одного) врача – терапевта.</w:t>
            </w:r>
          </w:p>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r>
          </w:p>
        </w:tc>
        <w:tc>
          <w:tcPr>
            <w:tcW w:w="2504" w:type="dxa"/>
            <w:vMerge w:val="continue"/>
            <w:tcBorders/>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r>
          </w:p>
        </w:tc>
        <w:tc>
          <w:tcPr>
            <w:tcW w:w="2762" w:type="dxa"/>
            <w:tcBorders/>
          </w:tcPr>
          <w:p>
            <w:pPr>
              <w:pStyle w:val="Normal"/>
              <w:widowControl w:val="false"/>
              <w:tabs>
                <w:tab w:val="clear" w:pos="708"/>
                <w:tab w:val="left" w:pos="426" w:leader="none"/>
              </w:tabs>
              <w:suppressAutoHyphens w:val="true"/>
              <w:spacing w:before="60" w:after="0"/>
              <w:jc w:val="left"/>
              <w:rPr>
                <w:b/>
                <w:sz w:val="24"/>
                <w:szCs w:val="24"/>
              </w:rPr>
            </w:pPr>
            <w:r>
              <w:rPr>
                <w:rFonts w:eastAsia="Times New Roman" w:cs="Times New Roman"/>
                <w:b/>
                <w:kern w:val="0"/>
                <w:sz w:val="24"/>
                <w:szCs w:val="24"/>
                <w:lang w:val="ru-RU" w:eastAsia="ru-RU" w:bidi="ar-SA"/>
              </w:rPr>
            </w:r>
          </w:p>
        </w:tc>
        <w:tc>
          <w:tcPr>
            <w:tcW w:w="2671" w:type="dxa"/>
            <w:tcBorders/>
          </w:tcPr>
          <w:p>
            <w:pPr>
              <w:pStyle w:val="Normal"/>
              <w:widowControl w:val="false"/>
              <w:tabs>
                <w:tab w:val="clear" w:pos="708"/>
                <w:tab w:val="left" w:pos="426" w:leader="none"/>
              </w:tabs>
              <w:suppressAutoHyphens w:val="true"/>
              <w:spacing w:before="60" w:after="0"/>
              <w:jc w:val="left"/>
              <w:rPr>
                <w:b/>
                <w:sz w:val="24"/>
                <w:szCs w:val="24"/>
              </w:rPr>
            </w:pPr>
            <w:r>
              <w:rPr>
                <w:rFonts w:eastAsia="Times New Roman" w:cs="Times New Roman"/>
                <w:b/>
                <w:kern w:val="0"/>
                <w:sz w:val="24"/>
                <w:szCs w:val="24"/>
                <w:lang w:val="ru-RU" w:eastAsia="ru-RU" w:bidi="ar-SA"/>
              </w:rPr>
            </w:r>
          </w:p>
        </w:tc>
      </w:tr>
      <w:tr>
        <w:trPr>
          <w:trHeight w:val="143" w:hRule="atLeast"/>
        </w:trPr>
        <w:tc>
          <w:tcPr>
            <w:tcW w:w="1042" w:type="dxa"/>
            <w:tcBorders/>
            <w:vAlign w:val="center"/>
          </w:tcPr>
          <w:p>
            <w:pPr>
              <w:pStyle w:val="Normal"/>
              <w:widowControl w:val="false"/>
              <w:suppressAutoHyphens w:val="true"/>
              <w:spacing w:before="60" w:after="60"/>
              <w:jc w:val="center"/>
              <w:rPr>
                <w:sz w:val="24"/>
                <w:szCs w:val="24"/>
              </w:rPr>
            </w:pPr>
            <w:r>
              <w:rPr>
                <w:rFonts w:eastAsia="Times New Roman" w:cs="Times New Roman"/>
                <w:kern w:val="0"/>
                <w:sz w:val="24"/>
                <w:szCs w:val="24"/>
                <w:lang w:val="ru-RU" w:eastAsia="ru-RU" w:bidi="ar-SA"/>
              </w:rPr>
              <w:t>1.5.3.</w:t>
            </w:r>
          </w:p>
        </w:tc>
        <w:tc>
          <w:tcPr>
            <w:tcW w:w="2780" w:type="dxa"/>
            <w:tcBorders/>
          </w:tcPr>
          <w:p>
            <w:pPr>
              <w:pStyle w:val="Normal"/>
              <w:widowControl w:val="false"/>
              <w:tabs>
                <w:tab w:val="clear" w:pos="708"/>
                <w:tab w:val="left" w:pos="426" w:leader="none"/>
              </w:tabs>
              <w:suppressAutoHyphens w:val="true"/>
              <w:spacing w:before="60" w:after="0"/>
              <w:jc w:val="left"/>
              <w:rPr>
                <w:iCs/>
                <w:sz w:val="24"/>
                <w:szCs w:val="24"/>
              </w:rPr>
            </w:pPr>
            <w:r>
              <w:rPr>
                <w:rFonts w:eastAsia="Times New Roman" w:cs="Times New Roman"/>
                <w:iCs/>
                <w:kern w:val="0"/>
                <w:sz w:val="24"/>
                <w:szCs w:val="24"/>
                <w:lang w:val="ru-RU" w:eastAsia="ru-RU" w:bidi="ar-SA"/>
              </w:rPr>
              <w:t>Невролог</w:t>
            </w:r>
          </w:p>
        </w:tc>
        <w:tc>
          <w:tcPr>
            <w:tcW w:w="3549" w:type="dxa"/>
            <w:tcBorders/>
          </w:tcPr>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Исполнитель должен обладать следующими кадровыми ресурсами:</w:t>
            </w:r>
          </w:p>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w:t>
            </w:r>
            <w:r>
              <w:rPr>
                <w:rFonts w:eastAsia="Times New Roman" w:cs="Times New Roman"/>
                <w:kern w:val="0"/>
                <w:sz w:val="24"/>
                <w:szCs w:val="24"/>
                <w:lang w:val="ru-RU" w:eastAsia="ru-RU" w:bidi="ar-SA"/>
              </w:rPr>
              <w:tab/>
              <w:t>не менее 1 (одного) невролога.</w:t>
            </w:r>
          </w:p>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r>
          </w:p>
        </w:tc>
        <w:tc>
          <w:tcPr>
            <w:tcW w:w="2504" w:type="dxa"/>
            <w:vMerge w:val="continue"/>
            <w:tcBorders/>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r>
          </w:p>
        </w:tc>
        <w:tc>
          <w:tcPr>
            <w:tcW w:w="2762" w:type="dxa"/>
            <w:tcBorders/>
          </w:tcPr>
          <w:p>
            <w:pPr>
              <w:pStyle w:val="Normal"/>
              <w:widowControl w:val="false"/>
              <w:tabs>
                <w:tab w:val="clear" w:pos="708"/>
                <w:tab w:val="left" w:pos="426" w:leader="none"/>
              </w:tabs>
              <w:suppressAutoHyphens w:val="true"/>
              <w:spacing w:before="60" w:after="0"/>
              <w:jc w:val="left"/>
              <w:rPr>
                <w:b/>
                <w:sz w:val="24"/>
                <w:szCs w:val="24"/>
              </w:rPr>
            </w:pPr>
            <w:r>
              <w:rPr>
                <w:rFonts w:eastAsia="Times New Roman" w:cs="Times New Roman"/>
                <w:b/>
                <w:kern w:val="0"/>
                <w:sz w:val="24"/>
                <w:szCs w:val="24"/>
                <w:lang w:val="ru-RU" w:eastAsia="ru-RU" w:bidi="ar-SA"/>
              </w:rPr>
            </w:r>
          </w:p>
        </w:tc>
        <w:tc>
          <w:tcPr>
            <w:tcW w:w="2671" w:type="dxa"/>
            <w:tcBorders/>
          </w:tcPr>
          <w:p>
            <w:pPr>
              <w:pStyle w:val="Normal"/>
              <w:widowControl w:val="false"/>
              <w:tabs>
                <w:tab w:val="clear" w:pos="708"/>
                <w:tab w:val="left" w:pos="426" w:leader="none"/>
              </w:tabs>
              <w:suppressAutoHyphens w:val="true"/>
              <w:spacing w:before="60" w:after="0"/>
              <w:jc w:val="left"/>
              <w:rPr>
                <w:b/>
                <w:sz w:val="24"/>
                <w:szCs w:val="24"/>
              </w:rPr>
            </w:pPr>
            <w:r>
              <w:rPr>
                <w:rFonts w:eastAsia="Times New Roman" w:cs="Times New Roman"/>
                <w:b/>
                <w:kern w:val="0"/>
                <w:sz w:val="24"/>
                <w:szCs w:val="24"/>
                <w:lang w:val="ru-RU" w:eastAsia="ru-RU" w:bidi="ar-SA"/>
              </w:rPr>
            </w:r>
          </w:p>
        </w:tc>
      </w:tr>
      <w:tr>
        <w:trPr>
          <w:trHeight w:val="143" w:hRule="atLeast"/>
        </w:trPr>
        <w:tc>
          <w:tcPr>
            <w:tcW w:w="1042" w:type="dxa"/>
            <w:tcBorders/>
            <w:vAlign w:val="center"/>
          </w:tcPr>
          <w:p>
            <w:pPr>
              <w:pStyle w:val="Normal"/>
              <w:widowControl w:val="false"/>
              <w:suppressAutoHyphens w:val="true"/>
              <w:spacing w:before="60" w:after="60"/>
              <w:jc w:val="center"/>
              <w:rPr>
                <w:sz w:val="24"/>
                <w:szCs w:val="24"/>
              </w:rPr>
            </w:pPr>
            <w:r>
              <w:rPr>
                <w:rFonts w:eastAsia="Times New Roman" w:cs="Times New Roman"/>
                <w:kern w:val="0"/>
                <w:sz w:val="24"/>
                <w:szCs w:val="24"/>
                <w:lang w:val="ru-RU" w:eastAsia="ru-RU" w:bidi="ar-SA"/>
              </w:rPr>
              <w:t>1.5.4.</w:t>
            </w:r>
          </w:p>
        </w:tc>
        <w:tc>
          <w:tcPr>
            <w:tcW w:w="2780" w:type="dxa"/>
            <w:tcBorders/>
          </w:tcPr>
          <w:p>
            <w:pPr>
              <w:pStyle w:val="Normal"/>
              <w:widowControl w:val="false"/>
              <w:tabs>
                <w:tab w:val="clear" w:pos="708"/>
                <w:tab w:val="left" w:pos="426" w:leader="none"/>
              </w:tabs>
              <w:suppressAutoHyphens w:val="true"/>
              <w:spacing w:before="60" w:after="0"/>
              <w:jc w:val="left"/>
              <w:rPr>
                <w:iCs/>
                <w:sz w:val="24"/>
                <w:szCs w:val="24"/>
              </w:rPr>
            </w:pPr>
            <w:r>
              <w:rPr>
                <w:rFonts w:eastAsia="Times New Roman" w:cs="Times New Roman"/>
                <w:iCs/>
                <w:kern w:val="0"/>
                <w:sz w:val="24"/>
                <w:szCs w:val="24"/>
                <w:lang w:val="ru-RU" w:eastAsia="ru-RU" w:bidi="ar-SA"/>
              </w:rPr>
              <w:t>Хирург</w:t>
            </w:r>
          </w:p>
        </w:tc>
        <w:tc>
          <w:tcPr>
            <w:tcW w:w="3549" w:type="dxa"/>
            <w:tcBorders/>
          </w:tcPr>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Исполнитель должен обладать следующими кадровыми ресурсами:</w:t>
            </w:r>
          </w:p>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w:t>
            </w:r>
            <w:r>
              <w:rPr>
                <w:rFonts w:eastAsia="Times New Roman" w:cs="Times New Roman"/>
                <w:kern w:val="0"/>
                <w:sz w:val="24"/>
                <w:szCs w:val="24"/>
                <w:lang w:val="ru-RU" w:eastAsia="ru-RU" w:bidi="ar-SA"/>
              </w:rPr>
              <w:tab/>
              <w:t>не менее 1 (одного) хирурга.</w:t>
            </w:r>
          </w:p>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r>
          </w:p>
        </w:tc>
        <w:tc>
          <w:tcPr>
            <w:tcW w:w="2504" w:type="dxa"/>
            <w:vMerge w:val="continue"/>
            <w:tcBorders/>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r>
          </w:p>
        </w:tc>
        <w:tc>
          <w:tcPr>
            <w:tcW w:w="2762" w:type="dxa"/>
            <w:tcBorders/>
          </w:tcPr>
          <w:p>
            <w:pPr>
              <w:pStyle w:val="Normal"/>
              <w:widowControl w:val="false"/>
              <w:tabs>
                <w:tab w:val="clear" w:pos="708"/>
                <w:tab w:val="left" w:pos="426" w:leader="none"/>
              </w:tabs>
              <w:suppressAutoHyphens w:val="true"/>
              <w:spacing w:before="60" w:after="0"/>
              <w:jc w:val="left"/>
              <w:rPr>
                <w:b/>
                <w:sz w:val="24"/>
                <w:szCs w:val="24"/>
              </w:rPr>
            </w:pPr>
            <w:r>
              <w:rPr>
                <w:rFonts w:eastAsia="Times New Roman" w:cs="Times New Roman"/>
                <w:b/>
                <w:kern w:val="0"/>
                <w:sz w:val="24"/>
                <w:szCs w:val="24"/>
                <w:lang w:val="ru-RU" w:eastAsia="ru-RU" w:bidi="ar-SA"/>
              </w:rPr>
            </w:r>
          </w:p>
        </w:tc>
        <w:tc>
          <w:tcPr>
            <w:tcW w:w="2671" w:type="dxa"/>
            <w:tcBorders/>
          </w:tcPr>
          <w:p>
            <w:pPr>
              <w:pStyle w:val="Normal"/>
              <w:widowControl w:val="false"/>
              <w:tabs>
                <w:tab w:val="clear" w:pos="708"/>
                <w:tab w:val="left" w:pos="426" w:leader="none"/>
              </w:tabs>
              <w:suppressAutoHyphens w:val="true"/>
              <w:spacing w:before="60" w:after="0"/>
              <w:jc w:val="left"/>
              <w:rPr>
                <w:b/>
                <w:sz w:val="24"/>
                <w:szCs w:val="24"/>
              </w:rPr>
            </w:pPr>
            <w:r>
              <w:rPr>
                <w:rFonts w:eastAsia="Times New Roman" w:cs="Times New Roman"/>
                <w:b/>
                <w:kern w:val="0"/>
                <w:sz w:val="24"/>
                <w:szCs w:val="24"/>
                <w:lang w:val="ru-RU" w:eastAsia="ru-RU" w:bidi="ar-SA"/>
              </w:rPr>
            </w:r>
          </w:p>
        </w:tc>
      </w:tr>
      <w:tr>
        <w:trPr>
          <w:trHeight w:val="143" w:hRule="atLeast"/>
        </w:trPr>
        <w:tc>
          <w:tcPr>
            <w:tcW w:w="1042" w:type="dxa"/>
            <w:tcBorders/>
            <w:vAlign w:val="center"/>
          </w:tcPr>
          <w:p>
            <w:pPr>
              <w:pStyle w:val="Normal"/>
              <w:widowControl w:val="false"/>
              <w:suppressAutoHyphens w:val="true"/>
              <w:spacing w:before="60" w:after="60"/>
              <w:jc w:val="center"/>
              <w:rPr>
                <w:sz w:val="24"/>
                <w:szCs w:val="24"/>
              </w:rPr>
            </w:pPr>
            <w:r>
              <w:rPr>
                <w:rFonts w:eastAsia="Times New Roman" w:cs="Times New Roman"/>
                <w:kern w:val="0"/>
                <w:sz w:val="24"/>
                <w:szCs w:val="24"/>
                <w:lang w:val="ru-RU" w:eastAsia="ru-RU" w:bidi="ar-SA"/>
              </w:rPr>
              <w:t>1.5.5.</w:t>
            </w:r>
          </w:p>
        </w:tc>
        <w:tc>
          <w:tcPr>
            <w:tcW w:w="2780" w:type="dxa"/>
            <w:tcBorders/>
          </w:tcPr>
          <w:p>
            <w:pPr>
              <w:pStyle w:val="Normal"/>
              <w:widowControl w:val="false"/>
              <w:tabs>
                <w:tab w:val="clear" w:pos="708"/>
                <w:tab w:val="left" w:pos="426" w:leader="none"/>
              </w:tabs>
              <w:suppressAutoHyphens w:val="true"/>
              <w:spacing w:before="60" w:after="0"/>
              <w:jc w:val="left"/>
              <w:rPr>
                <w:iCs/>
                <w:sz w:val="24"/>
                <w:szCs w:val="24"/>
              </w:rPr>
            </w:pPr>
            <w:r>
              <w:rPr>
                <w:rFonts w:eastAsia="Times New Roman" w:cs="Times New Roman"/>
                <w:iCs/>
                <w:kern w:val="0"/>
                <w:sz w:val="24"/>
                <w:szCs w:val="24"/>
                <w:lang w:val="ru-RU" w:eastAsia="ru-RU" w:bidi="ar-SA"/>
              </w:rPr>
              <w:t>Офтальмолог</w:t>
            </w:r>
          </w:p>
        </w:tc>
        <w:tc>
          <w:tcPr>
            <w:tcW w:w="3549" w:type="dxa"/>
            <w:tcBorders/>
          </w:tcPr>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Исполнитель должен обладать следующими кадровыми ресурсами:</w:t>
            </w:r>
          </w:p>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w:t>
            </w:r>
            <w:r>
              <w:rPr>
                <w:rFonts w:eastAsia="Times New Roman" w:cs="Times New Roman"/>
                <w:kern w:val="0"/>
                <w:sz w:val="24"/>
                <w:szCs w:val="24"/>
                <w:lang w:val="ru-RU" w:eastAsia="ru-RU" w:bidi="ar-SA"/>
              </w:rPr>
              <w:tab/>
              <w:t>не менее 1 (одного) офтальмолога.</w:t>
            </w:r>
          </w:p>
        </w:tc>
        <w:tc>
          <w:tcPr>
            <w:tcW w:w="2504" w:type="dxa"/>
            <w:vMerge w:val="continue"/>
            <w:tcBorders/>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r>
          </w:p>
        </w:tc>
        <w:tc>
          <w:tcPr>
            <w:tcW w:w="2762" w:type="dxa"/>
            <w:tcBorders/>
          </w:tcPr>
          <w:p>
            <w:pPr>
              <w:pStyle w:val="Normal"/>
              <w:widowControl w:val="false"/>
              <w:tabs>
                <w:tab w:val="clear" w:pos="708"/>
                <w:tab w:val="left" w:pos="426" w:leader="none"/>
              </w:tabs>
              <w:suppressAutoHyphens w:val="true"/>
              <w:spacing w:before="60" w:after="0"/>
              <w:jc w:val="left"/>
              <w:rPr>
                <w:b/>
                <w:sz w:val="24"/>
                <w:szCs w:val="24"/>
              </w:rPr>
            </w:pPr>
            <w:r>
              <w:rPr>
                <w:rFonts w:eastAsia="Times New Roman" w:cs="Times New Roman"/>
                <w:b/>
                <w:kern w:val="0"/>
                <w:sz w:val="24"/>
                <w:szCs w:val="24"/>
                <w:lang w:val="ru-RU" w:eastAsia="ru-RU" w:bidi="ar-SA"/>
              </w:rPr>
            </w:r>
          </w:p>
        </w:tc>
        <w:tc>
          <w:tcPr>
            <w:tcW w:w="2671" w:type="dxa"/>
            <w:tcBorders/>
          </w:tcPr>
          <w:p>
            <w:pPr>
              <w:pStyle w:val="Normal"/>
              <w:widowControl w:val="false"/>
              <w:tabs>
                <w:tab w:val="clear" w:pos="708"/>
                <w:tab w:val="left" w:pos="426" w:leader="none"/>
              </w:tabs>
              <w:suppressAutoHyphens w:val="true"/>
              <w:spacing w:before="60" w:after="0"/>
              <w:jc w:val="left"/>
              <w:rPr>
                <w:b/>
                <w:sz w:val="24"/>
                <w:szCs w:val="24"/>
              </w:rPr>
            </w:pPr>
            <w:r>
              <w:rPr>
                <w:rFonts w:eastAsia="Times New Roman" w:cs="Times New Roman"/>
                <w:b/>
                <w:kern w:val="0"/>
                <w:sz w:val="24"/>
                <w:szCs w:val="24"/>
                <w:lang w:val="ru-RU" w:eastAsia="ru-RU" w:bidi="ar-SA"/>
              </w:rPr>
            </w:r>
          </w:p>
        </w:tc>
      </w:tr>
      <w:tr>
        <w:trPr>
          <w:trHeight w:val="143" w:hRule="atLeast"/>
        </w:trPr>
        <w:tc>
          <w:tcPr>
            <w:tcW w:w="1042" w:type="dxa"/>
            <w:tcBorders/>
            <w:vAlign w:val="center"/>
          </w:tcPr>
          <w:p>
            <w:pPr>
              <w:pStyle w:val="Normal"/>
              <w:widowControl w:val="false"/>
              <w:suppressAutoHyphens w:val="true"/>
              <w:spacing w:before="60" w:after="60"/>
              <w:jc w:val="center"/>
              <w:rPr>
                <w:sz w:val="24"/>
                <w:szCs w:val="24"/>
              </w:rPr>
            </w:pPr>
            <w:r>
              <w:rPr>
                <w:rFonts w:eastAsia="Times New Roman" w:cs="Times New Roman"/>
                <w:kern w:val="0"/>
                <w:sz w:val="24"/>
                <w:szCs w:val="24"/>
                <w:lang w:val="ru-RU" w:eastAsia="ru-RU" w:bidi="ar-SA"/>
              </w:rPr>
              <w:t>1.5.6.</w:t>
            </w:r>
          </w:p>
        </w:tc>
        <w:tc>
          <w:tcPr>
            <w:tcW w:w="2780" w:type="dxa"/>
            <w:tcBorders/>
          </w:tcPr>
          <w:p>
            <w:pPr>
              <w:pStyle w:val="Normal"/>
              <w:widowControl w:val="false"/>
              <w:tabs>
                <w:tab w:val="clear" w:pos="708"/>
                <w:tab w:val="left" w:pos="426" w:leader="none"/>
              </w:tabs>
              <w:suppressAutoHyphens w:val="true"/>
              <w:spacing w:before="60" w:after="0"/>
              <w:jc w:val="left"/>
              <w:rPr>
                <w:iCs/>
                <w:sz w:val="24"/>
                <w:szCs w:val="24"/>
              </w:rPr>
            </w:pPr>
            <w:r>
              <w:rPr>
                <w:rFonts w:eastAsia="Times New Roman" w:cs="Times New Roman"/>
                <w:iCs/>
                <w:kern w:val="0"/>
                <w:sz w:val="24"/>
                <w:szCs w:val="24"/>
                <w:lang w:val="ru-RU" w:eastAsia="ru-RU" w:bidi="ar-SA"/>
              </w:rPr>
              <w:t>Оториноларинголог</w:t>
            </w:r>
          </w:p>
        </w:tc>
        <w:tc>
          <w:tcPr>
            <w:tcW w:w="3549" w:type="dxa"/>
            <w:tcBorders/>
          </w:tcPr>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Исполнитель должен обладать следующими кадровыми ресурсами:</w:t>
            </w:r>
          </w:p>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w:t>
            </w:r>
            <w:r>
              <w:rPr>
                <w:rFonts w:eastAsia="Times New Roman" w:cs="Times New Roman"/>
                <w:kern w:val="0"/>
                <w:sz w:val="24"/>
                <w:szCs w:val="24"/>
                <w:lang w:val="ru-RU" w:eastAsia="ru-RU" w:bidi="ar-SA"/>
              </w:rPr>
              <w:tab/>
              <w:t>не менее 1 (одного) оториноларинголога.</w:t>
            </w:r>
          </w:p>
        </w:tc>
        <w:tc>
          <w:tcPr>
            <w:tcW w:w="2504" w:type="dxa"/>
            <w:vMerge w:val="continue"/>
            <w:tcBorders/>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r>
          </w:p>
        </w:tc>
        <w:tc>
          <w:tcPr>
            <w:tcW w:w="2762" w:type="dxa"/>
            <w:tcBorders/>
          </w:tcPr>
          <w:p>
            <w:pPr>
              <w:pStyle w:val="Normal"/>
              <w:widowControl w:val="false"/>
              <w:tabs>
                <w:tab w:val="clear" w:pos="708"/>
                <w:tab w:val="left" w:pos="426" w:leader="none"/>
              </w:tabs>
              <w:suppressAutoHyphens w:val="true"/>
              <w:spacing w:before="60" w:after="0"/>
              <w:jc w:val="left"/>
              <w:rPr>
                <w:b/>
                <w:sz w:val="24"/>
                <w:szCs w:val="24"/>
              </w:rPr>
            </w:pPr>
            <w:r>
              <w:rPr>
                <w:rFonts w:eastAsia="Times New Roman" w:cs="Times New Roman"/>
                <w:b/>
                <w:kern w:val="0"/>
                <w:sz w:val="24"/>
                <w:szCs w:val="24"/>
                <w:lang w:val="ru-RU" w:eastAsia="ru-RU" w:bidi="ar-SA"/>
              </w:rPr>
            </w:r>
          </w:p>
        </w:tc>
        <w:tc>
          <w:tcPr>
            <w:tcW w:w="2671" w:type="dxa"/>
            <w:tcBorders/>
          </w:tcPr>
          <w:p>
            <w:pPr>
              <w:pStyle w:val="Normal"/>
              <w:widowControl w:val="false"/>
              <w:tabs>
                <w:tab w:val="clear" w:pos="708"/>
                <w:tab w:val="left" w:pos="426" w:leader="none"/>
              </w:tabs>
              <w:suppressAutoHyphens w:val="true"/>
              <w:spacing w:before="60" w:after="0"/>
              <w:jc w:val="left"/>
              <w:rPr>
                <w:b/>
                <w:sz w:val="24"/>
                <w:szCs w:val="24"/>
              </w:rPr>
            </w:pPr>
            <w:r>
              <w:rPr>
                <w:rFonts w:eastAsia="Times New Roman" w:cs="Times New Roman"/>
                <w:b/>
                <w:kern w:val="0"/>
                <w:sz w:val="24"/>
                <w:szCs w:val="24"/>
                <w:lang w:val="ru-RU" w:eastAsia="ru-RU" w:bidi="ar-SA"/>
              </w:rPr>
            </w:r>
          </w:p>
        </w:tc>
      </w:tr>
      <w:tr>
        <w:trPr>
          <w:trHeight w:val="143" w:hRule="atLeast"/>
        </w:trPr>
        <w:tc>
          <w:tcPr>
            <w:tcW w:w="1042" w:type="dxa"/>
            <w:tcBorders/>
            <w:vAlign w:val="center"/>
          </w:tcPr>
          <w:p>
            <w:pPr>
              <w:pStyle w:val="Normal"/>
              <w:widowControl w:val="false"/>
              <w:suppressAutoHyphens w:val="true"/>
              <w:spacing w:before="60" w:after="60"/>
              <w:jc w:val="center"/>
              <w:rPr>
                <w:sz w:val="24"/>
                <w:szCs w:val="24"/>
              </w:rPr>
            </w:pPr>
            <w:r>
              <w:rPr>
                <w:rFonts w:eastAsia="Times New Roman" w:cs="Times New Roman"/>
                <w:kern w:val="0"/>
                <w:sz w:val="24"/>
                <w:szCs w:val="24"/>
                <w:lang w:val="ru-RU" w:eastAsia="ru-RU" w:bidi="ar-SA"/>
              </w:rPr>
              <w:t>1.5.7.</w:t>
            </w:r>
          </w:p>
        </w:tc>
        <w:tc>
          <w:tcPr>
            <w:tcW w:w="2780" w:type="dxa"/>
            <w:tcBorders/>
          </w:tcPr>
          <w:p>
            <w:pPr>
              <w:pStyle w:val="Normal"/>
              <w:widowControl w:val="false"/>
              <w:tabs>
                <w:tab w:val="clear" w:pos="708"/>
                <w:tab w:val="left" w:pos="426" w:leader="none"/>
              </w:tabs>
              <w:suppressAutoHyphens w:val="true"/>
              <w:spacing w:before="60" w:after="0"/>
              <w:jc w:val="left"/>
              <w:rPr>
                <w:iCs/>
                <w:sz w:val="24"/>
                <w:szCs w:val="24"/>
              </w:rPr>
            </w:pPr>
            <w:r>
              <w:rPr>
                <w:rFonts w:eastAsia="Times New Roman" w:cs="Times New Roman"/>
                <w:iCs/>
                <w:kern w:val="0"/>
                <w:sz w:val="24"/>
                <w:szCs w:val="24"/>
                <w:lang w:val="ru-RU" w:eastAsia="ru-RU" w:bidi="ar-SA"/>
              </w:rPr>
              <w:t>Стоматолог</w:t>
            </w:r>
          </w:p>
        </w:tc>
        <w:tc>
          <w:tcPr>
            <w:tcW w:w="3549" w:type="dxa"/>
            <w:tcBorders/>
          </w:tcPr>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Исполнитель должен обладать следующими кадровыми ресурсами:</w:t>
            </w:r>
          </w:p>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w:t>
            </w:r>
            <w:r>
              <w:rPr>
                <w:rFonts w:eastAsia="Times New Roman" w:cs="Times New Roman"/>
                <w:kern w:val="0"/>
                <w:sz w:val="24"/>
                <w:szCs w:val="24"/>
                <w:lang w:val="ru-RU" w:eastAsia="ru-RU" w:bidi="ar-SA"/>
              </w:rPr>
              <w:tab/>
              <w:t>не менее 1 (одного) стоматолога.</w:t>
            </w:r>
          </w:p>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r>
          </w:p>
        </w:tc>
        <w:tc>
          <w:tcPr>
            <w:tcW w:w="2504" w:type="dxa"/>
            <w:vMerge w:val="continue"/>
            <w:tcBorders/>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r>
          </w:p>
        </w:tc>
        <w:tc>
          <w:tcPr>
            <w:tcW w:w="2762" w:type="dxa"/>
            <w:tcBorders/>
          </w:tcPr>
          <w:p>
            <w:pPr>
              <w:pStyle w:val="Normal"/>
              <w:widowControl w:val="false"/>
              <w:tabs>
                <w:tab w:val="clear" w:pos="708"/>
                <w:tab w:val="left" w:pos="426" w:leader="none"/>
              </w:tabs>
              <w:suppressAutoHyphens w:val="true"/>
              <w:spacing w:before="60" w:after="0"/>
              <w:jc w:val="left"/>
              <w:rPr>
                <w:b/>
                <w:sz w:val="24"/>
                <w:szCs w:val="24"/>
              </w:rPr>
            </w:pPr>
            <w:r>
              <w:rPr>
                <w:rFonts w:eastAsia="Times New Roman" w:cs="Times New Roman"/>
                <w:b/>
                <w:kern w:val="0"/>
                <w:sz w:val="24"/>
                <w:szCs w:val="24"/>
                <w:lang w:val="ru-RU" w:eastAsia="ru-RU" w:bidi="ar-SA"/>
              </w:rPr>
            </w:r>
          </w:p>
        </w:tc>
        <w:tc>
          <w:tcPr>
            <w:tcW w:w="2671" w:type="dxa"/>
            <w:tcBorders/>
          </w:tcPr>
          <w:p>
            <w:pPr>
              <w:pStyle w:val="Normal"/>
              <w:widowControl w:val="false"/>
              <w:tabs>
                <w:tab w:val="clear" w:pos="708"/>
                <w:tab w:val="left" w:pos="426" w:leader="none"/>
              </w:tabs>
              <w:suppressAutoHyphens w:val="true"/>
              <w:spacing w:before="60" w:after="0"/>
              <w:jc w:val="left"/>
              <w:rPr>
                <w:b/>
                <w:sz w:val="24"/>
                <w:szCs w:val="24"/>
              </w:rPr>
            </w:pPr>
            <w:r>
              <w:rPr>
                <w:rFonts w:eastAsia="Times New Roman" w:cs="Times New Roman"/>
                <w:b/>
                <w:kern w:val="0"/>
                <w:sz w:val="24"/>
                <w:szCs w:val="24"/>
                <w:lang w:val="ru-RU" w:eastAsia="ru-RU" w:bidi="ar-SA"/>
              </w:rPr>
            </w:r>
          </w:p>
        </w:tc>
      </w:tr>
      <w:tr>
        <w:trPr>
          <w:trHeight w:val="143" w:hRule="atLeast"/>
        </w:trPr>
        <w:tc>
          <w:tcPr>
            <w:tcW w:w="1042" w:type="dxa"/>
            <w:tcBorders/>
            <w:vAlign w:val="center"/>
          </w:tcPr>
          <w:p>
            <w:pPr>
              <w:pStyle w:val="Normal"/>
              <w:widowControl w:val="false"/>
              <w:suppressAutoHyphens w:val="true"/>
              <w:spacing w:before="60" w:after="60"/>
              <w:jc w:val="center"/>
              <w:rPr>
                <w:sz w:val="24"/>
                <w:szCs w:val="24"/>
              </w:rPr>
            </w:pPr>
            <w:r>
              <w:rPr>
                <w:rFonts w:eastAsia="Times New Roman" w:cs="Times New Roman"/>
                <w:kern w:val="0"/>
                <w:sz w:val="24"/>
                <w:szCs w:val="24"/>
                <w:lang w:val="ru-RU" w:eastAsia="ru-RU" w:bidi="ar-SA"/>
              </w:rPr>
              <w:t>1.5.8.</w:t>
            </w:r>
          </w:p>
        </w:tc>
        <w:tc>
          <w:tcPr>
            <w:tcW w:w="2780" w:type="dxa"/>
            <w:tcBorders/>
          </w:tcPr>
          <w:p>
            <w:pPr>
              <w:pStyle w:val="Normal"/>
              <w:widowControl w:val="false"/>
              <w:tabs>
                <w:tab w:val="clear" w:pos="708"/>
                <w:tab w:val="left" w:pos="426" w:leader="none"/>
              </w:tabs>
              <w:suppressAutoHyphens w:val="true"/>
              <w:spacing w:before="60" w:after="0"/>
              <w:jc w:val="left"/>
              <w:rPr>
                <w:iCs/>
                <w:sz w:val="24"/>
                <w:szCs w:val="24"/>
              </w:rPr>
            </w:pPr>
            <w:r>
              <w:rPr>
                <w:rFonts w:eastAsia="Times New Roman" w:cs="Times New Roman"/>
                <w:iCs/>
                <w:kern w:val="0"/>
                <w:sz w:val="24"/>
                <w:szCs w:val="24"/>
                <w:lang w:val="ru-RU" w:eastAsia="ru-RU" w:bidi="ar-SA"/>
              </w:rPr>
              <w:t>Дерматовенеролог</w:t>
            </w:r>
          </w:p>
        </w:tc>
        <w:tc>
          <w:tcPr>
            <w:tcW w:w="3549" w:type="dxa"/>
            <w:tcBorders/>
          </w:tcPr>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Исполнитель должен обладать следующими кадровыми ресурсами:</w:t>
            </w:r>
          </w:p>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w:t>
            </w:r>
            <w:r>
              <w:rPr>
                <w:rFonts w:eastAsia="Times New Roman" w:cs="Times New Roman"/>
                <w:kern w:val="0"/>
                <w:sz w:val="24"/>
                <w:szCs w:val="24"/>
                <w:lang w:val="ru-RU" w:eastAsia="ru-RU" w:bidi="ar-SA"/>
              </w:rPr>
              <w:tab/>
              <w:t>не менее 1 (одного) дерматовенеролога.</w:t>
            </w:r>
          </w:p>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r>
          </w:p>
        </w:tc>
        <w:tc>
          <w:tcPr>
            <w:tcW w:w="2504" w:type="dxa"/>
            <w:vMerge w:val="continue"/>
            <w:tcBorders/>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r>
          </w:p>
        </w:tc>
        <w:tc>
          <w:tcPr>
            <w:tcW w:w="2762" w:type="dxa"/>
            <w:tcBorders/>
          </w:tcPr>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r>
          </w:p>
        </w:tc>
        <w:tc>
          <w:tcPr>
            <w:tcW w:w="2671" w:type="dxa"/>
            <w:tcBorders/>
          </w:tcPr>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r>
          </w:p>
        </w:tc>
      </w:tr>
      <w:tr>
        <w:trPr>
          <w:trHeight w:val="143" w:hRule="atLeast"/>
        </w:trPr>
        <w:tc>
          <w:tcPr>
            <w:tcW w:w="1042" w:type="dxa"/>
            <w:tcBorders/>
            <w:vAlign w:val="center"/>
          </w:tcPr>
          <w:p>
            <w:pPr>
              <w:pStyle w:val="Normal"/>
              <w:widowControl w:val="false"/>
              <w:suppressAutoHyphens w:val="true"/>
              <w:spacing w:before="60" w:after="60"/>
              <w:jc w:val="center"/>
              <w:rPr>
                <w:sz w:val="24"/>
                <w:szCs w:val="24"/>
              </w:rPr>
            </w:pPr>
            <w:r>
              <w:rPr>
                <w:rFonts w:eastAsia="Times New Roman" w:cs="Times New Roman"/>
                <w:kern w:val="0"/>
                <w:sz w:val="24"/>
                <w:szCs w:val="24"/>
                <w:lang w:val="ru-RU" w:eastAsia="ru-RU" w:bidi="ar-SA"/>
              </w:rPr>
              <w:t>1.5.9.</w:t>
            </w:r>
          </w:p>
        </w:tc>
        <w:tc>
          <w:tcPr>
            <w:tcW w:w="2780" w:type="dxa"/>
            <w:tcBorders/>
          </w:tcPr>
          <w:p>
            <w:pPr>
              <w:pStyle w:val="Normal"/>
              <w:widowControl w:val="false"/>
              <w:tabs>
                <w:tab w:val="clear" w:pos="708"/>
                <w:tab w:val="left" w:pos="426" w:leader="none"/>
              </w:tabs>
              <w:suppressAutoHyphens w:val="true"/>
              <w:spacing w:before="60" w:after="0"/>
              <w:jc w:val="left"/>
              <w:rPr>
                <w:iCs/>
                <w:sz w:val="24"/>
                <w:szCs w:val="24"/>
              </w:rPr>
            </w:pPr>
            <w:r>
              <w:rPr>
                <w:rFonts w:eastAsia="Times New Roman" w:cs="Times New Roman"/>
                <w:kern w:val="0"/>
                <w:sz w:val="24"/>
                <w:szCs w:val="24"/>
                <w:lang w:val="ru-RU" w:eastAsia="ru-RU" w:bidi="ar-SA"/>
              </w:rPr>
              <w:t>Акушер - гинеколог</w:t>
            </w:r>
          </w:p>
        </w:tc>
        <w:tc>
          <w:tcPr>
            <w:tcW w:w="3549" w:type="dxa"/>
            <w:tcBorders/>
          </w:tcPr>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Исполнитель должен обладать следующими кадровыми ресурсами:</w:t>
            </w:r>
          </w:p>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w:t>
            </w:r>
            <w:r>
              <w:rPr>
                <w:rFonts w:eastAsia="Times New Roman" w:cs="Times New Roman"/>
                <w:kern w:val="0"/>
                <w:sz w:val="24"/>
                <w:szCs w:val="24"/>
                <w:lang w:val="ru-RU" w:eastAsia="ru-RU" w:bidi="ar-SA"/>
              </w:rPr>
              <w:tab/>
              <w:t>не менее 1 (одного) акушера - гинеколога (гинеколога).</w:t>
            </w:r>
          </w:p>
        </w:tc>
        <w:tc>
          <w:tcPr>
            <w:tcW w:w="2504" w:type="dxa"/>
            <w:vMerge w:val="continue"/>
            <w:tcBorders/>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r>
          </w:p>
        </w:tc>
        <w:tc>
          <w:tcPr>
            <w:tcW w:w="2762" w:type="dxa"/>
            <w:tcBorders/>
          </w:tcPr>
          <w:p>
            <w:pPr>
              <w:pStyle w:val="Normal"/>
              <w:widowControl w:val="false"/>
              <w:tabs>
                <w:tab w:val="clear" w:pos="708"/>
                <w:tab w:val="left" w:pos="426" w:leader="none"/>
              </w:tabs>
              <w:suppressAutoHyphens w:val="true"/>
              <w:spacing w:before="60" w:after="0"/>
              <w:jc w:val="left"/>
              <w:rPr>
                <w:b/>
                <w:sz w:val="24"/>
                <w:szCs w:val="24"/>
              </w:rPr>
            </w:pPr>
            <w:r>
              <w:rPr>
                <w:rFonts w:eastAsia="Times New Roman" w:cs="Times New Roman"/>
                <w:b/>
                <w:kern w:val="0"/>
                <w:sz w:val="24"/>
                <w:szCs w:val="24"/>
                <w:lang w:val="ru-RU" w:eastAsia="ru-RU" w:bidi="ar-SA"/>
              </w:rPr>
            </w:r>
          </w:p>
        </w:tc>
        <w:tc>
          <w:tcPr>
            <w:tcW w:w="2671" w:type="dxa"/>
            <w:tcBorders/>
          </w:tcPr>
          <w:p>
            <w:pPr>
              <w:pStyle w:val="Normal"/>
              <w:widowControl w:val="false"/>
              <w:tabs>
                <w:tab w:val="clear" w:pos="708"/>
                <w:tab w:val="left" w:pos="426" w:leader="none"/>
              </w:tabs>
              <w:suppressAutoHyphens w:val="true"/>
              <w:spacing w:before="60" w:after="0"/>
              <w:jc w:val="left"/>
              <w:rPr>
                <w:b/>
                <w:sz w:val="24"/>
                <w:szCs w:val="24"/>
              </w:rPr>
            </w:pPr>
            <w:r>
              <w:rPr>
                <w:rFonts w:eastAsia="Times New Roman" w:cs="Times New Roman"/>
                <w:b/>
                <w:kern w:val="0"/>
                <w:sz w:val="24"/>
                <w:szCs w:val="24"/>
                <w:lang w:val="ru-RU" w:eastAsia="ru-RU" w:bidi="ar-SA"/>
              </w:rPr>
            </w:r>
          </w:p>
        </w:tc>
      </w:tr>
      <w:tr>
        <w:trPr>
          <w:trHeight w:val="143" w:hRule="atLeast"/>
        </w:trPr>
        <w:tc>
          <w:tcPr>
            <w:tcW w:w="1042" w:type="dxa"/>
            <w:tcBorders/>
            <w:vAlign w:val="center"/>
          </w:tcPr>
          <w:p>
            <w:pPr>
              <w:pStyle w:val="ListParagraph"/>
              <w:widowControl w:val="false"/>
              <w:numPr>
                <w:ilvl w:val="0"/>
                <w:numId w:val="6"/>
              </w:numPr>
              <w:suppressAutoHyphens w:val="true"/>
              <w:spacing w:before="60" w:after="60"/>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6329" w:type="dxa"/>
            <w:gridSpan w:val="2"/>
            <w:tcBorders/>
            <w:vAlign w:val="center"/>
          </w:tcPr>
          <w:p>
            <w:pPr>
              <w:pStyle w:val="Normal"/>
              <w:widowControl w:val="false"/>
              <w:suppressAutoHyphens w:val="true"/>
              <w:spacing w:before="0" w:after="0"/>
              <w:jc w:val="left"/>
              <w:rPr>
                <w:b/>
                <w:bCs/>
                <w:sz w:val="24"/>
                <w:szCs w:val="24"/>
              </w:rPr>
            </w:pPr>
            <w:r>
              <w:rPr>
                <w:rFonts w:eastAsia="Times New Roman" w:cs="Times New Roman"/>
                <w:b/>
                <w:bCs/>
                <w:kern w:val="0"/>
                <w:sz w:val="24"/>
                <w:szCs w:val="24"/>
                <w:lang w:val="ru-RU" w:eastAsia="ru-RU" w:bidi="ar-SA"/>
              </w:rPr>
              <w:t>Требования к результатам у</w:t>
            </w:r>
            <w:r>
              <w:rPr>
                <w:rFonts w:eastAsia="Times New Roman" w:cs="Times New Roman"/>
                <w:b/>
                <w:kern w:val="0"/>
                <w:sz w:val="24"/>
                <w:szCs w:val="24"/>
                <w:lang w:val="ru-RU" w:eastAsia="ru-RU" w:bidi="ar-SA"/>
              </w:rPr>
              <w:t>слуг</w:t>
            </w:r>
          </w:p>
        </w:tc>
        <w:tc>
          <w:tcPr>
            <w:tcW w:w="2504" w:type="dxa"/>
            <w:vMerge w:val="continue"/>
            <w:tcBorders/>
          </w:tcPr>
          <w:p>
            <w:pPr>
              <w:pStyle w:val="Normal"/>
              <w:widowControl w:val="false"/>
              <w:suppressAutoHyphens w:val="true"/>
              <w:spacing w:before="0" w:after="0"/>
              <w:jc w:val="left"/>
              <w:rPr>
                <w:b/>
                <w:sz w:val="24"/>
                <w:szCs w:val="24"/>
              </w:rPr>
            </w:pPr>
            <w:r>
              <w:rPr>
                <w:rFonts w:eastAsia="Times New Roman" w:cs="Times New Roman"/>
                <w:b/>
                <w:kern w:val="0"/>
                <w:sz w:val="24"/>
                <w:szCs w:val="24"/>
                <w:lang w:val="ru-RU" w:eastAsia="ru-RU" w:bidi="ar-SA"/>
              </w:rPr>
            </w:r>
          </w:p>
        </w:tc>
        <w:tc>
          <w:tcPr>
            <w:tcW w:w="2762"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c>
          <w:tcPr>
            <w:tcW w:w="2671"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r>
          </w:p>
        </w:tc>
      </w:tr>
      <w:tr>
        <w:trPr>
          <w:trHeight w:val="143" w:hRule="atLeast"/>
        </w:trPr>
        <w:tc>
          <w:tcPr>
            <w:tcW w:w="1042"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6329" w:type="dxa"/>
            <w:gridSpan w:val="2"/>
            <w:tcBorders/>
            <w:vAlign w:val="center"/>
          </w:tcPr>
          <w:p>
            <w:pPr>
              <w:pStyle w:val="Normal"/>
              <w:widowControl w:val="false"/>
              <w:suppressAutoHyphens w:val="true"/>
              <w:spacing w:before="0" w:after="0"/>
              <w:jc w:val="left"/>
              <w:rPr>
                <w:b/>
                <w:bCs/>
                <w:sz w:val="24"/>
                <w:szCs w:val="24"/>
              </w:rPr>
            </w:pPr>
            <w:r>
              <w:rPr>
                <w:rFonts w:eastAsia="Times New Roman" w:cs="Times New Roman"/>
                <w:b/>
                <w:bCs/>
                <w:kern w:val="0"/>
                <w:sz w:val="24"/>
                <w:szCs w:val="24"/>
                <w:lang w:val="ru-RU" w:eastAsia="ru-RU" w:bidi="ar-SA"/>
              </w:rPr>
              <w:t>Общие требования к результатам услуг</w:t>
            </w:r>
          </w:p>
        </w:tc>
        <w:tc>
          <w:tcPr>
            <w:tcW w:w="2504" w:type="dxa"/>
            <w:vMerge w:val="continue"/>
            <w:tcBorders/>
          </w:tcPr>
          <w:p>
            <w:pPr>
              <w:pStyle w:val="Normal"/>
              <w:widowControl w:val="false"/>
              <w:suppressAutoHyphens w:val="true"/>
              <w:spacing w:before="0" w:after="0"/>
              <w:jc w:val="left"/>
              <w:rPr>
                <w:b/>
                <w:sz w:val="24"/>
                <w:szCs w:val="24"/>
              </w:rPr>
            </w:pPr>
            <w:r>
              <w:rPr>
                <w:rFonts w:eastAsia="Times New Roman" w:cs="Times New Roman"/>
                <w:b/>
                <w:kern w:val="0"/>
                <w:sz w:val="24"/>
                <w:szCs w:val="24"/>
                <w:lang w:val="ru-RU" w:eastAsia="ru-RU" w:bidi="ar-SA"/>
              </w:rPr>
            </w:r>
          </w:p>
        </w:tc>
        <w:tc>
          <w:tcPr>
            <w:tcW w:w="2762"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c>
          <w:tcPr>
            <w:tcW w:w="2671"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r>
          </w:p>
        </w:tc>
      </w:tr>
      <w:tr>
        <w:trPr>
          <w:trHeight w:val="143" w:hRule="atLeast"/>
        </w:trPr>
        <w:tc>
          <w:tcPr>
            <w:tcW w:w="1042"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780" w:type="dxa"/>
            <w:tcBorders/>
          </w:tcPr>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Результат оказания услуг</w:t>
            </w:r>
          </w:p>
        </w:tc>
        <w:tc>
          <w:tcPr>
            <w:tcW w:w="3549" w:type="dxa"/>
            <w:tcBorders/>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Исполнитель должен провести периодический медицинский осмотр работников Камчатского филиала АО «ТК РусГидро» согласно Приказа Минздрава России от 28.01.2021 N 29н, в количестве 353 человек, о</w:t>
            </w:r>
            <w:r>
              <w:rPr>
                <w:rFonts w:eastAsia="Calibri" w:cs="Times New Roman"/>
                <w:kern w:val="0"/>
                <w:sz w:val="24"/>
                <w:szCs w:val="24"/>
                <w:lang w:val="ru-RU" w:eastAsia="x-none" w:bidi="ar-SA"/>
              </w:rPr>
              <w:t>формление и выдачу заключительного акта по результатам проведения медицинских осмотров, оформление и выдачу паспорта здоровья на каждого работника Камчатского филиала АО «ТК РусГидро», прошедшего периодический медосмотр, оформление и выдачу заключения  о состоянии здоровья на каждого работника Камчатского филиала АО «ТК РусГидро», прошедшего периодический медосмотр.</w:t>
            </w:r>
          </w:p>
        </w:tc>
        <w:tc>
          <w:tcPr>
            <w:tcW w:w="2504" w:type="dxa"/>
            <w:vMerge w:val="continue"/>
            <w:tcBorders/>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r>
          </w:p>
        </w:tc>
        <w:tc>
          <w:tcPr>
            <w:tcW w:w="2762" w:type="dxa"/>
            <w:tcBorders/>
          </w:tcPr>
          <w:p>
            <w:pPr>
              <w:pStyle w:val="Style27"/>
              <w:keepNext w:val="false"/>
              <w:widowControl w:val="false"/>
              <w:numPr>
                <w:ilvl w:val="0"/>
                <w:numId w:val="0"/>
              </w:numPr>
              <w:suppressAutoHyphens w:val="true"/>
              <w:spacing w:before="0" w:after="60"/>
              <w:jc w:val="left"/>
              <w:outlineLvl w:val="2"/>
              <w:rPr>
                <w:rFonts w:eastAsia="Times New Roman"/>
                <w:b w:val="false"/>
                <w:lang w:val="ru-RU" w:eastAsia="ru-RU"/>
              </w:rPr>
            </w:pPr>
            <w:r>
              <w:rPr>
                <w:rFonts w:eastAsia="Times New Roman" w:cs="Times New Roman"/>
                <w:b w:val="false"/>
                <w:kern w:val="0"/>
                <w:sz w:val="20"/>
                <w:szCs w:val="20"/>
                <w:lang w:val="ru-RU" w:eastAsia="ru-RU" w:bidi="ar-SA"/>
              </w:rPr>
            </w:r>
          </w:p>
        </w:tc>
        <w:tc>
          <w:tcPr>
            <w:tcW w:w="2671" w:type="dxa"/>
            <w:tcBorders/>
          </w:tcPr>
          <w:p>
            <w:pPr>
              <w:pStyle w:val="Style27"/>
              <w:keepNext w:val="false"/>
              <w:widowControl w:val="false"/>
              <w:numPr>
                <w:ilvl w:val="0"/>
                <w:numId w:val="0"/>
              </w:numPr>
              <w:suppressAutoHyphens w:val="true"/>
              <w:spacing w:before="0" w:after="60"/>
              <w:jc w:val="left"/>
              <w:outlineLvl w:val="2"/>
              <w:rPr>
                <w:rFonts w:eastAsia="Times New Roman"/>
                <w:b w:val="false"/>
                <w:lang w:val="ru-RU" w:eastAsia="ru-RU"/>
              </w:rPr>
            </w:pPr>
            <w:r>
              <w:rPr>
                <w:rFonts w:eastAsia="Times New Roman" w:cs="Times New Roman"/>
                <w:b w:val="false"/>
                <w:kern w:val="0"/>
                <w:sz w:val="20"/>
                <w:szCs w:val="20"/>
                <w:lang w:val="ru-RU" w:eastAsia="ru-RU" w:bidi="ar-SA"/>
              </w:rPr>
            </w:r>
          </w:p>
        </w:tc>
      </w:tr>
      <w:tr>
        <w:trPr>
          <w:trHeight w:val="598" w:hRule="atLeast"/>
        </w:trPr>
        <w:tc>
          <w:tcPr>
            <w:tcW w:w="1042"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6329" w:type="dxa"/>
            <w:gridSpan w:val="2"/>
            <w:tcBorders/>
            <w:vAlign w:val="center"/>
          </w:tcPr>
          <w:p>
            <w:pPr>
              <w:pStyle w:val="Normal"/>
              <w:widowControl w:val="false"/>
              <w:suppressAutoHyphens w:val="true"/>
              <w:spacing w:before="60" w:after="0"/>
              <w:jc w:val="left"/>
              <w:rPr>
                <w:sz w:val="24"/>
                <w:szCs w:val="24"/>
              </w:rPr>
            </w:pPr>
            <w:r>
              <w:rPr>
                <w:rFonts w:eastAsia="Times New Roman" w:cs="Times New Roman"/>
                <w:b/>
                <w:kern w:val="0"/>
                <w:sz w:val="24"/>
                <w:szCs w:val="24"/>
                <w:lang w:val="ru-RU" w:eastAsia="ru-RU" w:bidi="ar-SA"/>
              </w:rPr>
              <w:t>Требования к безопасности использования результата оказания услуг</w:t>
            </w:r>
          </w:p>
        </w:tc>
        <w:tc>
          <w:tcPr>
            <w:tcW w:w="2504" w:type="dxa"/>
            <w:vMerge w:val="continue"/>
            <w:tcBorders/>
          </w:tcPr>
          <w:p>
            <w:pPr>
              <w:pStyle w:val="Normal"/>
              <w:widowControl w:val="false"/>
              <w:suppressAutoHyphens w:val="true"/>
              <w:spacing w:before="0" w:after="0"/>
              <w:jc w:val="left"/>
              <w:rPr>
                <w:b/>
                <w:sz w:val="24"/>
                <w:szCs w:val="24"/>
              </w:rPr>
            </w:pPr>
            <w:r>
              <w:rPr>
                <w:rFonts w:eastAsia="Times New Roman" w:cs="Times New Roman"/>
                <w:b/>
                <w:kern w:val="0"/>
                <w:sz w:val="24"/>
                <w:szCs w:val="24"/>
                <w:lang w:val="ru-RU" w:eastAsia="ru-RU" w:bidi="ar-SA"/>
              </w:rPr>
            </w:r>
          </w:p>
        </w:tc>
        <w:tc>
          <w:tcPr>
            <w:tcW w:w="2762"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c>
          <w:tcPr>
            <w:tcW w:w="2671"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r>
          </w:p>
        </w:tc>
      </w:tr>
      <w:tr>
        <w:trPr>
          <w:trHeight w:val="1377" w:hRule="atLeast"/>
        </w:trPr>
        <w:tc>
          <w:tcPr>
            <w:tcW w:w="1042"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780" w:type="dxa"/>
            <w:tcBorders/>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Требования к информационной безопасности результата оказания услуг</w:t>
            </w:r>
          </w:p>
        </w:tc>
        <w:tc>
          <w:tcPr>
            <w:tcW w:w="3549" w:type="dxa"/>
            <w:tcBorders/>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Требования информационной безопасности должны обеспечиваться на всех стадиях проведения услуг.</w:t>
            </w:r>
          </w:p>
        </w:tc>
        <w:tc>
          <w:tcPr>
            <w:tcW w:w="2504" w:type="dxa"/>
            <w:vMerge w:val="continue"/>
            <w:tcBorders/>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r>
          </w:p>
        </w:tc>
        <w:tc>
          <w:tcPr>
            <w:tcW w:w="2762" w:type="dxa"/>
            <w:tcBorders/>
          </w:tcPr>
          <w:p>
            <w:pPr>
              <w:pStyle w:val="Normal"/>
              <w:widowControl w:val="false"/>
              <w:tabs>
                <w:tab w:val="clear" w:pos="708"/>
                <w:tab w:val="left" w:pos="426" w:leader="none"/>
              </w:tabs>
              <w:suppressAutoHyphens w:val="true"/>
              <w:spacing w:before="60" w:after="0"/>
              <w:jc w:val="left"/>
              <w:rPr>
                <w:b/>
                <w:bCs/>
                <w:sz w:val="24"/>
                <w:szCs w:val="24"/>
              </w:rPr>
            </w:pPr>
            <w:r>
              <w:rPr>
                <w:rFonts w:eastAsia="Times New Roman" w:cs="Times New Roman"/>
                <w:b/>
                <w:bCs/>
                <w:kern w:val="0"/>
                <w:sz w:val="24"/>
                <w:szCs w:val="24"/>
                <w:lang w:val="ru-RU" w:eastAsia="ru-RU" w:bidi="ar-SA"/>
              </w:rPr>
            </w:r>
          </w:p>
        </w:tc>
        <w:tc>
          <w:tcPr>
            <w:tcW w:w="2671" w:type="dxa"/>
            <w:tcBorders/>
          </w:tcPr>
          <w:p>
            <w:pPr>
              <w:pStyle w:val="Normal"/>
              <w:widowControl w:val="false"/>
              <w:tabs>
                <w:tab w:val="clear" w:pos="708"/>
                <w:tab w:val="left" w:pos="426" w:leader="none"/>
              </w:tabs>
              <w:suppressAutoHyphens w:val="true"/>
              <w:spacing w:before="60" w:after="0"/>
              <w:jc w:val="left"/>
              <w:rPr>
                <w:b/>
                <w:bCs/>
                <w:sz w:val="24"/>
                <w:szCs w:val="24"/>
              </w:rPr>
            </w:pPr>
            <w:r>
              <w:rPr>
                <w:rFonts w:eastAsia="Times New Roman" w:cs="Times New Roman"/>
                <w:b/>
                <w:bCs/>
                <w:kern w:val="0"/>
                <w:sz w:val="24"/>
                <w:szCs w:val="24"/>
                <w:lang w:val="ru-RU" w:eastAsia="ru-RU" w:bidi="ar-SA"/>
              </w:rPr>
            </w:r>
          </w:p>
        </w:tc>
      </w:tr>
      <w:tr>
        <w:trPr>
          <w:trHeight w:val="389" w:hRule="atLeast"/>
        </w:trPr>
        <w:tc>
          <w:tcPr>
            <w:tcW w:w="1042"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6329" w:type="dxa"/>
            <w:gridSpan w:val="2"/>
            <w:tcBorders/>
            <w:vAlign w:val="center"/>
          </w:tcPr>
          <w:p>
            <w:pPr>
              <w:pStyle w:val="Normal"/>
              <w:widowControl w:val="false"/>
              <w:suppressAutoHyphens w:val="true"/>
              <w:spacing w:before="0" w:after="0"/>
              <w:jc w:val="left"/>
              <w:rPr>
                <w:bCs/>
                <w:sz w:val="24"/>
                <w:szCs w:val="24"/>
              </w:rPr>
            </w:pPr>
            <w:r>
              <w:rPr>
                <w:rFonts w:eastAsia="Times New Roman" w:cs="Times New Roman"/>
                <w:b/>
                <w:bCs/>
                <w:kern w:val="0"/>
                <w:sz w:val="24"/>
                <w:szCs w:val="24"/>
                <w:lang w:val="ru-RU" w:eastAsia="ru-RU" w:bidi="ar-SA"/>
              </w:rPr>
              <w:t>Требования к приемке результата оказания у</w:t>
            </w:r>
            <w:r>
              <w:rPr>
                <w:rFonts w:eastAsia="Times New Roman" w:cs="Times New Roman"/>
                <w:b/>
                <w:kern w:val="0"/>
                <w:sz w:val="24"/>
                <w:szCs w:val="24"/>
                <w:lang w:val="ru-RU" w:eastAsia="ru-RU" w:bidi="ar-SA"/>
              </w:rPr>
              <w:t>слуг</w:t>
            </w:r>
            <w:r>
              <w:rPr>
                <w:rStyle w:val="Style8"/>
                <w:rFonts w:eastAsia="Times New Roman" w:cs="Times New Roman"/>
                <w:b w:val="false"/>
                <w:bCs/>
                <w:i w:val="false"/>
                <w:kern w:val="0"/>
                <w:sz w:val="24"/>
                <w:szCs w:val="24"/>
                <w:shd w:fill="auto" w:val="clear"/>
                <w:lang w:val="ru-RU" w:eastAsia="ru-RU" w:bidi="ar-SA"/>
              </w:rPr>
              <w:t xml:space="preserve"> </w:t>
            </w:r>
          </w:p>
        </w:tc>
        <w:tc>
          <w:tcPr>
            <w:tcW w:w="2504" w:type="dxa"/>
            <w:vMerge w:val="continue"/>
            <w:tcBorders/>
          </w:tcPr>
          <w:p>
            <w:pPr>
              <w:pStyle w:val="Normal"/>
              <w:widowControl w:val="false"/>
              <w:suppressAutoHyphens w:val="true"/>
              <w:spacing w:before="0" w:after="0"/>
              <w:jc w:val="left"/>
              <w:rPr>
                <w:b/>
                <w:sz w:val="24"/>
                <w:szCs w:val="24"/>
              </w:rPr>
            </w:pPr>
            <w:r>
              <w:rPr>
                <w:rFonts w:eastAsia="Times New Roman" w:cs="Times New Roman"/>
                <w:b/>
                <w:kern w:val="0"/>
                <w:sz w:val="24"/>
                <w:szCs w:val="24"/>
                <w:lang w:val="ru-RU" w:eastAsia="ru-RU" w:bidi="ar-SA"/>
              </w:rPr>
            </w:r>
          </w:p>
        </w:tc>
        <w:tc>
          <w:tcPr>
            <w:tcW w:w="2762"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c>
          <w:tcPr>
            <w:tcW w:w="2671"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r>
          </w:p>
        </w:tc>
      </w:tr>
      <w:tr>
        <w:trPr>
          <w:trHeight w:val="1707" w:hRule="atLeast"/>
        </w:trPr>
        <w:tc>
          <w:tcPr>
            <w:tcW w:w="1042"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780" w:type="dxa"/>
            <w:tcBorders/>
          </w:tcPr>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Составление акта об оказании услуг.</w:t>
            </w:r>
          </w:p>
        </w:tc>
        <w:tc>
          <w:tcPr>
            <w:tcW w:w="3549" w:type="dxa"/>
            <w:tcBorders/>
          </w:tcPr>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После составления всей документации указанной в п.2.1.1. исполнитель передает Акт выполненных работ вместе с пакетом документов п.2.1.1.</w:t>
            </w:r>
          </w:p>
        </w:tc>
        <w:tc>
          <w:tcPr>
            <w:tcW w:w="2504" w:type="dxa"/>
            <w:vMerge w:val="continue"/>
            <w:tcBorders/>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r>
          </w:p>
        </w:tc>
        <w:tc>
          <w:tcPr>
            <w:tcW w:w="2762" w:type="dxa"/>
            <w:tcBorders/>
          </w:tcPr>
          <w:p>
            <w:pPr>
              <w:pStyle w:val="Normal"/>
              <w:widowControl w:val="false"/>
              <w:tabs>
                <w:tab w:val="clear" w:pos="708"/>
                <w:tab w:val="left" w:pos="426" w:leader="none"/>
              </w:tabs>
              <w:suppressAutoHyphens w:val="true"/>
              <w:spacing w:before="60" w:after="0"/>
              <w:jc w:val="left"/>
              <w:rPr>
                <w:b/>
                <w:sz w:val="24"/>
                <w:szCs w:val="24"/>
              </w:rPr>
            </w:pPr>
            <w:r>
              <w:rPr>
                <w:rFonts w:eastAsia="Times New Roman" w:cs="Times New Roman"/>
                <w:b/>
                <w:kern w:val="0"/>
                <w:sz w:val="24"/>
                <w:szCs w:val="24"/>
                <w:lang w:val="ru-RU" w:eastAsia="ru-RU" w:bidi="ar-SA"/>
              </w:rPr>
            </w:r>
          </w:p>
        </w:tc>
        <w:tc>
          <w:tcPr>
            <w:tcW w:w="2671" w:type="dxa"/>
            <w:tcBorders/>
          </w:tcPr>
          <w:p>
            <w:pPr>
              <w:pStyle w:val="Normal"/>
              <w:widowControl w:val="false"/>
              <w:tabs>
                <w:tab w:val="clear" w:pos="708"/>
                <w:tab w:val="left" w:pos="426" w:leader="none"/>
              </w:tabs>
              <w:suppressAutoHyphens w:val="true"/>
              <w:spacing w:before="60" w:after="0"/>
              <w:jc w:val="left"/>
              <w:rPr>
                <w:b/>
                <w:sz w:val="24"/>
                <w:szCs w:val="24"/>
              </w:rPr>
            </w:pPr>
            <w:r>
              <w:rPr>
                <w:rFonts w:eastAsia="Times New Roman" w:cs="Times New Roman"/>
                <w:b/>
                <w:kern w:val="0"/>
                <w:sz w:val="24"/>
                <w:szCs w:val="24"/>
                <w:lang w:val="ru-RU" w:eastAsia="ru-RU" w:bidi="ar-SA"/>
              </w:rPr>
            </w:r>
          </w:p>
        </w:tc>
      </w:tr>
      <w:tr>
        <w:trPr>
          <w:trHeight w:val="598" w:hRule="atLeast"/>
        </w:trPr>
        <w:tc>
          <w:tcPr>
            <w:tcW w:w="1042"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6329" w:type="dxa"/>
            <w:gridSpan w:val="2"/>
            <w:tcBorders/>
            <w:vAlign w:val="center"/>
          </w:tcPr>
          <w:p>
            <w:pPr>
              <w:pStyle w:val="Normal"/>
              <w:widowControl w:val="false"/>
              <w:suppressAutoHyphens w:val="true"/>
              <w:spacing w:before="60" w:after="0"/>
              <w:jc w:val="left"/>
              <w:rPr>
                <w:b/>
                <w:sz w:val="24"/>
                <w:szCs w:val="24"/>
              </w:rPr>
            </w:pPr>
            <w:r>
              <w:rPr>
                <w:rFonts w:eastAsia="Times New Roman" w:cs="Times New Roman"/>
                <w:b/>
                <w:kern w:val="0"/>
                <w:sz w:val="24"/>
                <w:szCs w:val="24"/>
                <w:lang w:val="ru-RU" w:eastAsia="ru-RU" w:bidi="ar-SA"/>
              </w:rPr>
              <w:t>Требования к документации, описывающей результат оказания услуг</w:t>
            </w:r>
          </w:p>
        </w:tc>
        <w:tc>
          <w:tcPr>
            <w:tcW w:w="2504" w:type="dxa"/>
            <w:vMerge w:val="continue"/>
            <w:tcBorders/>
          </w:tcPr>
          <w:p>
            <w:pPr>
              <w:pStyle w:val="Normal"/>
              <w:widowControl w:val="false"/>
              <w:suppressAutoHyphens w:val="true"/>
              <w:spacing w:before="0" w:after="0"/>
              <w:jc w:val="left"/>
              <w:rPr>
                <w:b/>
                <w:sz w:val="24"/>
                <w:szCs w:val="24"/>
              </w:rPr>
            </w:pPr>
            <w:r>
              <w:rPr>
                <w:rFonts w:eastAsia="Times New Roman" w:cs="Times New Roman"/>
                <w:b/>
                <w:kern w:val="0"/>
                <w:sz w:val="24"/>
                <w:szCs w:val="24"/>
                <w:lang w:val="ru-RU" w:eastAsia="ru-RU" w:bidi="ar-SA"/>
              </w:rPr>
            </w:r>
          </w:p>
        </w:tc>
        <w:tc>
          <w:tcPr>
            <w:tcW w:w="2762"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c>
          <w:tcPr>
            <w:tcW w:w="2671"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r>
          </w:p>
        </w:tc>
      </w:tr>
      <w:tr>
        <w:trPr>
          <w:trHeight w:val="2201" w:hRule="atLeast"/>
        </w:trPr>
        <w:tc>
          <w:tcPr>
            <w:tcW w:w="1042"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780" w:type="dxa"/>
            <w:tcBorders/>
          </w:tcPr>
          <w:p>
            <w:pPr>
              <w:pStyle w:val="Normal"/>
              <w:widowControl w:val="false"/>
              <w:suppressAutoHyphens w:val="true"/>
              <w:spacing w:before="0" w:after="0"/>
              <w:jc w:val="left"/>
              <w:rPr>
                <w:sz w:val="24"/>
                <w:szCs w:val="24"/>
              </w:rPr>
            </w:pPr>
            <w:r>
              <w:rPr>
                <w:rFonts w:eastAsia="Times New Roman" w:cs="Times New Roman"/>
                <w:iCs/>
                <w:kern w:val="0"/>
                <w:sz w:val="24"/>
                <w:szCs w:val="24"/>
                <w:lang w:val="ru-RU" w:eastAsia="ru-RU" w:bidi="ar-SA"/>
              </w:rPr>
              <w:t>Документы, передаваемые заказчику по результатам оказанных услуг.</w:t>
            </w:r>
          </w:p>
        </w:tc>
        <w:tc>
          <w:tcPr>
            <w:tcW w:w="3549" w:type="dxa"/>
            <w:tcBorders/>
            <w:vAlign w:val="cente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Акт оказанных услуг, счет, итоговый акт по результатам медицинского осмотра за первое полугодие, итоговый акт по результатам медицинского осмотра за второе полугодие, заключения на каждого прошедшего медосмотр сотрудника, паспорт здоровья на каждого прошедшего медосмотр сотрудника.</w:t>
            </w:r>
          </w:p>
        </w:tc>
        <w:tc>
          <w:tcPr>
            <w:tcW w:w="2504" w:type="dxa"/>
            <w:vMerge w:val="continue"/>
            <w:tcBorders/>
          </w:tcPr>
          <w:p>
            <w:pPr>
              <w:pStyle w:val="Normal"/>
              <w:widowControl w:val="false"/>
              <w:suppressAutoHyphens w:val="true"/>
              <w:spacing w:before="0" w:after="0"/>
              <w:jc w:val="left"/>
              <w:rPr>
                <w:b/>
                <w:bCs/>
                <w:sz w:val="24"/>
                <w:szCs w:val="24"/>
              </w:rPr>
            </w:pPr>
            <w:r>
              <w:rPr>
                <w:rFonts w:eastAsia="Times New Roman" w:cs="Times New Roman"/>
                <w:b/>
                <w:bCs/>
                <w:kern w:val="0"/>
                <w:sz w:val="24"/>
                <w:szCs w:val="24"/>
                <w:lang w:val="ru-RU" w:eastAsia="ru-RU" w:bidi="ar-SA"/>
              </w:rPr>
            </w:r>
          </w:p>
        </w:tc>
        <w:tc>
          <w:tcPr>
            <w:tcW w:w="2762" w:type="dxa"/>
            <w:tcBorders/>
          </w:tcPr>
          <w:p>
            <w:pPr>
              <w:pStyle w:val="Style27"/>
              <w:keepNext w:val="false"/>
              <w:widowControl w:val="false"/>
              <w:numPr>
                <w:ilvl w:val="0"/>
                <w:numId w:val="0"/>
              </w:numPr>
              <w:suppressAutoHyphens w:val="true"/>
              <w:spacing w:before="0" w:after="60"/>
              <w:jc w:val="left"/>
              <w:outlineLvl w:val="2"/>
              <w:rPr>
                <w:lang w:val="ru-RU"/>
              </w:rPr>
            </w:pPr>
            <w:r>
              <w:rPr>
                <w:rFonts w:eastAsia="Times New Roman" w:cs="Times New Roman"/>
                <w:kern w:val="0"/>
                <w:sz w:val="20"/>
                <w:szCs w:val="20"/>
                <w:lang w:val="ru-RU" w:eastAsia="ru-RU" w:bidi="ar-SA"/>
              </w:rPr>
            </w:r>
          </w:p>
        </w:tc>
        <w:tc>
          <w:tcPr>
            <w:tcW w:w="2671" w:type="dxa"/>
            <w:tcBorders/>
          </w:tcPr>
          <w:p>
            <w:pPr>
              <w:pStyle w:val="Style27"/>
              <w:keepNext w:val="false"/>
              <w:widowControl w:val="false"/>
              <w:numPr>
                <w:ilvl w:val="0"/>
                <w:numId w:val="0"/>
              </w:numPr>
              <w:suppressAutoHyphens w:val="true"/>
              <w:spacing w:before="0" w:after="60"/>
              <w:jc w:val="left"/>
              <w:outlineLvl w:val="2"/>
              <w:rPr>
                <w:lang w:val="ru-RU"/>
              </w:rPr>
            </w:pPr>
            <w:r>
              <w:rPr>
                <w:rFonts w:eastAsia="Times New Roman" w:cs="Times New Roman"/>
                <w:kern w:val="0"/>
                <w:sz w:val="20"/>
                <w:szCs w:val="20"/>
                <w:lang w:val="ru-RU" w:eastAsia="ru-RU" w:bidi="ar-SA"/>
              </w:rPr>
            </w:r>
          </w:p>
        </w:tc>
      </w:tr>
      <w:tr>
        <w:trPr>
          <w:trHeight w:val="1407" w:hRule="atLeast"/>
        </w:trPr>
        <w:tc>
          <w:tcPr>
            <w:tcW w:w="1042" w:type="dxa"/>
            <w:tcBorders/>
            <w:vAlign w:val="center"/>
          </w:tcPr>
          <w:p>
            <w:pPr>
              <w:pStyle w:val="ListParagraph"/>
              <w:widowControl w:val="false"/>
              <w:numPr>
                <w:ilvl w:val="0"/>
                <w:numId w:val="6"/>
              </w:numPr>
              <w:suppressAutoHyphens w:val="true"/>
              <w:spacing w:before="60" w:after="60"/>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6329" w:type="dxa"/>
            <w:gridSpan w:val="2"/>
            <w:tcBorders/>
            <w:vAlign w:val="center"/>
          </w:tcPr>
          <w:p>
            <w:pPr>
              <w:pStyle w:val="Normal"/>
              <w:widowControl w:val="false"/>
              <w:suppressAutoHyphens w:val="true"/>
              <w:spacing w:before="40" w:after="0"/>
              <w:jc w:val="left"/>
              <w:rPr>
                <w:b/>
                <w:sz w:val="24"/>
                <w:szCs w:val="24"/>
              </w:rPr>
            </w:pPr>
            <w:r>
              <w:rPr>
                <w:rFonts w:eastAsia="Times New Roman" w:cs="Times New Roman"/>
                <w:b/>
                <w:kern w:val="0"/>
                <w:sz w:val="24"/>
                <w:szCs w:val="24"/>
                <w:lang w:val="ru-RU" w:eastAsia="ru-RU" w:bidi="ar-SA"/>
              </w:rPr>
              <w:t>Требования к соблюдению положений нормативной и иной обязательной для исполнителя документации, определяемой видами услуг (помимо указанных в других разделах ТТ)</w:t>
            </w:r>
          </w:p>
        </w:tc>
        <w:tc>
          <w:tcPr>
            <w:tcW w:w="2504" w:type="dxa"/>
            <w:vMerge w:val="continue"/>
            <w:tcBorders/>
          </w:tcPr>
          <w:p>
            <w:pPr>
              <w:pStyle w:val="Normal"/>
              <w:widowControl w:val="false"/>
              <w:suppressAutoHyphens w:val="true"/>
              <w:spacing w:before="0" w:after="0"/>
              <w:jc w:val="left"/>
              <w:rPr>
                <w:b/>
                <w:sz w:val="24"/>
                <w:szCs w:val="24"/>
              </w:rPr>
            </w:pPr>
            <w:r>
              <w:rPr>
                <w:rFonts w:eastAsia="Times New Roman" w:cs="Times New Roman"/>
                <w:b/>
                <w:kern w:val="0"/>
                <w:sz w:val="24"/>
                <w:szCs w:val="24"/>
                <w:lang w:val="ru-RU" w:eastAsia="ru-RU" w:bidi="ar-SA"/>
              </w:rPr>
            </w:r>
          </w:p>
        </w:tc>
        <w:tc>
          <w:tcPr>
            <w:tcW w:w="2762"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c>
          <w:tcPr>
            <w:tcW w:w="2671"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r>
          </w:p>
        </w:tc>
      </w:tr>
      <w:tr>
        <w:trPr>
          <w:trHeight w:val="336" w:hRule="atLeast"/>
        </w:trPr>
        <w:tc>
          <w:tcPr>
            <w:tcW w:w="1042"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780" w:type="dxa"/>
            <w:tcBorders/>
          </w:tcPr>
          <w:p>
            <w:pPr>
              <w:pStyle w:val="Normal"/>
              <w:widowControl w:val="false"/>
              <w:tabs>
                <w:tab w:val="clear" w:pos="708"/>
                <w:tab w:val="left" w:pos="426" w:leader="none"/>
              </w:tabs>
              <w:suppressAutoHyphens w:val="true"/>
              <w:spacing w:before="60" w:after="0"/>
              <w:jc w:val="left"/>
              <w:rPr>
                <w:iCs/>
                <w:sz w:val="24"/>
                <w:szCs w:val="24"/>
              </w:rPr>
            </w:pPr>
            <w:r>
              <w:rPr>
                <w:rFonts w:eastAsia="Times New Roman" w:cs="Times New Roman"/>
                <w:iCs/>
                <w:kern w:val="0"/>
                <w:sz w:val="24"/>
                <w:szCs w:val="24"/>
                <w:lang w:val="ru-RU" w:eastAsia="ru-RU" w:bidi="ar-SA"/>
              </w:rPr>
              <w:t>Соблюдение при выполнении работ норм и правил нормативно-технических документов:</w:t>
            </w:r>
          </w:p>
          <w:p>
            <w:pPr>
              <w:pStyle w:val="Style27"/>
              <w:keepNext w:val="false"/>
              <w:widowControl w:val="false"/>
              <w:numPr>
                <w:ilvl w:val="0"/>
                <w:numId w:val="0"/>
              </w:numPr>
              <w:suppressAutoHyphens w:val="true"/>
              <w:spacing w:before="0" w:after="60"/>
              <w:jc w:val="left"/>
              <w:outlineLvl w:val="2"/>
              <w:rPr>
                <w:rFonts w:eastAsia="Times New Roman"/>
                <w:b w:val="false"/>
                <w:lang w:val="ru-RU" w:eastAsia="ru-RU"/>
              </w:rPr>
            </w:pPr>
            <w:r>
              <w:rPr>
                <w:rFonts w:eastAsia="Times New Roman" w:cs="Times New Roman"/>
                <w:b w:val="false"/>
                <w:kern w:val="0"/>
                <w:sz w:val="20"/>
                <w:szCs w:val="20"/>
                <w:lang w:val="ru-RU" w:eastAsia="ru-RU" w:bidi="ar-SA"/>
              </w:rPr>
            </w:r>
          </w:p>
        </w:tc>
        <w:tc>
          <w:tcPr>
            <w:tcW w:w="3549" w:type="dxa"/>
            <w:tcBorders/>
          </w:tcPr>
          <w:p>
            <w:pPr>
              <w:pStyle w:val="Normal"/>
              <w:widowControl w:val="false"/>
              <w:tabs>
                <w:tab w:val="clear" w:pos="708"/>
                <w:tab w:val="left" w:pos="426" w:leader="none"/>
              </w:tabs>
              <w:suppressAutoHyphens w:val="true"/>
              <w:spacing w:before="60" w:after="0"/>
              <w:jc w:val="left"/>
              <w:rPr>
                <w:bCs/>
                <w:sz w:val="24"/>
                <w:szCs w:val="24"/>
              </w:rPr>
            </w:pPr>
            <w:r>
              <w:rPr>
                <w:rFonts w:eastAsia="Times New Roman" w:cs="Times New Roman"/>
                <w:kern w:val="0"/>
                <w:sz w:val="24"/>
                <w:szCs w:val="24"/>
                <w:lang w:val="ru-RU" w:eastAsia="ru-RU" w:bidi="ar-SA"/>
              </w:rPr>
              <w:t>Оформление документов должно осуществляется в  соответствии с Приказом Минздрава России от 28.01.2021 N 29</w:t>
            </w:r>
          </w:p>
        </w:tc>
        <w:tc>
          <w:tcPr>
            <w:tcW w:w="2504" w:type="dxa"/>
            <w:vMerge w:val="continue"/>
            <w:tcBorders/>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r>
          </w:p>
        </w:tc>
        <w:tc>
          <w:tcPr>
            <w:tcW w:w="2762" w:type="dxa"/>
            <w:tcBorders/>
          </w:tcPr>
          <w:p>
            <w:pPr>
              <w:pStyle w:val="Style27"/>
              <w:keepNext w:val="false"/>
              <w:widowControl w:val="false"/>
              <w:numPr>
                <w:ilvl w:val="0"/>
                <w:numId w:val="0"/>
              </w:numPr>
              <w:suppressAutoHyphens w:val="true"/>
              <w:spacing w:before="0" w:after="60"/>
              <w:jc w:val="left"/>
              <w:outlineLvl w:val="2"/>
              <w:rPr>
                <w:lang w:val="ru-RU"/>
              </w:rPr>
            </w:pPr>
            <w:r>
              <w:rPr>
                <w:rFonts w:eastAsia="Times New Roman" w:cs="Times New Roman"/>
                <w:kern w:val="0"/>
                <w:sz w:val="20"/>
                <w:szCs w:val="20"/>
                <w:lang w:val="ru-RU" w:eastAsia="ru-RU" w:bidi="ar-SA"/>
              </w:rPr>
            </w:r>
          </w:p>
        </w:tc>
        <w:tc>
          <w:tcPr>
            <w:tcW w:w="2671" w:type="dxa"/>
            <w:tcBorders/>
          </w:tcPr>
          <w:p>
            <w:pPr>
              <w:pStyle w:val="Style27"/>
              <w:keepNext w:val="false"/>
              <w:widowControl w:val="false"/>
              <w:numPr>
                <w:ilvl w:val="0"/>
                <w:numId w:val="0"/>
              </w:numPr>
              <w:suppressAutoHyphens w:val="true"/>
              <w:spacing w:before="0" w:after="60"/>
              <w:jc w:val="left"/>
              <w:outlineLvl w:val="2"/>
              <w:rPr>
                <w:lang w:val="ru-RU"/>
              </w:rPr>
            </w:pPr>
            <w:r>
              <w:rPr>
                <w:rFonts w:eastAsia="Times New Roman" w:cs="Times New Roman"/>
                <w:kern w:val="0"/>
                <w:sz w:val="20"/>
                <w:szCs w:val="20"/>
                <w:lang w:val="ru-RU" w:eastAsia="ru-RU" w:bidi="ar-SA"/>
              </w:rPr>
            </w:r>
          </w:p>
        </w:tc>
      </w:tr>
      <w:tr>
        <w:trPr>
          <w:trHeight w:val="569" w:hRule="atLeast"/>
        </w:trPr>
        <w:tc>
          <w:tcPr>
            <w:tcW w:w="1042" w:type="dxa"/>
            <w:tcBorders/>
            <w:vAlign w:val="center"/>
          </w:tcPr>
          <w:p>
            <w:pPr>
              <w:pStyle w:val="ListParagraph"/>
              <w:widowControl w:val="false"/>
              <w:numPr>
                <w:ilvl w:val="0"/>
                <w:numId w:val="6"/>
              </w:numPr>
              <w:suppressAutoHyphens w:val="true"/>
              <w:spacing w:before="60" w:after="60"/>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6329" w:type="dxa"/>
            <w:gridSpan w:val="2"/>
            <w:tcBorders/>
            <w:vAlign w:val="center"/>
          </w:tcPr>
          <w:p>
            <w:pPr>
              <w:pStyle w:val="Normal"/>
              <w:widowControl w:val="false"/>
              <w:suppressAutoHyphens w:val="true"/>
              <w:spacing w:before="20" w:after="0"/>
              <w:jc w:val="both"/>
              <w:rPr>
                <w:b/>
                <w:sz w:val="24"/>
                <w:szCs w:val="24"/>
              </w:rPr>
            </w:pPr>
            <w:r>
              <w:rPr>
                <w:rFonts w:eastAsia="Times New Roman" w:cs="Times New Roman"/>
                <w:b/>
                <w:kern w:val="0"/>
                <w:sz w:val="24"/>
                <w:szCs w:val="24"/>
                <w:lang w:val="ru-RU" w:eastAsia="ru-RU" w:bidi="ar-SA"/>
              </w:rPr>
              <w:t>Требования к ответственности и гарантиям исполнителя</w:t>
            </w:r>
          </w:p>
        </w:tc>
        <w:tc>
          <w:tcPr>
            <w:tcW w:w="2504" w:type="dxa"/>
            <w:vMerge w:val="continue"/>
            <w:tcBorders/>
          </w:tcPr>
          <w:p>
            <w:pPr>
              <w:pStyle w:val="Normal"/>
              <w:widowControl w:val="false"/>
              <w:suppressAutoHyphens w:val="true"/>
              <w:spacing w:before="0" w:after="0"/>
              <w:jc w:val="left"/>
              <w:rPr>
                <w:b/>
                <w:sz w:val="24"/>
                <w:szCs w:val="24"/>
              </w:rPr>
            </w:pPr>
            <w:r>
              <w:rPr>
                <w:rFonts w:eastAsia="Times New Roman" w:cs="Times New Roman"/>
                <w:b/>
                <w:kern w:val="0"/>
                <w:sz w:val="24"/>
                <w:szCs w:val="24"/>
                <w:lang w:val="ru-RU" w:eastAsia="ru-RU" w:bidi="ar-SA"/>
              </w:rPr>
            </w:r>
          </w:p>
        </w:tc>
        <w:tc>
          <w:tcPr>
            <w:tcW w:w="2762"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c>
          <w:tcPr>
            <w:tcW w:w="2671"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r>
          </w:p>
        </w:tc>
      </w:tr>
      <w:tr>
        <w:trPr>
          <w:trHeight w:val="1377" w:hRule="atLeast"/>
        </w:trPr>
        <w:tc>
          <w:tcPr>
            <w:tcW w:w="1042"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780" w:type="dxa"/>
            <w:tcBorders/>
          </w:tcPr>
          <w:p>
            <w:pPr>
              <w:pStyle w:val="Normal"/>
              <w:widowControl w:val="false"/>
              <w:suppressAutoHyphens w:val="true"/>
              <w:spacing w:before="0" w:after="0"/>
              <w:jc w:val="left"/>
              <w:rPr>
                <w:sz w:val="24"/>
                <w:szCs w:val="24"/>
              </w:rPr>
            </w:pPr>
            <w:r>
              <w:rPr>
                <w:rFonts w:eastAsia="Times New Roman" w:cs="Times New Roman"/>
                <w:kern w:val="0"/>
                <w:sz w:val="24"/>
                <w:lang w:val="ru-RU" w:eastAsia="ru-RU" w:bidi="ar-SA"/>
              </w:rPr>
              <w:t>Требования к ответственности за выполнение услуг.</w:t>
            </w:r>
          </w:p>
        </w:tc>
        <w:tc>
          <w:tcPr>
            <w:tcW w:w="3549" w:type="dxa"/>
            <w:tcBorders/>
          </w:tcPr>
          <w:p>
            <w:pPr>
              <w:pStyle w:val="Normal"/>
              <w:widowControl w:val="false"/>
              <w:suppressAutoHyphens w:val="true"/>
              <w:spacing w:before="0" w:after="0"/>
              <w:jc w:val="left"/>
              <w:rPr>
                <w:sz w:val="24"/>
                <w:szCs w:val="24"/>
              </w:rPr>
            </w:pPr>
            <w:r>
              <w:rPr>
                <w:rFonts w:eastAsia="Times New Roman" w:cs="Times New Roman"/>
                <w:kern w:val="0"/>
                <w:sz w:val="24"/>
                <w:lang w:val="ru-RU" w:eastAsia="ru-RU" w:bidi="ar-SA"/>
              </w:rPr>
              <w:t>Исполнитель обязуется выполнять принятые на себя обязательства и нести ответственность за выполнение услуг</w:t>
            </w:r>
          </w:p>
        </w:tc>
        <w:tc>
          <w:tcPr>
            <w:tcW w:w="2504" w:type="dxa"/>
            <w:vMerge w:val="continue"/>
            <w:tcBorders/>
          </w:tcPr>
          <w:p>
            <w:pPr>
              <w:pStyle w:val="Normal"/>
              <w:widowControl w:val="false"/>
              <w:suppressAutoHyphens w:val="true"/>
              <w:spacing w:before="0" w:after="0"/>
              <w:jc w:val="left"/>
              <w:rPr>
                <w:b/>
                <w:bCs/>
                <w:sz w:val="24"/>
                <w:szCs w:val="24"/>
              </w:rPr>
            </w:pPr>
            <w:r>
              <w:rPr>
                <w:rFonts w:eastAsia="Times New Roman" w:cs="Times New Roman"/>
                <w:b/>
                <w:bCs/>
                <w:kern w:val="0"/>
                <w:sz w:val="24"/>
                <w:szCs w:val="24"/>
                <w:lang w:val="ru-RU" w:eastAsia="ru-RU" w:bidi="ar-SA"/>
              </w:rPr>
            </w:r>
          </w:p>
        </w:tc>
        <w:tc>
          <w:tcPr>
            <w:tcW w:w="2762" w:type="dxa"/>
            <w:tcBorders/>
          </w:tcPr>
          <w:p>
            <w:pPr>
              <w:pStyle w:val="Normal"/>
              <w:widowControl w:val="false"/>
              <w:tabs>
                <w:tab w:val="clear" w:pos="708"/>
                <w:tab w:val="left" w:pos="426" w:leader="none"/>
              </w:tabs>
              <w:suppressAutoHyphens w:val="true"/>
              <w:spacing w:before="40" w:after="0"/>
              <w:jc w:val="left"/>
              <w:rPr>
                <w:b/>
                <w:bCs/>
                <w:sz w:val="24"/>
                <w:szCs w:val="24"/>
              </w:rPr>
            </w:pPr>
            <w:r>
              <w:rPr>
                <w:rFonts w:eastAsia="Times New Roman" w:cs="Times New Roman"/>
                <w:kern w:val="0"/>
                <w:sz w:val="24"/>
                <w:lang w:val="ru-RU" w:eastAsia="ru-RU" w:bidi="ar-SA"/>
              </w:rPr>
              <w:t>---</w:t>
            </w:r>
          </w:p>
        </w:tc>
        <w:tc>
          <w:tcPr>
            <w:tcW w:w="2671" w:type="dxa"/>
            <w:tcBorders/>
          </w:tcPr>
          <w:p>
            <w:pPr>
              <w:pStyle w:val="Normal"/>
              <w:widowControl w:val="false"/>
              <w:tabs>
                <w:tab w:val="clear" w:pos="708"/>
                <w:tab w:val="left" w:pos="426" w:leader="none"/>
              </w:tabs>
              <w:suppressAutoHyphens w:val="true"/>
              <w:spacing w:before="40" w:after="0"/>
              <w:jc w:val="left"/>
              <w:rPr>
                <w:sz w:val="24"/>
              </w:rPr>
            </w:pPr>
            <w:r>
              <w:rPr>
                <w:rFonts w:eastAsia="Times New Roman" w:cs="Times New Roman"/>
                <w:kern w:val="0"/>
                <w:sz w:val="24"/>
                <w:lang w:val="ru-RU" w:eastAsia="ru-RU" w:bidi="ar-SA"/>
              </w:rPr>
            </w:r>
          </w:p>
        </w:tc>
      </w:tr>
      <w:tr>
        <w:trPr>
          <w:trHeight w:val="943" w:hRule="atLeast"/>
        </w:trPr>
        <w:tc>
          <w:tcPr>
            <w:tcW w:w="1042" w:type="dxa"/>
            <w:tcBorders/>
            <w:vAlign w:val="center"/>
          </w:tcPr>
          <w:p>
            <w:pPr>
              <w:pStyle w:val="ListParagraph"/>
              <w:widowControl w:val="false"/>
              <w:numPr>
                <w:ilvl w:val="0"/>
                <w:numId w:val="6"/>
              </w:numPr>
              <w:suppressAutoHyphens w:val="true"/>
              <w:spacing w:before="60" w:after="60"/>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6329" w:type="dxa"/>
            <w:gridSpan w:val="2"/>
            <w:tcBorders/>
            <w:vAlign w:val="center"/>
          </w:tcPr>
          <w:p>
            <w:pPr>
              <w:pStyle w:val="Normal"/>
              <w:keepNext w:val="true"/>
              <w:widowControl w:val="false"/>
              <w:suppressAutoHyphens w:val="true"/>
              <w:spacing w:before="60" w:after="60"/>
              <w:jc w:val="left"/>
              <w:rPr>
                <w:b/>
                <w:sz w:val="24"/>
                <w:szCs w:val="24"/>
              </w:rPr>
            </w:pPr>
            <w:r>
              <w:rPr>
                <w:rFonts w:eastAsia="Times New Roman" w:cs="Times New Roman"/>
                <w:b/>
                <w:kern w:val="0"/>
                <w:sz w:val="24"/>
                <w:szCs w:val="24"/>
                <w:lang w:val="ru-RU" w:eastAsia="ru-RU" w:bidi="ar-SA"/>
              </w:rPr>
              <w:t>Требования к исполнителю (и соисполнителям) и его обязательствам, влияющим на исполнение договора</w:t>
            </w:r>
          </w:p>
        </w:tc>
        <w:tc>
          <w:tcPr>
            <w:tcW w:w="2504" w:type="dxa"/>
            <w:vMerge w:val="continue"/>
            <w:tcBorders/>
          </w:tcPr>
          <w:p>
            <w:pPr>
              <w:pStyle w:val="Normal"/>
              <w:widowControl w:val="false"/>
              <w:suppressAutoHyphens w:val="true"/>
              <w:spacing w:before="0" w:after="0"/>
              <w:jc w:val="left"/>
              <w:rPr>
                <w:b/>
                <w:sz w:val="24"/>
                <w:szCs w:val="24"/>
              </w:rPr>
            </w:pPr>
            <w:r>
              <w:rPr>
                <w:rFonts w:eastAsia="Times New Roman" w:cs="Times New Roman"/>
                <w:b/>
                <w:kern w:val="0"/>
                <w:sz w:val="24"/>
                <w:szCs w:val="24"/>
                <w:lang w:val="ru-RU" w:eastAsia="ru-RU" w:bidi="ar-SA"/>
              </w:rPr>
            </w:r>
          </w:p>
        </w:tc>
        <w:tc>
          <w:tcPr>
            <w:tcW w:w="2762"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c>
          <w:tcPr>
            <w:tcW w:w="2671"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r>
          </w:p>
        </w:tc>
      </w:tr>
      <w:tr>
        <w:trPr>
          <w:trHeight w:val="2515" w:hRule="atLeast"/>
        </w:trPr>
        <w:tc>
          <w:tcPr>
            <w:tcW w:w="1042"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780" w:type="dxa"/>
            <w:tcBorders/>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Требования к соисполнителям, привлекаемым к оказанию услуг</w:t>
            </w:r>
          </w:p>
        </w:tc>
        <w:tc>
          <w:tcPr>
            <w:tcW w:w="3549" w:type="dxa"/>
            <w:tcBorders/>
          </w:tcPr>
          <w:p>
            <w:pPr>
              <w:pStyle w:val="Normal"/>
              <w:widowControl w:val="false"/>
              <w:suppressAutoHyphens w:val="true"/>
              <w:spacing w:before="0" w:after="0"/>
              <w:jc w:val="left"/>
              <w:rPr>
                <w:sz w:val="22"/>
                <w:szCs w:val="22"/>
              </w:rPr>
            </w:pPr>
            <w:r>
              <w:rPr>
                <w:rFonts w:eastAsia="Times New Roman" w:cs="Times New Roman"/>
                <w:kern w:val="0"/>
                <w:sz w:val="22"/>
                <w:szCs w:val="22"/>
                <w:lang w:val="ru-RU" w:eastAsia="ru-RU" w:bidi="ar-SA"/>
              </w:rPr>
              <w:t>В случае привлечения к оказанию услуг соисполнителей исполнитель обязан представить заказчику на момент согласования договора документы, подтверждающие соответствие их квалификационного уровня, а также готовность и возможность оказания ими услуг.</w:t>
            </w:r>
          </w:p>
        </w:tc>
        <w:tc>
          <w:tcPr>
            <w:tcW w:w="2504" w:type="dxa"/>
            <w:vMerge w:val="continue"/>
            <w:tcBorders/>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r>
          </w:p>
        </w:tc>
        <w:tc>
          <w:tcPr>
            <w:tcW w:w="2762" w:type="dxa"/>
            <w:tcBorders/>
          </w:tcPr>
          <w:p>
            <w:pPr>
              <w:pStyle w:val="Style27"/>
              <w:keepNext w:val="false"/>
              <w:widowControl w:val="false"/>
              <w:numPr>
                <w:ilvl w:val="0"/>
                <w:numId w:val="0"/>
              </w:numPr>
              <w:suppressAutoHyphens w:val="true"/>
              <w:spacing w:before="0" w:after="60"/>
              <w:jc w:val="left"/>
              <w:outlineLvl w:val="2"/>
              <w:rPr>
                <w:lang w:val="ru-RU"/>
              </w:rPr>
            </w:pPr>
            <w:r>
              <w:rPr>
                <w:rFonts w:eastAsia="Times New Roman" w:cs="Times New Roman"/>
                <w:kern w:val="0"/>
                <w:sz w:val="20"/>
                <w:szCs w:val="20"/>
                <w:lang w:val="ru-RU" w:eastAsia="ru-RU" w:bidi="ar-SA"/>
              </w:rPr>
            </w:r>
          </w:p>
        </w:tc>
        <w:tc>
          <w:tcPr>
            <w:tcW w:w="2671" w:type="dxa"/>
            <w:tcBorders/>
          </w:tcPr>
          <w:p>
            <w:pPr>
              <w:pStyle w:val="Style27"/>
              <w:keepNext w:val="false"/>
              <w:widowControl w:val="false"/>
              <w:numPr>
                <w:ilvl w:val="0"/>
                <w:numId w:val="0"/>
              </w:numPr>
              <w:suppressAutoHyphens w:val="true"/>
              <w:spacing w:before="0" w:after="60"/>
              <w:jc w:val="left"/>
              <w:outlineLvl w:val="2"/>
              <w:rPr>
                <w:lang w:val="ru-RU"/>
              </w:rPr>
            </w:pPr>
            <w:r>
              <w:rPr>
                <w:rFonts w:eastAsia="Times New Roman" w:cs="Times New Roman"/>
                <w:kern w:val="0"/>
                <w:sz w:val="20"/>
                <w:szCs w:val="20"/>
                <w:lang w:val="ru-RU" w:eastAsia="ru-RU" w:bidi="ar-SA"/>
              </w:rPr>
            </w:r>
          </w:p>
        </w:tc>
      </w:tr>
    </w:tbl>
    <w:p>
      <w:pPr>
        <w:sectPr>
          <w:headerReference w:type="default" r:id="rId5"/>
          <w:headerReference w:type="first" r:id="rId6"/>
          <w:type w:val="nextPage"/>
          <w:pgSz w:orient="landscape" w:w="16838" w:h="11906"/>
          <w:pgMar w:left="992" w:right="567" w:gutter="0" w:header="680" w:top="851" w:footer="0" w:bottom="851"/>
          <w:pgNumType w:fmt="decimal"/>
          <w:formProt w:val="false"/>
          <w:titlePg/>
          <w:textDirection w:val="lrTb"/>
          <w:docGrid w:type="default" w:linePitch="381" w:charSpace="0"/>
        </w:sectPr>
      </w:pPr>
    </w:p>
    <w:p>
      <w:pPr>
        <w:pStyle w:val="Heading1"/>
        <w:keepLines/>
        <w:numPr>
          <w:ilvl w:val="0"/>
          <w:numId w:val="3"/>
        </w:numPr>
        <w:ind w:left="340" w:firstLine="340"/>
        <w:jc w:val="both"/>
        <w:rPr/>
      </w:pPr>
      <w:bookmarkStart w:id="28" w:name="_Toc54643710"/>
      <w:bookmarkStart w:id="29" w:name="_Toc53393312"/>
      <w:bookmarkStart w:id="30" w:name="_Toc53395937"/>
      <w:bookmarkStart w:id="31" w:name="_Toc46743519"/>
      <w:bookmarkStart w:id="32" w:name="_Toc51339699"/>
      <w:bookmarkEnd w:id="31"/>
      <w:bookmarkEnd w:id="32"/>
      <w:r>
        <w:rPr>
          <w:sz w:val="24"/>
          <w:szCs w:val="24"/>
          <w:lang w:val="ru-RU"/>
        </w:rPr>
        <w:t>Требования к документации по ценообразованию</w:t>
      </w:r>
      <w:bookmarkEnd w:id="29"/>
      <w:bookmarkEnd w:id="30"/>
      <w:r>
        <w:rPr>
          <w:sz w:val="24"/>
          <w:szCs w:val="24"/>
          <w:lang w:val="ru-RU"/>
        </w:rPr>
        <w:t xml:space="preserve"> на этапе закупки</w:t>
      </w:r>
      <w:bookmarkEnd w:id="28"/>
    </w:p>
    <w:p>
      <w:pPr>
        <w:pStyle w:val="Normal"/>
        <w:numPr>
          <w:ilvl w:val="1"/>
          <w:numId w:val="11"/>
        </w:numPr>
        <w:suppressAutoHyphens w:val="false"/>
        <w:spacing w:before="60" w:after="0"/>
        <w:jc w:val="both"/>
        <w:rPr>
          <w:bCs/>
          <w:iCs/>
          <w:sz w:val="24"/>
          <w:szCs w:val="24"/>
          <w:lang w:eastAsia="x-none"/>
        </w:rPr>
      </w:pPr>
      <w:r>
        <w:rPr>
          <w:bCs/>
          <w:sz w:val="24"/>
          <w:szCs w:val="24"/>
        </w:rPr>
        <w:t xml:space="preserve"> </w:t>
      </w:r>
      <w:r>
        <w:rPr>
          <w:bCs/>
          <w:sz w:val="24"/>
          <w:szCs w:val="24"/>
        </w:rPr>
        <w:tab/>
      </w:r>
      <w:bookmarkStart w:id="33" w:name="_Toc54281228"/>
      <w:bookmarkStart w:id="34" w:name="_Toc54643711"/>
      <w:r>
        <w:rPr>
          <w:bCs/>
          <w:iCs/>
          <w:sz w:val="24"/>
          <w:szCs w:val="24"/>
          <w:lang w:eastAsia="x-none"/>
        </w:rPr>
        <w:t xml:space="preserve">В обоснование стоимости своей заявки Участник предоставляет Коммерческое предложение по форме </w:t>
      </w:r>
      <w:bookmarkStart w:id="35" w:name="_Hlk88325985"/>
      <w:r>
        <w:rPr>
          <w:bCs/>
          <w:iCs/>
          <w:sz w:val="24"/>
          <w:szCs w:val="24"/>
          <w:lang w:eastAsia="x-none"/>
        </w:rPr>
        <w:t>(с учетом прилагаемой к ней инструкции по заполнению)</w:t>
      </w:r>
      <w:bookmarkEnd w:id="35"/>
      <w:r>
        <w:rPr>
          <w:bCs/>
          <w:iCs/>
          <w:sz w:val="24"/>
          <w:szCs w:val="24"/>
          <w:lang w:eastAsia="x-none"/>
        </w:rPr>
        <w:t>, приведенной в Документации о закупке.</w:t>
      </w:r>
    </w:p>
    <w:p>
      <w:pPr>
        <w:pStyle w:val="Normal"/>
        <w:numPr>
          <w:ilvl w:val="1"/>
          <w:numId w:val="11"/>
        </w:numPr>
        <w:suppressAutoHyphens w:val="false"/>
        <w:spacing w:before="60" w:after="0"/>
        <w:jc w:val="both"/>
        <w:rPr>
          <w:iCs/>
          <w:sz w:val="24"/>
          <w:szCs w:val="24"/>
          <w:lang w:eastAsia="x-none"/>
        </w:rPr>
      </w:pPr>
      <w:r>
        <w:rPr>
          <w:bCs/>
          <w:iCs/>
          <w:sz w:val="24"/>
          <w:szCs w:val="24"/>
          <w:lang w:eastAsia="x-none"/>
        </w:rPr>
        <w:t>Дополнительные документы по ценообразованию в состав заявки Участника не включаются.</w:t>
      </w:r>
    </w:p>
    <w:p>
      <w:pPr>
        <w:pStyle w:val="ListParagraph"/>
        <w:numPr>
          <w:ilvl w:val="1"/>
          <w:numId w:val="11"/>
        </w:numPr>
        <w:jc w:val="both"/>
        <w:rPr>
          <w:rFonts w:eastAsia="Times New Roman"/>
          <w:iCs/>
          <w:lang w:eastAsia="x-none"/>
        </w:rPr>
      </w:pPr>
      <w:r>
        <w:rPr>
          <w:rFonts w:eastAsia="Times New Roman"/>
          <w:iCs/>
          <w:lang w:eastAsia="x-none"/>
        </w:rPr>
        <w:t>Стоимость за единицу продукции (услуги) должна включать в себя налоги, сборы, пошлины и другие обязательные платежи, стоимость расходных материалов, используемых при оказании услуг, расходы на содержание, эксплуатацию, перебазировку спецоборудования и инструментов и прочие расходы, связанные с оказанием услуг, предусмотренные Проектом договора (Приложение №2 к Документации о закупке).</w:t>
      </w:r>
    </w:p>
    <w:p>
      <w:pPr>
        <w:pStyle w:val="Normal"/>
        <w:suppressAutoHyphens w:val="false"/>
        <w:spacing w:before="60" w:after="0"/>
        <w:ind w:left="720" w:hanging="0"/>
        <w:jc w:val="both"/>
        <w:rPr>
          <w:iCs/>
          <w:sz w:val="24"/>
          <w:szCs w:val="24"/>
          <w:lang w:eastAsia="x-none"/>
        </w:rPr>
      </w:pPr>
      <w:r>
        <w:rPr>
          <w:iCs/>
          <w:sz w:val="24"/>
          <w:szCs w:val="24"/>
          <w:lang w:eastAsia="x-none"/>
        </w:rPr>
      </w:r>
      <w:bookmarkEnd w:id="33"/>
      <w:bookmarkEnd w:id="34"/>
    </w:p>
    <w:p>
      <w:pPr>
        <w:pStyle w:val="Normal"/>
        <w:numPr>
          <w:ilvl w:val="0"/>
          <w:numId w:val="12"/>
        </w:numPr>
        <w:suppressAutoHyphens w:val="false"/>
        <w:spacing w:before="0" w:after="120"/>
        <w:ind w:left="1077" w:hanging="357"/>
        <w:jc w:val="both"/>
        <w:rPr>
          <w:b/>
          <w:bCs/>
          <w:iCs/>
          <w:sz w:val="24"/>
          <w:szCs w:val="24"/>
          <w:lang w:val="x-none" w:eastAsia="x-none"/>
        </w:rPr>
      </w:pPr>
      <w:r>
        <w:rPr>
          <w:b/>
          <w:bCs/>
          <w:iCs/>
          <w:sz w:val="24"/>
          <w:szCs w:val="24"/>
          <w:lang w:eastAsia="x-none"/>
        </w:rPr>
        <w:t xml:space="preserve">Требования к документации по ценообразованию на этапе заключения (исполнения) договора. </w:t>
      </w:r>
    </w:p>
    <w:p>
      <w:pPr>
        <w:pStyle w:val="Normal"/>
        <w:suppressAutoHyphens w:val="false"/>
        <w:spacing w:before="0" w:after="120"/>
        <w:ind w:left="1077" w:hanging="0"/>
        <w:jc w:val="both"/>
        <w:rPr>
          <w:bCs/>
          <w:iCs/>
          <w:sz w:val="24"/>
          <w:szCs w:val="24"/>
          <w:lang w:val="x-none" w:eastAsia="x-none"/>
        </w:rPr>
      </w:pPr>
      <w:r>
        <w:rPr>
          <w:bCs/>
          <w:iCs/>
          <w:sz w:val="24"/>
          <w:szCs w:val="24"/>
          <w:lang w:val="x-none" w:eastAsia="x-none"/>
        </w:rPr>
        <w:t>4.1.</w:t>
        <w:tab/>
        <w:t>Порядок формирования на этапе исполнения договора стоимости выполняемых услуг установлен в Проекте договора (Приложение № 2 к Документации о закупке)».</w:t>
      </w:r>
    </w:p>
    <w:p>
      <w:pPr>
        <w:pStyle w:val="Normal"/>
        <w:rPr>
          <w:sz w:val="26"/>
          <w:szCs w:val="26"/>
          <w:lang w:val="x-none"/>
        </w:rPr>
      </w:pPr>
      <w:r>
        <w:rPr>
          <w:sz w:val="26"/>
          <w:szCs w:val="26"/>
          <w:lang w:val="x-none"/>
        </w:rPr>
      </w:r>
    </w:p>
    <w:p>
      <w:pPr>
        <w:pStyle w:val="ListParagraph"/>
        <w:ind w:left="5038" w:hanging="5038"/>
        <w:rPr>
          <w:sz w:val="26"/>
          <w:szCs w:val="26"/>
        </w:rPr>
      </w:pPr>
      <w:r>
        <w:rPr>
          <w:sz w:val="26"/>
          <w:szCs w:val="26"/>
        </w:rPr>
      </w:r>
    </w:p>
    <w:p>
      <w:pPr>
        <w:pStyle w:val="ListParagraph"/>
        <w:ind w:left="5038" w:hanging="0"/>
        <w:rPr>
          <w:rStyle w:val="Style8"/>
          <w:b w:val="false"/>
          <w:i w:val="false"/>
          <w:i w:val="false"/>
          <w:sz w:val="26"/>
          <w:szCs w:val="26"/>
          <w:shd w:fill="auto" w:val="clear"/>
        </w:rPr>
      </w:pPr>
      <w:r>
        <w:rPr>
          <w:b w:val="false"/>
          <w:i w:val="false"/>
          <w:sz w:val="26"/>
          <w:szCs w:val="26"/>
          <w:shd w:fill="auto" w:val="clear"/>
        </w:rPr>
      </w:r>
    </w:p>
    <w:p>
      <w:pPr>
        <w:pStyle w:val="Normal"/>
        <w:widowControl w:val="false"/>
        <w:tabs>
          <w:tab w:val="clear" w:pos="708"/>
          <w:tab w:val="left" w:pos="426" w:leader="none"/>
        </w:tabs>
        <w:spacing w:before="120" w:after="120"/>
        <w:jc w:val="both"/>
        <w:rPr>
          <w:rStyle w:val="Style8"/>
          <w:b w:val="false"/>
          <w:bCs/>
          <w:iCs/>
          <w:sz w:val="24"/>
          <w:szCs w:val="24"/>
        </w:rPr>
      </w:pPr>
      <w:r>
        <w:rPr>
          <w:b w:val="false"/>
          <w:bCs/>
          <w:iCs/>
          <w:sz w:val="24"/>
          <w:szCs w:val="24"/>
        </w:rPr>
      </w:r>
    </w:p>
    <w:p>
      <w:pPr>
        <w:pStyle w:val="Normal"/>
        <w:spacing w:before="0" w:after="120"/>
        <w:rPr>
          <w:i/>
          <w:i/>
          <w:iCs/>
          <w:sz w:val="24"/>
          <w:szCs w:val="24"/>
          <w:shd w:fill="FFFF99" w:val="clear"/>
        </w:rPr>
      </w:pPr>
      <w:r>
        <w:rPr/>
      </w:r>
      <w:bookmarkStart w:id="36" w:name="_GoBack"/>
      <w:bookmarkStart w:id="37" w:name="_GoBack"/>
      <w:bookmarkEnd w:id="37"/>
    </w:p>
    <w:sectPr>
      <w:headerReference w:type="default" r:id="rId7"/>
      <w:headerReference w:type="first" r:id="rId8"/>
      <w:type w:val="nextPage"/>
      <w:pgSz w:w="11906" w:h="16838"/>
      <w:pgMar w:left="1134" w:right="851" w:gutter="0" w:header="680" w:top="1134" w:footer="0" w:bottom="992"/>
      <w:pgNumType w:fmt="decimal"/>
      <w:formProt w:val="false"/>
      <w:titlePg/>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mbria">
    <w:charset w:val="01"/>
    <w:family w:val="roman"/>
    <w:pitch w:val="variable"/>
  </w:font>
  <w:font w:name="Arial">
    <w:charset w:val="01"/>
    <w:family w:val="roman"/>
    <w:pitch w:val="variable"/>
  </w:font>
  <w:font w:name="Calibri">
    <w:charset w:val="01"/>
    <w:family w:val="roman"/>
    <w:pitch w:val="variable"/>
  </w:font>
  <w:font w:name="Liberation Sans">
    <w:altName w:val="Arial"/>
    <w:charset w:val="01"/>
    <w:family w:val="swiss"/>
    <w:pitch w:val="variable"/>
  </w:font>
  <w:font w:name="Liberation Sans">
    <w:altName w:val="Arial"/>
    <w:charset w:val="01"/>
    <w:family w:val="roman"/>
    <w:pitch w:val="variable"/>
  </w:font>
  <w:font w:name="Tahoma">
    <w:charset w:val="01"/>
    <w:family w:val="roman"/>
    <w:pitch w:val="variable"/>
  </w:font>
  <w:font w:name="Arial Unicode MS">
    <w:charset w:val="01"/>
    <w:family w:val="roman"/>
    <w:pitch w:val="variable"/>
  </w:font>
  <w:font w:name="Verdana">
    <w:charset w:val="01"/>
    <w:family w:val="roman"/>
    <w:pitch w:val="variable"/>
  </w:font>
  <w:font w:name="Garamond">
    <w:charset w:val="01"/>
    <w:family w:val="roman"/>
    <w:pitch w:val="variable"/>
  </w:font>
  <w:font w:name="Courier New">
    <w:charset w:val="01"/>
    <w:family w:val="modern"/>
    <w:pitch w:val="fixed"/>
  </w:font>
  <w:font w:name="Wingdings">
    <w:charset w:val="02"/>
    <w:family w:val="auto"/>
    <w:pitch w:val="default"/>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behindDoc="0" distT="0" distB="0" distL="0" distR="0" simplePos="0" locked="0" layoutInCell="0" allowOverlap="1" relativeHeight="2" wp14:anchorId="54571B49">
              <wp:simplePos x="0" y="0"/>
              <wp:positionH relativeFrom="margin">
                <wp:align>center</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center;mso-position-horizontal-relative:margin" wp14:anchorId="54571B49">
              <v:fill o:detectmouseclick="t" on="false"/>
              <v:stroke color="#3465a4" joinstyle="round" endcap="flat"/>
              <v:textbo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2</w:t>
    </w:r>
    <w:r>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6</w:t>
    </w:r>
    <w:r>
      <w:rPr/>
      <w:fldChar w:fldCharType="end"/>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12</w:t>
    </w:r>
    <w:r>
      <w:rPr/>
      <w:fldChar w:fldCharType="end"/>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360"/>
        </w:tabs>
        <w:ind w:left="360" w:hanging="360"/>
      </w:pPr>
      <w:rPr/>
    </w:lvl>
    <w:lvl w:ilvl="1">
      <w:start w:val="1"/>
      <w:numFmt w:val="decimal"/>
      <w:lvlText w:val="%1.%2."/>
      <w:lvlJc w:val="left"/>
      <w:pPr>
        <w:tabs>
          <w:tab w:val="num" w:pos="357"/>
        </w:tabs>
        <w:ind w:left="0" w:hanging="0"/>
      </w:pPr>
      <w:rPr/>
    </w:lvl>
    <w:lvl w:ilvl="2">
      <w:start w:val="1"/>
      <w:numFmt w:val="decimal"/>
      <w:lvlText w:val="%1.%2.%3."/>
      <w:lvlJc w:val="left"/>
      <w:pPr>
        <w:tabs>
          <w:tab w:val="num" w:pos="357"/>
        </w:tabs>
        <w:ind w:left="0" w:hanging="0"/>
      </w:pPr>
      <w:rPr/>
    </w:lvl>
    <w:lvl w:ilvl="3">
      <w:start w:val="1"/>
      <w:numFmt w:val="decimal"/>
      <w:lvlText w:val="%1.%2.%3.%4."/>
      <w:lvlJc w:val="left"/>
      <w:pPr>
        <w:tabs>
          <w:tab w:val="num" w:pos="357"/>
        </w:tabs>
        <w:ind w:left="0" w:hanging="0"/>
      </w:pPr>
      <w:rPr/>
    </w:lvl>
    <w:lvl w:ilvl="4">
      <w:start w:val="1"/>
      <w:numFmt w:val="decimal"/>
      <w:lvlText w:val="%1.%2.%3.%4.%5."/>
      <w:lvlJc w:val="left"/>
      <w:pPr>
        <w:tabs>
          <w:tab w:val="num" w:pos="2520"/>
        </w:tabs>
        <w:ind w:left="0" w:hanging="0"/>
      </w:pPr>
      <w:rPr/>
    </w:lvl>
    <w:lvl w:ilvl="5">
      <w:start w:val="1"/>
      <w:numFmt w:val="decimal"/>
      <w:lvlText w:val="%1.%2.%3.%4.%5.%6."/>
      <w:lvlJc w:val="left"/>
      <w:pPr>
        <w:tabs>
          <w:tab w:val="num" w:pos="357"/>
        </w:tabs>
        <w:ind w:left="0" w:hanging="0"/>
      </w:pPr>
      <w:rPr/>
    </w:lvl>
    <w:lvl w:ilvl="6">
      <w:start w:val="1"/>
      <w:numFmt w:val="decimal"/>
      <w:lvlText w:val="%1.%2.%3.%4.%5.%6.%7."/>
      <w:lvlJc w:val="left"/>
      <w:pPr>
        <w:tabs>
          <w:tab w:val="num" w:pos="357"/>
        </w:tabs>
        <w:ind w:left="0" w:hanging="0"/>
      </w:pPr>
      <w:rPr/>
    </w:lvl>
    <w:lvl w:ilvl="7">
      <w:start w:val="1"/>
      <w:numFmt w:val="decimal"/>
      <w:lvlText w:val="%1.%2.%3.%4.%5.%6.%7.%8."/>
      <w:lvlJc w:val="left"/>
      <w:pPr>
        <w:tabs>
          <w:tab w:val="num" w:pos="357"/>
        </w:tabs>
        <w:ind w:left="0" w:hanging="0"/>
      </w:pPr>
      <w:rPr/>
    </w:lvl>
    <w:lvl w:ilvl="8">
      <w:start w:val="1"/>
      <w:numFmt w:val="decimal"/>
      <w:lvlText w:val="%1.%2.%3.%4.%5.%6.%7.%8.%9."/>
      <w:lvlJc w:val="left"/>
      <w:pPr>
        <w:tabs>
          <w:tab w:val="num" w:pos="357"/>
        </w:tabs>
        <w:ind w:left="0" w:hanging="0"/>
      </w:pPr>
      <w:rPr/>
    </w:lvl>
  </w:abstractNum>
  <w:abstractNum w:abstractNumId="2">
    <w:lvl w:ilvl="0">
      <w:start w:val="4"/>
      <w:numFmt w:val="bullet"/>
      <w:lvlText w:val="-"/>
      <w:lvlJc w:val="left"/>
      <w:pPr>
        <w:tabs>
          <w:tab w:val="num" w:pos="0"/>
        </w:tabs>
        <w:ind w:left="-207" w:hanging="360"/>
      </w:pPr>
      <w:rPr>
        <w:rFonts w:ascii="Times New Roman" w:hAnsi="Times New Roman" w:cs="Times New Roman" w:hint="default"/>
      </w:rPr>
    </w:lvl>
    <w:lvl w:ilvl="1">
      <w:start w:val="1"/>
      <w:numFmt w:val="bullet"/>
      <w:lvlText w:val="o"/>
      <w:lvlJc w:val="left"/>
      <w:pPr>
        <w:tabs>
          <w:tab w:val="num" w:pos="513"/>
        </w:tabs>
        <w:ind w:left="513" w:hanging="360"/>
      </w:pPr>
      <w:rPr>
        <w:rFonts w:ascii="Courier New" w:hAnsi="Courier New" w:cs="Courier New" w:hint="default"/>
      </w:rPr>
    </w:lvl>
    <w:lvl w:ilvl="2">
      <w:start w:val="1"/>
      <w:numFmt w:val="bullet"/>
      <w:lvlText w:val=""/>
      <w:lvlJc w:val="left"/>
      <w:pPr>
        <w:tabs>
          <w:tab w:val="num" w:pos="1233"/>
        </w:tabs>
        <w:ind w:left="1233" w:hanging="360"/>
      </w:pPr>
      <w:rPr>
        <w:rFonts w:ascii="Wingdings" w:hAnsi="Wingdings" w:cs="Wingdings" w:hint="default"/>
      </w:rPr>
    </w:lvl>
    <w:lvl w:ilvl="3">
      <w:start w:val="1"/>
      <w:numFmt w:val="bullet"/>
      <w:lvlText w:val=""/>
      <w:lvlJc w:val="left"/>
      <w:pPr>
        <w:tabs>
          <w:tab w:val="num" w:pos="1953"/>
        </w:tabs>
        <w:ind w:left="1953" w:hanging="360"/>
      </w:pPr>
      <w:rPr>
        <w:rFonts w:ascii="Symbol" w:hAnsi="Symbol" w:cs="Symbol" w:hint="default"/>
      </w:rPr>
    </w:lvl>
    <w:lvl w:ilvl="4">
      <w:start w:val="1"/>
      <w:numFmt w:val="bullet"/>
      <w:lvlText w:val="o"/>
      <w:lvlJc w:val="left"/>
      <w:pPr>
        <w:tabs>
          <w:tab w:val="num" w:pos="2673"/>
        </w:tabs>
        <w:ind w:left="2673" w:hanging="360"/>
      </w:pPr>
      <w:rPr>
        <w:rFonts w:ascii="Courier New" w:hAnsi="Courier New" w:cs="Courier New" w:hint="default"/>
      </w:rPr>
    </w:lvl>
    <w:lvl w:ilvl="5">
      <w:start w:val="1"/>
      <w:numFmt w:val="bullet"/>
      <w:lvlText w:val=""/>
      <w:lvlJc w:val="left"/>
      <w:pPr>
        <w:tabs>
          <w:tab w:val="num" w:pos="3393"/>
        </w:tabs>
        <w:ind w:left="3393" w:hanging="360"/>
      </w:pPr>
      <w:rPr>
        <w:rFonts w:ascii="Wingdings" w:hAnsi="Wingdings" w:cs="Wingdings" w:hint="default"/>
      </w:rPr>
    </w:lvl>
    <w:lvl w:ilvl="6">
      <w:start w:val="1"/>
      <w:numFmt w:val="bullet"/>
      <w:lvlText w:val=""/>
      <w:lvlJc w:val="left"/>
      <w:pPr>
        <w:tabs>
          <w:tab w:val="num" w:pos="4113"/>
        </w:tabs>
        <w:ind w:left="4113" w:hanging="360"/>
      </w:pPr>
      <w:rPr>
        <w:rFonts w:ascii="Symbol" w:hAnsi="Symbol" w:cs="Symbol" w:hint="default"/>
      </w:rPr>
    </w:lvl>
    <w:lvl w:ilvl="7">
      <w:start w:val="1"/>
      <w:numFmt w:val="bullet"/>
      <w:lvlText w:val="o"/>
      <w:lvlJc w:val="left"/>
      <w:pPr>
        <w:tabs>
          <w:tab w:val="num" w:pos="4833"/>
        </w:tabs>
        <w:ind w:left="4833" w:hanging="360"/>
      </w:pPr>
      <w:rPr>
        <w:rFonts w:ascii="Courier New" w:hAnsi="Courier New" w:cs="Courier New" w:hint="default"/>
      </w:rPr>
    </w:lvl>
    <w:lvl w:ilvl="8">
      <w:start w:val="1"/>
      <w:numFmt w:val="bullet"/>
      <w:lvlText w:val=""/>
      <w:lvlJc w:val="left"/>
      <w:pPr>
        <w:tabs>
          <w:tab w:val="num" w:pos="5553"/>
        </w:tabs>
        <w:ind w:left="5553" w:hanging="360"/>
      </w:pPr>
      <w:rPr>
        <w:rFonts w:ascii="Wingdings" w:hAnsi="Wingdings" w:cs="Wingdings" w:hint="default"/>
      </w:rPr>
    </w:lvl>
  </w:abstractNum>
  <w:abstractNum w:abstractNumId="3">
    <w:lvl w:ilvl="0">
      <w:start w:val="1"/>
      <w:numFmt w:val="decimal"/>
      <w:lvlText w:val="%1."/>
      <w:lvlJc w:val="left"/>
      <w:pPr>
        <w:tabs>
          <w:tab w:val="num" w:pos="0"/>
        </w:tabs>
        <w:ind w:left="360" w:hanging="360"/>
      </w:pPr>
      <w:rPr>
        <w:smallCaps w:val="false"/>
        <w:caps w:val="false"/>
        <w:dstrike w:val="false"/>
        <w:strike w:val="false"/>
        <w:vertAlign w:val="baseline"/>
        <w:position w:val="0"/>
        <w:sz w:val="28"/>
        <w:sz w:val="28"/>
        <w:spacing w:val="0"/>
        <w:i w:val="false"/>
        <w:u w:val="none"/>
        <w:b/>
        <w:kern w:val="0"/>
        <w:effect w:val="none"/>
        <w:szCs w:val="28"/>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432" w:hanging="432"/>
      </w:pPr>
      <w:rPr>
        <w:sz w:val="24"/>
        <w:i w:val="false"/>
        <w:b/>
        <w:szCs w:val="24"/>
        <w:iCs/>
        <w:bCs/>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decimal"/>
      <w:lvlText w:val="%1."/>
      <w:lvlJc w:val="left"/>
      <w:pPr>
        <w:tabs>
          <w:tab w:val="num" w:pos="0"/>
        </w:tabs>
        <w:ind w:left="1134" w:hanging="1134"/>
      </w:pPr>
      <w:rPr/>
    </w:lvl>
    <w:lvl w:ilvl="1">
      <w:start w:val="1"/>
      <w:numFmt w:val="decimal"/>
      <w:lvlText w:val="%1.%2."/>
      <w:lvlJc w:val="left"/>
      <w:pPr>
        <w:tabs>
          <w:tab w:val="num" w:pos="0"/>
        </w:tabs>
        <w:ind w:left="1134" w:hanging="1134"/>
      </w:pPr>
      <w:rPr/>
    </w:lvl>
    <w:lvl w:ilvl="2">
      <w:start w:val="1"/>
      <w:numFmt w:val="decimal"/>
      <w:lvlText w:val="%1.%2.%3."/>
      <w:lvlJc w:val="left"/>
      <w:pPr>
        <w:tabs>
          <w:tab w:val="num" w:pos="0"/>
        </w:tabs>
        <w:ind w:left="1134" w:hanging="1134"/>
      </w:pPr>
      <w:rPr/>
    </w:lvl>
    <w:lvl w:ilvl="3">
      <w:start w:val="1"/>
      <w:numFmt w:val="russianLower"/>
      <w:lvlText w:val="(%4)"/>
      <w:lvlJc w:val="left"/>
      <w:pPr>
        <w:tabs>
          <w:tab w:val="num" w:pos="0"/>
        </w:tabs>
        <w:ind w:left="1985" w:hanging="567"/>
      </w:pPr>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hanging="0"/>
      </w:pPr>
      <w:rPr/>
    </w:lvl>
    <w:lvl w:ilvl="6">
      <w:start w:val="1"/>
      <w:numFmt w:val="none"/>
      <w:suff w:val="nothing"/>
      <w:lvlText w:val=""/>
      <w:lvlJc w:val="left"/>
      <w:pPr>
        <w:tabs>
          <w:tab w:val="num" w:pos="0"/>
        </w:tabs>
        <w:ind w:left="1701"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1134" w:hanging="0"/>
      </w:pPr>
      <w:rPr/>
    </w:lvl>
  </w:abstractNum>
  <w:abstractNum w:abstractNumId="5">
    <w:lvl w:ilvl="0">
      <w:start w:val="1"/>
      <w:numFmt w:val="decimal"/>
      <w:lvlText w:val="1.%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6">
    <w:lvl w:ilvl="0">
      <w:start w:val="1"/>
      <w:numFmt w:val="decimal"/>
      <w:lvlText w:val="%1."/>
      <w:lvlJc w:val="left"/>
      <w:pPr>
        <w:tabs>
          <w:tab w:val="num" w:pos="0"/>
        </w:tabs>
        <w:ind w:left="360" w:hanging="360"/>
      </w:pPr>
      <w:rPr>
        <w:sz w:val="24"/>
        <w:b/>
        <w:szCs w:val="24"/>
        <w:bCs w:val="false"/>
      </w:rPr>
    </w:lvl>
    <w:lvl w:ilvl="1">
      <w:start w:val="1"/>
      <w:numFmt w:val="decimal"/>
      <w:lvlText w:val="%1.%2."/>
      <w:lvlJc w:val="left"/>
      <w:pPr>
        <w:tabs>
          <w:tab w:val="num" w:pos="0"/>
        </w:tabs>
        <w:ind w:left="792" w:hanging="432"/>
      </w:pPr>
      <w:rPr>
        <w:sz w:val="24"/>
        <w:b w:val="false"/>
        <w:szCs w:val="24"/>
        <w:bCs/>
      </w:rPr>
    </w:lvl>
    <w:lvl w:ilvl="2">
      <w:start w:val="1"/>
      <w:numFmt w:val="decimal"/>
      <w:lvlText w:val="%1.%2.%3."/>
      <w:lvlJc w:val="left"/>
      <w:pPr>
        <w:tabs>
          <w:tab w:val="num" w:pos="0"/>
        </w:tabs>
        <w:ind w:left="1224" w:hanging="504"/>
      </w:pPr>
      <w:rPr>
        <w:sz w:val="24"/>
        <w:szCs w:val="24"/>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7">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8">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9">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0">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1">
    <w:lvl w:ilvl="0">
      <w:start w:val="3"/>
      <w:numFmt w:val="decimal"/>
      <w:lvlText w:val="%1."/>
      <w:lvlJc w:val="left"/>
      <w:pPr>
        <w:tabs>
          <w:tab w:val="num" w:pos="0"/>
        </w:tabs>
        <w:ind w:left="108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440" w:hanging="720"/>
      </w:pPr>
      <w:rPr/>
    </w:lvl>
    <w:lvl w:ilvl="3">
      <w:start w:val="1"/>
      <w:numFmt w:val="decimal"/>
      <w:lvlText w:val="%1.%2.%3.%4."/>
      <w:lvlJc w:val="left"/>
      <w:pPr>
        <w:tabs>
          <w:tab w:val="num" w:pos="0"/>
        </w:tabs>
        <w:ind w:left="1440" w:hanging="720"/>
      </w:pPr>
      <w:rPr/>
    </w:lvl>
    <w:lvl w:ilvl="4">
      <w:start w:val="1"/>
      <w:numFmt w:val="decimal"/>
      <w:lvlText w:val="%1.%2.%3.%4.%5."/>
      <w:lvlJc w:val="left"/>
      <w:pPr>
        <w:tabs>
          <w:tab w:val="num" w:pos="0"/>
        </w:tabs>
        <w:ind w:left="1800" w:hanging="1080"/>
      </w:pPr>
      <w:rPr/>
    </w:lvl>
    <w:lvl w:ilvl="5">
      <w:start w:val="1"/>
      <w:numFmt w:val="decimal"/>
      <w:lvlText w:val="%1.%2.%3.%4.%5.%6."/>
      <w:lvlJc w:val="left"/>
      <w:pPr>
        <w:tabs>
          <w:tab w:val="num" w:pos="0"/>
        </w:tabs>
        <w:ind w:left="1800" w:hanging="1080"/>
      </w:pPr>
      <w:rPr/>
    </w:lvl>
    <w:lvl w:ilvl="6">
      <w:start w:val="1"/>
      <w:numFmt w:val="decimal"/>
      <w:lvlText w:val="%1.%2.%3.%4.%5.%6.%7."/>
      <w:lvlJc w:val="left"/>
      <w:pPr>
        <w:tabs>
          <w:tab w:val="num" w:pos="0"/>
        </w:tabs>
        <w:ind w:left="2160" w:hanging="1440"/>
      </w:pPr>
      <w:rPr/>
    </w:lvl>
    <w:lvl w:ilvl="7">
      <w:start w:val="1"/>
      <w:numFmt w:val="decimal"/>
      <w:lvlText w:val="%1.%2.%3.%4.%5.%6.%7.%8."/>
      <w:lvlJc w:val="left"/>
      <w:pPr>
        <w:tabs>
          <w:tab w:val="num" w:pos="0"/>
        </w:tabs>
        <w:ind w:left="2160" w:hanging="1440"/>
      </w:pPr>
      <w:rPr/>
    </w:lvl>
    <w:lvl w:ilvl="8">
      <w:start w:val="1"/>
      <w:numFmt w:val="decimal"/>
      <w:lvlText w:val="%1.%2.%3.%4.%5.%6.%7.%8.%9."/>
      <w:lvlJc w:val="left"/>
      <w:pPr>
        <w:tabs>
          <w:tab w:val="num" w:pos="0"/>
        </w:tabs>
        <w:ind w:left="2520" w:hanging="1800"/>
      </w:pPr>
      <w:rPr/>
    </w:lvl>
  </w:abstractNum>
  <w:abstractNum w:abstractNumId="12">
    <w:lvl w:ilvl="0">
      <w:start w:val="4"/>
      <w:numFmt w:val="decimal"/>
      <w:lvlText w:val="%1."/>
      <w:lvlJc w:val="left"/>
      <w:pPr>
        <w:tabs>
          <w:tab w:val="num" w:pos="0"/>
        </w:tabs>
        <w:ind w:left="108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440" w:hanging="720"/>
      </w:pPr>
      <w:rPr/>
    </w:lvl>
    <w:lvl w:ilvl="3">
      <w:start w:val="1"/>
      <w:numFmt w:val="decimal"/>
      <w:lvlText w:val="%1.%2.%3.%4."/>
      <w:lvlJc w:val="left"/>
      <w:pPr>
        <w:tabs>
          <w:tab w:val="num" w:pos="0"/>
        </w:tabs>
        <w:ind w:left="1440" w:hanging="720"/>
      </w:pPr>
      <w:rPr/>
    </w:lvl>
    <w:lvl w:ilvl="4">
      <w:start w:val="1"/>
      <w:numFmt w:val="decimal"/>
      <w:lvlText w:val="%1.%2.%3.%4.%5."/>
      <w:lvlJc w:val="left"/>
      <w:pPr>
        <w:tabs>
          <w:tab w:val="num" w:pos="0"/>
        </w:tabs>
        <w:ind w:left="1800" w:hanging="1080"/>
      </w:pPr>
      <w:rPr/>
    </w:lvl>
    <w:lvl w:ilvl="5">
      <w:start w:val="1"/>
      <w:numFmt w:val="decimal"/>
      <w:lvlText w:val="%1.%2.%3.%4.%5.%6."/>
      <w:lvlJc w:val="left"/>
      <w:pPr>
        <w:tabs>
          <w:tab w:val="num" w:pos="0"/>
        </w:tabs>
        <w:ind w:left="1800" w:hanging="1080"/>
      </w:pPr>
      <w:rPr/>
    </w:lvl>
    <w:lvl w:ilvl="6">
      <w:start w:val="1"/>
      <w:numFmt w:val="decimal"/>
      <w:lvlText w:val="%1.%2.%3.%4.%5.%6.%7."/>
      <w:lvlJc w:val="left"/>
      <w:pPr>
        <w:tabs>
          <w:tab w:val="num" w:pos="0"/>
        </w:tabs>
        <w:ind w:left="2160" w:hanging="1440"/>
      </w:pPr>
      <w:rPr/>
    </w:lvl>
    <w:lvl w:ilvl="7">
      <w:start w:val="1"/>
      <w:numFmt w:val="decimal"/>
      <w:lvlText w:val="%1.%2.%3.%4.%5.%6.%7.%8."/>
      <w:lvlJc w:val="left"/>
      <w:pPr>
        <w:tabs>
          <w:tab w:val="num" w:pos="0"/>
        </w:tabs>
        <w:ind w:left="2160" w:hanging="1440"/>
      </w:pPr>
      <w:rPr/>
    </w:lvl>
    <w:lvl w:ilvl="8">
      <w:start w:val="1"/>
      <w:numFmt w:val="decimal"/>
      <w:lvlText w:val="%1.%2.%3.%4.%5.%6.%7.%8.%9."/>
      <w:lvlJc w:val="left"/>
      <w:pPr>
        <w:tabs>
          <w:tab w:val="num" w:pos="0"/>
        </w:tabs>
        <w:ind w:left="2520" w:hanging="1800"/>
      </w:pPr>
      <w:rPr/>
    </w:lvl>
  </w:abstractNum>
  <w:abstractNum w:abstractNumId="1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zh-TW"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uiPriority="99"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uiPriority="99"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uiPriority="99" w:semiHidden="1" w:unhideWhenUsed="1" w:qFormat="1"/>
    <w:lsdException w:name="HTML Top of Form" w:semiHidden="1" w:unhideWhenUsed="1"/>
    <w:lsdException w:name="HTML Bottom of Form" w:semiHidden="1" w:unhideWhenUsed="1"/>
    <w:lsdException w:name="Normal (Web)" w:uiPriority="99"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qFormat="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f211d"/>
    <w:pPr>
      <w:widowControl/>
      <w:suppressAutoHyphens w:val="true"/>
      <w:bidi w:val="0"/>
      <w:spacing w:before="0" w:after="0"/>
      <w:jc w:val="left"/>
    </w:pPr>
    <w:rPr>
      <w:rFonts w:ascii="Times New Roman" w:hAnsi="Times New Roman" w:eastAsia="Times New Roman" w:cs="Times New Roman"/>
      <w:color w:val="auto"/>
      <w:kern w:val="0"/>
      <w:sz w:val="28"/>
      <w:szCs w:val="28"/>
      <w:lang w:val="ru-RU" w:eastAsia="ru-RU" w:bidi="ar-SA"/>
    </w:rPr>
  </w:style>
  <w:style w:type="paragraph" w:styleId="Heading1">
    <w:name w:val="Heading 1"/>
    <w:basedOn w:val="Heading3"/>
    <w:next w:val="Normal"/>
    <w:link w:val="1"/>
    <w:qFormat/>
    <w:rsid w:val="00353a27"/>
    <w:pPr>
      <w:outlineLvl w:val="0"/>
    </w:pPr>
    <w:rPr>
      <w:sz w:val="28"/>
      <w:szCs w:val="28"/>
    </w:rPr>
  </w:style>
  <w:style w:type="paragraph" w:styleId="Heading2">
    <w:name w:val="Heading 2"/>
    <w:basedOn w:val="Heading4"/>
    <w:next w:val="Normal"/>
    <w:link w:val="2"/>
    <w:qFormat/>
    <w:rsid w:val="00ea61a8"/>
    <w:pPr>
      <w:outlineLvl w:val="1"/>
    </w:pPr>
    <w:rPr/>
  </w:style>
  <w:style w:type="paragraph" w:styleId="Heading3">
    <w:name w:val="Heading 3"/>
    <w:basedOn w:val="Normal"/>
    <w:next w:val="Normal"/>
    <w:link w:val="3"/>
    <w:autoRedefine/>
    <w:qFormat/>
    <w:rsid w:val="00035e96"/>
    <w:pPr>
      <w:keepNext w:val="true"/>
      <w:tabs>
        <w:tab w:val="clear" w:pos="708"/>
        <w:tab w:val="left" w:pos="0" w:leader="none"/>
      </w:tabs>
      <w:spacing w:before="120" w:after="60"/>
      <w:ind w:left="1224" w:hanging="504"/>
      <w:outlineLvl w:val="2"/>
    </w:pPr>
    <w:rPr>
      <w:rFonts w:eastAsia="Calibri"/>
      <w:b/>
      <w:sz w:val="24"/>
      <w:szCs w:val="24"/>
      <w:lang w:val="x-none" w:eastAsia="x-none"/>
    </w:rPr>
  </w:style>
  <w:style w:type="paragraph" w:styleId="Heading4">
    <w:name w:val="Heading 4"/>
    <w:basedOn w:val="Heading3"/>
    <w:next w:val="Normal"/>
    <w:link w:val="4"/>
    <w:qFormat/>
    <w:rsid w:val="006629c9"/>
    <w:pPr>
      <w:outlineLvl w:val="3"/>
    </w:pPr>
    <w:rPr>
      <w:bCs/>
    </w:rPr>
  </w:style>
  <w:style w:type="paragraph" w:styleId="Heading5">
    <w:name w:val="Heading 5"/>
    <w:basedOn w:val="Normal"/>
    <w:next w:val="Normal"/>
    <w:link w:val="5"/>
    <w:uiPriority w:val="9"/>
    <w:qFormat/>
    <w:rsid w:val="0076353a"/>
    <w:pPr>
      <w:spacing w:before="240" w:after="60"/>
      <w:outlineLvl w:val="4"/>
    </w:pPr>
    <w:rPr>
      <w:b/>
      <w:bCs/>
      <w:i/>
      <w:iCs/>
      <w:sz w:val="26"/>
      <w:szCs w:val="26"/>
      <w:lang w:val="x-none" w:eastAsia="x-none"/>
    </w:rPr>
  </w:style>
  <w:style w:type="paragraph" w:styleId="Heading6">
    <w:name w:val="Heading 6"/>
    <w:basedOn w:val="Normal"/>
    <w:next w:val="Normal"/>
    <w:link w:val="6"/>
    <w:uiPriority w:val="9"/>
    <w:qFormat/>
    <w:rsid w:val="000f211d"/>
    <w:pPr>
      <w:keepNext w:val="true"/>
      <w:keepLines/>
      <w:spacing w:before="200" w:after="0"/>
      <w:outlineLvl w:val="5"/>
    </w:pPr>
    <w:rPr>
      <w:rFonts w:ascii="Cambria" w:hAnsi="Cambria"/>
      <w:i/>
      <w:iCs/>
      <w:color w:val="243F60"/>
      <w:sz w:val="20"/>
      <w:szCs w:val="20"/>
      <w:lang w:val="x-none" w:eastAsia="x-none"/>
    </w:rPr>
  </w:style>
  <w:style w:type="paragraph" w:styleId="Heading7">
    <w:name w:val="Heading 7"/>
    <w:basedOn w:val="Normal"/>
    <w:next w:val="Normal"/>
    <w:link w:val="7"/>
    <w:uiPriority w:val="9"/>
    <w:qFormat/>
    <w:rsid w:val="000f211d"/>
    <w:pPr>
      <w:keepNext w:val="true"/>
      <w:keepLines/>
      <w:spacing w:before="200" w:after="0"/>
      <w:outlineLvl w:val="6"/>
    </w:pPr>
    <w:rPr>
      <w:rFonts w:ascii="Cambria" w:hAnsi="Cambria"/>
      <w:i/>
      <w:iCs/>
      <w:color w:val="404040"/>
      <w:sz w:val="20"/>
      <w:szCs w:val="20"/>
      <w:lang w:val="x-none" w:eastAsia="x-none"/>
    </w:rPr>
  </w:style>
  <w:style w:type="paragraph" w:styleId="Heading8">
    <w:name w:val="Heading 8"/>
    <w:basedOn w:val="Normal"/>
    <w:next w:val="Normal"/>
    <w:link w:val="8"/>
    <w:uiPriority w:val="9"/>
    <w:qFormat/>
    <w:rsid w:val="000f211d"/>
    <w:pPr>
      <w:keepNext w:val="true"/>
      <w:keepLines/>
      <w:spacing w:before="200" w:after="0"/>
      <w:outlineLvl w:val="7"/>
    </w:pPr>
    <w:rPr>
      <w:rFonts w:ascii="Cambria" w:hAnsi="Cambria"/>
      <w:color w:val="4F81BD"/>
      <w:sz w:val="20"/>
      <w:szCs w:val="20"/>
      <w:lang w:val="x-none" w:eastAsia="x-none"/>
    </w:rPr>
  </w:style>
  <w:style w:type="paragraph" w:styleId="Heading9">
    <w:name w:val="Heading 9"/>
    <w:basedOn w:val="Normal"/>
    <w:next w:val="Normal"/>
    <w:link w:val="9"/>
    <w:uiPriority w:val="9"/>
    <w:qFormat/>
    <w:rsid w:val="0076353a"/>
    <w:pPr>
      <w:spacing w:before="240" w:after="60"/>
      <w:outlineLvl w:val="8"/>
    </w:pPr>
    <w:rPr>
      <w:rFonts w:ascii="Arial" w:hAnsi="Arial"/>
      <w:sz w:val="22"/>
      <w:szCs w:val="22"/>
      <w:lang w:val="x-none" w:eastAsia="x-none"/>
    </w:rPr>
  </w:style>
  <w:style w:type="character" w:styleId="DefaultParagraphFont" w:default="1">
    <w:name w:val="Default Paragraph Font"/>
    <w:uiPriority w:val="1"/>
    <w:semiHidden/>
    <w:unhideWhenUsed/>
    <w:qFormat/>
    <w:rPr/>
  </w:style>
  <w:style w:type="character" w:styleId="Style" w:customStyle="1">
    <w:name w:val="Символ сноски"/>
    <w:qFormat/>
    <w:rsid w:val="00d561d9"/>
    <w:rPr>
      <w:vertAlign w:val="superscript"/>
    </w:rPr>
  </w:style>
  <w:style w:type="character" w:styleId="FootnoteReference">
    <w:name w:val="Footnote Reference"/>
    <w:rPr>
      <w:vertAlign w:val="superscript"/>
    </w:rPr>
  </w:style>
  <w:style w:type="character" w:styleId="Pagenumber">
    <w:name w:val="page number"/>
    <w:basedOn w:val="DefaultParagraphFont"/>
    <w:qFormat/>
    <w:rsid w:val="006c2f3f"/>
    <w:rPr/>
  </w:style>
  <w:style w:type="character" w:styleId="Hyperlink">
    <w:name w:val="Hyperlink"/>
    <w:uiPriority w:val="99"/>
    <w:rsid w:val="006c2f3f"/>
    <w:rPr>
      <w:color w:val="0000FF"/>
      <w:u w:val="single"/>
    </w:rPr>
  </w:style>
  <w:style w:type="character" w:styleId="Annotationreference">
    <w:name w:val="annotation reference"/>
    <w:semiHidden/>
    <w:qFormat/>
    <w:rsid w:val="00b714b0"/>
    <w:rPr>
      <w:sz w:val="16"/>
      <w:szCs w:val="16"/>
    </w:rPr>
  </w:style>
  <w:style w:type="character" w:styleId="Strong1" w:customStyle="1">
    <w:name w:val="Strong1"/>
    <w:uiPriority w:val="22"/>
    <w:qFormat/>
    <w:rsid w:val="00165965"/>
    <w:rPr>
      <w:b/>
      <w:bCs/>
    </w:rPr>
  </w:style>
  <w:style w:type="character" w:styleId="6" w:customStyle="1">
    <w:name w:val="Заголовок 6 Знак"/>
    <w:uiPriority w:val="9"/>
    <w:qFormat/>
    <w:rsid w:val="00d22f6d"/>
    <w:rPr>
      <w:rFonts w:ascii="Cambria" w:hAnsi="Cambria"/>
      <w:i/>
      <w:iCs/>
      <w:color w:val="243F60"/>
      <w:lang w:val="x-none" w:eastAsia="x-none"/>
    </w:rPr>
  </w:style>
  <w:style w:type="character" w:styleId="7" w:customStyle="1">
    <w:name w:val="Заголовок 7 Знак"/>
    <w:uiPriority w:val="9"/>
    <w:qFormat/>
    <w:rsid w:val="00d22f6d"/>
    <w:rPr>
      <w:rFonts w:ascii="Cambria" w:hAnsi="Cambria"/>
      <w:i/>
      <w:iCs/>
      <w:color w:val="404040"/>
      <w:lang w:val="x-none" w:eastAsia="x-none"/>
    </w:rPr>
  </w:style>
  <w:style w:type="character" w:styleId="8" w:customStyle="1">
    <w:name w:val="Заголовок 8 Знак"/>
    <w:uiPriority w:val="9"/>
    <w:qFormat/>
    <w:rsid w:val="00d22f6d"/>
    <w:rPr>
      <w:rFonts w:ascii="Cambria" w:hAnsi="Cambria"/>
      <w:color w:val="4F81BD"/>
      <w:lang w:val="x-none" w:eastAsia="x-none"/>
    </w:rPr>
  </w:style>
  <w:style w:type="character" w:styleId="1" w:customStyle="1">
    <w:name w:val="Заголовок 1 Знак"/>
    <w:qFormat/>
    <w:rsid w:val="00353a27"/>
    <w:rPr>
      <w:rFonts w:eastAsia="Calibri"/>
      <w:b/>
      <w:sz w:val="28"/>
      <w:szCs w:val="28"/>
      <w:lang w:val="x-none" w:eastAsia="x-none"/>
    </w:rPr>
  </w:style>
  <w:style w:type="character" w:styleId="2" w:customStyle="1">
    <w:name w:val="Заголовок 2 Знак"/>
    <w:qFormat/>
    <w:rsid w:val="00ea61a8"/>
    <w:rPr>
      <w:rFonts w:eastAsia="Calibri"/>
      <w:b/>
      <w:bCs/>
      <w:sz w:val="24"/>
      <w:szCs w:val="24"/>
      <w:lang w:val="x-none" w:eastAsia="x-none"/>
    </w:rPr>
  </w:style>
  <w:style w:type="character" w:styleId="3" w:customStyle="1">
    <w:name w:val="Заголовок 3 Знак"/>
    <w:qFormat/>
    <w:rsid w:val="00035e96"/>
    <w:rPr>
      <w:rFonts w:eastAsia="Calibri"/>
      <w:b/>
      <w:sz w:val="24"/>
      <w:szCs w:val="24"/>
      <w:lang w:val="x-none" w:eastAsia="x-none"/>
    </w:rPr>
  </w:style>
  <w:style w:type="character" w:styleId="4" w:customStyle="1">
    <w:name w:val="Заголовок 4 Знак"/>
    <w:qFormat/>
    <w:rsid w:val="006629c9"/>
    <w:rPr>
      <w:rFonts w:eastAsia="Calibri"/>
      <w:b/>
      <w:bCs/>
      <w:sz w:val="24"/>
      <w:szCs w:val="24"/>
      <w:lang w:val="x-none" w:eastAsia="x-none"/>
    </w:rPr>
  </w:style>
  <w:style w:type="character" w:styleId="5" w:customStyle="1">
    <w:name w:val="Заголовок 5 Знак"/>
    <w:uiPriority w:val="9"/>
    <w:qFormat/>
    <w:rsid w:val="00d22f6d"/>
    <w:rPr>
      <w:b/>
      <w:bCs/>
      <w:i/>
      <w:iCs/>
      <w:sz w:val="26"/>
      <w:szCs w:val="26"/>
    </w:rPr>
  </w:style>
  <w:style w:type="character" w:styleId="9" w:customStyle="1">
    <w:name w:val="Заголовок 9 Знак"/>
    <w:uiPriority w:val="9"/>
    <w:qFormat/>
    <w:rsid w:val="00d22f6d"/>
    <w:rPr>
      <w:rFonts w:ascii="Arial" w:hAnsi="Arial" w:cs="Arial"/>
      <w:sz w:val="22"/>
      <w:szCs w:val="22"/>
    </w:rPr>
  </w:style>
  <w:style w:type="character" w:styleId="Style1" w:customStyle="1">
    <w:name w:val="Название Знак"/>
    <w:link w:val="14"/>
    <w:uiPriority w:val="10"/>
    <w:qFormat/>
    <w:rsid w:val="00d22f6d"/>
    <w:rPr>
      <w:sz w:val="28"/>
    </w:rPr>
  </w:style>
  <w:style w:type="character" w:styleId="Style2" w:customStyle="1">
    <w:name w:val="Подзаголовок Знак"/>
    <w:uiPriority w:val="11"/>
    <w:qFormat/>
    <w:rsid w:val="00d22f6d"/>
    <w:rPr>
      <w:rFonts w:ascii="Cambria" w:hAnsi="Cambria"/>
      <w:i/>
      <w:iCs/>
      <w:color w:val="4F81BD"/>
      <w:spacing w:val="15"/>
      <w:sz w:val="24"/>
      <w:szCs w:val="24"/>
      <w:lang w:val="x-none" w:eastAsia="x-none"/>
    </w:rPr>
  </w:style>
  <w:style w:type="character" w:styleId="Emphasis">
    <w:name w:val="Emphasis"/>
    <w:uiPriority w:val="20"/>
    <w:qFormat/>
    <w:rsid w:val="00d22f6d"/>
    <w:rPr>
      <w:i/>
      <w:iCs/>
    </w:rPr>
  </w:style>
  <w:style w:type="character" w:styleId="21" w:customStyle="1">
    <w:name w:val="Цитата 2 Знак"/>
    <w:link w:val="Quote"/>
    <w:uiPriority w:val="29"/>
    <w:qFormat/>
    <w:rsid w:val="00d22f6d"/>
    <w:rPr>
      <w:rFonts w:ascii="Calibri" w:hAnsi="Calibri" w:eastAsia="Calibri"/>
      <w:i/>
      <w:iCs/>
      <w:color w:val="000000"/>
      <w:lang w:val="x-none" w:eastAsia="x-none"/>
    </w:rPr>
  </w:style>
  <w:style w:type="character" w:styleId="Style3" w:customStyle="1">
    <w:name w:val="Выделенная цитата Знак"/>
    <w:link w:val="IntenseQuote"/>
    <w:uiPriority w:val="30"/>
    <w:qFormat/>
    <w:rsid w:val="00d22f6d"/>
    <w:rPr>
      <w:rFonts w:ascii="Calibri" w:hAnsi="Calibri" w:eastAsia="Calibri"/>
      <w:b/>
      <w:bCs/>
      <w:i/>
      <w:iCs/>
      <w:color w:val="4F81BD"/>
      <w:lang w:val="x-none" w:eastAsia="x-none"/>
    </w:rPr>
  </w:style>
  <w:style w:type="character" w:styleId="SubtleEmphasis">
    <w:name w:val="Subtle Emphasis"/>
    <w:uiPriority w:val="19"/>
    <w:qFormat/>
    <w:rsid w:val="00d22f6d"/>
    <w:rPr>
      <w:i/>
      <w:iCs/>
      <w:color w:val="808080"/>
    </w:rPr>
  </w:style>
  <w:style w:type="character" w:styleId="IntenseEmphasis">
    <w:name w:val="Intense Emphasis"/>
    <w:uiPriority w:val="21"/>
    <w:qFormat/>
    <w:rsid w:val="00d22f6d"/>
    <w:rPr>
      <w:b/>
      <w:bCs/>
      <w:i/>
      <w:iCs/>
      <w:color w:val="4F81BD"/>
    </w:rPr>
  </w:style>
  <w:style w:type="character" w:styleId="SubtleReference">
    <w:name w:val="Subtle Reference"/>
    <w:uiPriority w:val="31"/>
    <w:qFormat/>
    <w:rsid w:val="00d22f6d"/>
    <w:rPr>
      <w:smallCaps/>
      <w:color w:val="C0504D"/>
      <w:u w:val="single"/>
    </w:rPr>
  </w:style>
  <w:style w:type="character" w:styleId="IntenseReference">
    <w:name w:val="Intense Reference"/>
    <w:uiPriority w:val="32"/>
    <w:qFormat/>
    <w:rsid w:val="00d22f6d"/>
    <w:rPr>
      <w:b/>
      <w:bCs/>
      <w:smallCaps/>
      <w:color w:val="C0504D"/>
      <w:spacing w:val="5"/>
      <w:u w:val="single"/>
    </w:rPr>
  </w:style>
  <w:style w:type="character" w:styleId="BookTitle">
    <w:name w:val="Book Title"/>
    <w:uiPriority w:val="33"/>
    <w:qFormat/>
    <w:rsid w:val="00d22f6d"/>
    <w:rPr>
      <w:b/>
      <w:bCs/>
      <w:smallCaps/>
      <w:spacing w:val="5"/>
    </w:rPr>
  </w:style>
  <w:style w:type="character" w:styleId="Style4" w:customStyle="1">
    <w:name w:val="Электронная подпись Знак"/>
    <w:link w:val="E-mailSignature"/>
    <w:uiPriority w:val="99"/>
    <w:qFormat/>
    <w:rsid w:val="00d22f6d"/>
    <w:rPr>
      <w:rFonts w:eastAsia="Calibri"/>
      <w:sz w:val="24"/>
      <w:szCs w:val="24"/>
    </w:rPr>
  </w:style>
  <w:style w:type="character" w:styleId="11" w:customStyle="1">
    <w:name w:val="Подпункт Знак1"/>
    <w:link w:val="Style21"/>
    <w:qFormat/>
    <w:locked/>
    <w:rsid w:val="00d22f6d"/>
    <w:rPr>
      <w:sz w:val="28"/>
    </w:rPr>
  </w:style>
  <w:style w:type="character" w:styleId="Style5" w:customStyle="1">
    <w:name w:val="Текст сноски Знак"/>
    <w:qFormat/>
    <w:rsid w:val="00d22f6d"/>
    <w:rPr/>
  </w:style>
  <w:style w:type="character" w:styleId="Style6" w:customStyle="1">
    <w:name w:val="Основной текст Знак"/>
    <w:qFormat/>
    <w:rsid w:val="004459a5"/>
    <w:rPr>
      <w:sz w:val="28"/>
      <w:szCs w:val="28"/>
    </w:rPr>
  </w:style>
  <w:style w:type="character" w:styleId="Blk" w:customStyle="1">
    <w:name w:val="blk"/>
    <w:qFormat/>
    <w:rsid w:val="00431ace"/>
    <w:rPr/>
  </w:style>
  <w:style w:type="character" w:styleId="Style7" w:customStyle="1">
    <w:name w:val="Абзац списка Знак"/>
    <w:link w:val="ListParagraph"/>
    <w:qFormat/>
    <w:locked/>
    <w:rsid w:val="00310eb4"/>
    <w:rPr>
      <w:rFonts w:eastAsia="Calibri"/>
      <w:sz w:val="24"/>
      <w:szCs w:val="24"/>
    </w:rPr>
  </w:style>
  <w:style w:type="character" w:styleId="Style8" w:customStyle="1">
    <w:name w:val="комментарий"/>
    <w:qFormat/>
    <w:rsid w:val="0025139e"/>
    <w:rPr>
      <w:b/>
      <w:i/>
      <w:shd w:fill="FFFF99" w:val="clear"/>
    </w:rPr>
  </w:style>
  <w:style w:type="character" w:styleId="Style9" w:customStyle="1">
    <w:name w:val="Подподпункт Знак"/>
    <w:link w:val="Style29"/>
    <w:qFormat/>
    <w:locked/>
    <w:rsid w:val="0025139e"/>
    <w:rPr>
      <w:sz w:val="26"/>
      <w:szCs w:val="26"/>
    </w:rPr>
  </w:style>
  <w:style w:type="character" w:styleId="31" w:customStyle="1">
    <w:name w:val="УРОВЕНЬ_Абзац_тип3 Знак"/>
    <w:link w:val="35"/>
    <w:qFormat/>
    <w:rsid w:val="00b56f46"/>
    <w:rPr>
      <w:rFonts w:eastAsia="Calibri"/>
      <w:sz w:val="26"/>
      <w:szCs w:val="28"/>
      <w:lang w:eastAsia="en-US"/>
    </w:rPr>
  </w:style>
  <w:style w:type="character" w:styleId="Style10" w:customStyle="1">
    <w:name w:val="Верхний колонтитул Знак"/>
    <w:uiPriority w:val="99"/>
    <w:qFormat/>
    <w:rsid w:val="002f31af"/>
    <w:rPr>
      <w:sz w:val="24"/>
      <w:szCs w:val="24"/>
    </w:rPr>
  </w:style>
  <w:style w:type="character" w:styleId="Style11" w:customStyle="1">
    <w:name w:val="Текст примечания Знак"/>
    <w:link w:val="Annotationtext"/>
    <w:semiHidden/>
    <w:qFormat/>
    <w:rsid w:val="00dc0f7d"/>
    <w:rPr/>
  </w:style>
  <w:style w:type="character" w:styleId="Style12" w:customStyle="1">
    <w:name w:val="Текст концевой сноски Знак"/>
    <w:basedOn w:val="DefaultParagraphFont"/>
    <w:qFormat/>
    <w:rsid w:val="003879d4"/>
    <w:rPr/>
  </w:style>
  <w:style w:type="character" w:styleId="Style13" w:customStyle="1">
    <w:name w:val="Символ концевой сноски"/>
    <w:qFormat/>
    <w:rsid w:val="003879d4"/>
    <w:rPr>
      <w:vertAlign w:val="superscript"/>
    </w:rPr>
  </w:style>
  <w:style w:type="character" w:styleId="EndnoteReference">
    <w:name w:val="Endnote Reference"/>
    <w:rPr>
      <w:vertAlign w:val="superscript"/>
    </w:rPr>
  </w:style>
  <w:style w:type="character" w:styleId="22" w:customStyle="1">
    <w:name w:val="Пункт2 Знак"/>
    <w:link w:val="24"/>
    <w:qFormat/>
    <w:rsid w:val="00de52bc"/>
    <w:rPr>
      <w:b/>
      <w:sz w:val="28"/>
    </w:rPr>
  </w:style>
  <w:style w:type="character" w:styleId="12" w:customStyle="1">
    <w:name w:val="УРОВЕНЬ_1. Знак"/>
    <w:link w:val="18"/>
    <w:qFormat/>
    <w:rsid w:val="004a17ae"/>
    <w:rPr>
      <w:rFonts w:eastAsia="Calibri"/>
      <w:caps/>
      <w:sz w:val="28"/>
      <w:szCs w:val="28"/>
      <w:lang w:eastAsia="en-US"/>
    </w:rPr>
  </w:style>
  <w:style w:type="character" w:styleId="Style14" w:customStyle="1">
    <w:name w:val="Ссылка указателя"/>
    <w:qFormat/>
    <w:rPr/>
  </w:style>
  <w:style w:type="character" w:styleId="Linenumber">
    <w:name w:val="line number"/>
    <w:qFormat/>
    <w:rPr/>
  </w:style>
  <w:style w:type="character" w:styleId="Strong">
    <w:name w:val="Strong"/>
    <w:qFormat/>
    <w:rPr>
      <w:b/>
      <w:bCs/>
    </w:rPr>
  </w:style>
  <w:style w:type="paragraph" w:styleId="Style15">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6"/>
    <w:rsid w:val="000f211d"/>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6">
    <w:name w:val="Указатель"/>
    <w:basedOn w:val="Normal"/>
    <w:qFormat/>
    <w:pPr>
      <w:suppressLineNumbers/>
    </w:pPr>
    <w:rPr/>
  </w:style>
  <w:style w:type="paragraph" w:styleId="Title">
    <w:name w:val="Title"/>
    <w:basedOn w:val="Normal"/>
    <w:next w:val="BodyText"/>
    <w:qFormat/>
    <w:pPr>
      <w:keepNext w:val="true"/>
      <w:spacing w:before="240" w:after="120"/>
    </w:pPr>
    <w:rPr>
      <w:rFonts w:ascii="Liberation Sans" w:hAnsi="Liberation Sans" w:eastAsia="Arial Unicode MS" w:cs="Arial Unicode MS"/>
    </w:rPr>
  </w:style>
  <w:style w:type="paragraph" w:styleId="Caption1">
    <w:name w:val="caption1"/>
    <w:basedOn w:val="Normal"/>
    <w:qFormat/>
    <w:pPr>
      <w:suppressLineNumbers/>
      <w:spacing w:before="120" w:after="120"/>
    </w:pPr>
    <w:rPr>
      <w:i/>
      <w:iCs/>
      <w:sz w:val="24"/>
      <w:szCs w:val="24"/>
    </w:rPr>
  </w:style>
  <w:style w:type="paragraph" w:styleId="Indexheading1">
    <w:name w:val="index heading1"/>
    <w:basedOn w:val="Title"/>
    <w:qFormat/>
    <w:pPr/>
    <w:rPr/>
  </w:style>
  <w:style w:type="paragraph" w:styleId="Caption11" w:customStyle="1">
    <w:name w:val="caption11"/>
    <w:basedOn w:val="Normal"/>
    <w:qFormat/>
    <w:pPr>
      <w:suppressLineNumbers/>
      <w:spacing w:before="120" w:after="120"/>
    </w:pPr>
    <w:rPr>
      <w:i/>
      <w:iCs/>
      <w:sz w:val="24"/>
      <w:szCs w:val="24"/>
    </w:rPr>
  </w:style>
  <w:style w:type="paragraph" w:styleId="Indexheading11" w:customStyle="1">
    <w:name w:val="index heading11"/>
    <w:basedOn w:val="Title"/>
    <w:qFormat/>
    <w:pPr/>
    <w:rPr/>
  </w:style>
  <w:style w:type="paragraph" w:styleId="Caption111" w:customStyle="1">
    <w:name w:val="caption111"/>
    <w:basedOn w:val="Normal"/>
    <w:qFormat/>
    <w:pPr>
      <w:suppressLineNumbers/>
      <w:spacing w:before="120" w:after="120"/>
    </w:pPr>
    <w:rPr>
      <w:i/>
      <w:iCs/>
      <w:sz w:val="24"/>
      <w:szCs w:val="24"/>
    </w:rPr>
  </w:style>
  <w:style w:type="paragraph" w:styleId="Indexheading111" w:customStyle="1">
    <w:name w:val="index heading111"/>
    <w:basedOn w:val="Title"/>
    <w:qFormat/>
    <w:pPr/>
    <w:rPr/>
  </w:style>
  <w:style w:type="paragraph" w:styleId="Caption1111" w:customStyle="1">
    <w:name w:val="caption1111"/>
    <w:basedOn w:val="Normal"/>
    <w:qFormat/>
    <w:pPr>
      <w:suppressLineNumbers/>
      <w:spacing w:before="120" w:after="120"/>
    </w:pPr>
    <w:rPr>
      <w:i/>
      <w:iCs/>
      <w:sz w:val="24"/>
      <w:szCs w:val="24"/>
    </w:rPr>
  </w:style>
  <w:style w:type="paragraph" w:styleId="Indexheading1111" w:customStyle="1">
    <w:name w:val="index heading1111"/>
    <w:basedOn w:val="Title"/>
    <w:qFormat/>
    <w:pPr/>
    <w:rPr/>
  </w:style>
  <w:style w:type="paragraph" w:styleId="Caption11111" w:customStyle="1">
    <w:name w:val="caption11111"/>
    <w:basedOn w:val="Normal"/>
    <w:qFormat/>
    <w:pPr>
      <w:suppressLineNumbers/>
      <w:spacing w:before="120" w:after="120"/>
    </w:pPr>
    <w:rPr>
      <w:i/>
      <w:iCs/>
      <w:sz w:val="24"/>
      <w:szCs w:val="24"/>
    </w:rPr>
  </w:style>
  <w:style w:type="paragraph" w:styleId="Indexheading11111" w:customStyle="1">
    <w:name w:val="index heading11111"/>
    <w:basedOn w:val="Title"/>
    <w:qFormat/>
    <w:pPr/>
    <w:rPr/>
  </w:style>
  <w:style w:type="paragraph" w:styleId="Caption111111" w:customStyle="1">
    <w:name w:val="caption111111"/>
    <w:basedOn w:val="Normal"/>
    <w:qFormat/>
    <w:pPr>
      <w:suppressLineNumbers/>
      <w:spacing w:before="120" w:after="120"/>
    </w:pPr>
    <w:rPr>
      <w:i/>
      <w:iCs/>
      <w:sz w:val="24"/>
      <w:szCs w:val="24"/>
    </w:rPr>
  </w:style>
  <w:style w:type="paragraph" w:styleId="Indexheading111111" w:customStyle="1">
    <w:name w:val="index heading111111"/>
    <w:basedOn w:val="Title"/>
    <w:qFormat/>
    <w:pPr/>
    <w:rPr/>
  </w:style>
  <w:style w:type="paragraph" w:styleId="Caption1111111" w:customStyle="1">
    <w:name w:val="caption1111111"/>
    <w:basedOn w:val="Normal"/>
    <w:qFormat/>
    <w:pPr>
      <w:suppressLineNumbers/>
      <w:spacing w:before="120" w:after="120"/>
    </w:pPr>
    <w:rPr>
      <w:i/>
      <w:iCs/>
      <w:sz w:val="24"/>
      <w:szCs w:val="24"/>
    </w:rPr>
  </w:style>
  <w:style w:type="paragraph" w:styleId="Indexheading1111111" w:customStyle="1">
    <w:name w:val="index heading1111111"/>
    <w:basedOn w:val="Title"/>
    <w:qFormat/>
    <w:pPr/>
    <w:rPr/>
  </w:style>
  <w:style w:type="paragraph" w:styleId="Style17" w:customStyle="1">
    <w:name w:val="Название раздела инструкции"/>
    <w:basedOn w:val="Normal"/>
    <w:autoRedefine/>
    <w:qFormat/>
    <w:rsid w:val="00275328"/>
    <w:pPr>
      <w:jc w:val="center"/>
    </w:pPr>
    <w:rPr>
      <w:b/>
    </w:rPr>
  </w:style>
  <w:style w:type="paragraph" w:styleId="Style18" w:customStyle="1">
    <w:name w:val="Раздел положения"/>
    <w:basedOn w:val="Normal"/>
    <w:autoRedefine/>
    <w:qFormat/>
    <w:rsid w:val="000f211d"/>
    <w:pPr>
      <w:numPr>
        <w:ilvl w:val="0"/>
        <w:numId w:val="1"/>
      </w:numPr>
      <w:spacing w:before="80" w:after="80"/>
      <w:jc w:val="center"/>
    </w:pPr>
    <w:rPr>
      <w:b/>
      <w:sz w:val="32"/>
      <w:szCs w:val="32"/>
    </w:rPr>
  </w:style>
  <w:style w:type="paragraph" w:styleId="Style19" w:customStyle="1">
    <w:name w:val="Подраздел раздела положения"/>
    <w:basedOn w:val="Normal"/>
    <w:autoRedefine/>
    <w:qFormat/>
    <w:rsid w:val="000f211d"/>
    <w:pPr>
      <w:numPr>
        <w:ilvl w:val="1"/>
        <w:numId w:val="1"/>
      </w:numPr>
      <w:spacing w:before="80" w:after="80"/>
      <w:jc w:val="both"/>
    </w:pPr>
    <w:rPr/>
  </w:style>
  <w:style w:type="paragraph" w:styleId="FootnoteText">
    <w:name w:val="Footnote Text"/>
    <w:basedOn w:val="Normal"/>
    <w:link w:val="Style5"/>
    <w:rsid w:val="00d561d9"/>
    <w:pPr/>
    <w:rPr>
      <w:sz w:val="20"/>
      <w:szCs w:val="20"/>
    </w:rPr>
  </w:style>
  <w:style w:type="paragraph" w:styleId="13" w:customStyle="1">
    <w:name w:val="Шапка 1"/>
    <w:basedOn w:val="Normal"/>
    <w:qFormat/>
    <w:rsid w:val="000f211d"/>
    <w:pPr>
      <w:pBdr>
        <w:bottom w:val="thickThinSmallGap" w:sz="24" w:space="1" w:color="000000"/>
      </w:pBdr>
      <w:spacing w:before="0" w:after="240"/>
      <w:jc w:val="center"/>
    </w:pPr>
    <w:rPr>
      <w:sz w:val="22"/>
      <w:szCs w:val="22"/>
    </w:rPr>
  </w:style>
  <w:style w:type="paragraph" w:styleId="23" w:customStyle="1">
    <w:name w:val="Шапка 2"/>
    <w:basedOn w:val="Normal"/>
    <w:qFormat/>
    <w:rsid w:val="000f211d"/>
    <w:pPr>
      <w:pBdr>
        <w:bottom w:val="thickThinSmallGap" w:sz="24" w:space="1" w:color="000000"/>
      </w:pBdr>
      <w:spacing w:before="0" w:after="120"/>
      <w:jc w:val="center"/>
    </w:pPr>
    <w:rPr>
      <w:b/>
      <w:sz w:val="22"/>
      <w:szCs w:val="22"/>
    </w:rPr>
  </w:style>
  <w:style w:type="paragraph" w:styleId="32" w:customStyle="1">
    <w:name w:val="Шапка 3"/>
    <w:basedOn w:val="Normal"/>
    <w:qFormat/>
    <w:rsid w:val="00d561d9"/>
    <w:pPr>
      <w:pBdr>
        <w:bottom w:val="thickThinSmallGap" w:sz="24" w:space="1" w:color="000000"/>
      </w:pBdr>
      <w:spacing w:before="240" w:after="360"/>
      <w:jc w:val="center"/>
    </w:pPr>
    <w:rPr>
      <w:b/>
      <w:sz w:val="24"/>
      <w:szCs w:val="24"/>
    </w:rPr>
  </w:style>
  <w:style w:type="paragraph" w:styleId="14" w:customStyle="1">
    <w:name w:val="Название1"/>
    <w:basedOn w:val="Normal"/>
    <w:link w:val="Style1"/>
    <w:uiPriority w:val="10"/>
    <w:qFormat/>
    <w:rsid w:val="00bd4014"/>
    <w:pPr>
      <w:jc w:val="center"/>
    </w:pPr>
    <w:rPr>
      <w:szCs w:val="20"/>
      <w:lang w:val="x-none" w:eastAsia="x-none"/>
    </w:rPr>
  </w:style>
  <w:style w:type="paragraph" w:styleId="Style20" w:customStyle="1">
    <w:name w:val="Колонтитул"/>
    <w:basedOn w:val="Normal"/>
    <w:qFormat/>
    <w:pPr/>
    <w:rPr/>
  </w:style>
  <w:style w:type="paragraph" w:styleId="Header">
    <w:name w:val="Header"/>
    <w:basedOn w:val="Normal"/>
    <w:link w:val="Style10"/>
    <w:uiPriority w:val="99"/>
    <w:rsid w:val="0076353a"/>
    <w:pPr>
      <w:tabs>
        <w:tab w:val="clear" w:pos="708"/>
        <w:tab w:val="center" w:pos="4677" w:leader="none"/>
        <w:tab w:val="right" w:pos="9355" w:leader="none"/>
      </w:tabs>
    </w:pPr>
    <w:rPr>
      <w:sz w:val="24"/>
      <w:szCs w:val="24"/>
    </w:rPr>
  </w:style>
  <w:style w:type="paragraph" w:styleId="BodyTextIndent">
    <w:name w:val="Body Text Indent"/>
    <w:basedOn w:val="Normal"/>
    <w:rsid w:val="000f211d"/>
    <w:pPr>
      <w:ind w:left="360" w:hanging="0"/>
    </w:pPr>
    <w:rPr>
      <w:sz w:val="24"/>
      <w:szCs w:val="24"/>
    </w:rPr>
  </w:style>
  <w:style w:type="paragraph" w:styleId="Footer">
    <w:name w:val="Footer"/>
    <w:basedOn w:val="Normal"/>
    <w:rsid w:val="0076353a"/>
    <w:pPr>
      <w:tabs>
        <w:tab w:val="clear" w:pos="708"/>
        <w:tab w:val="center" w:pos="4677" w:leader="none"/>
        <w:tab w:val="right" w:pos="9355" w:leader="none"/>
      </w:tabs>
    </w:pPr>
    <w:rPr/>
  </w:style>
  <w:style w:type="paragraph" w:styleId="BodyTextIndent2">
    <w:name w:val="Body Text Indent 2"/>
    <w:basedOn w:val="Normal"/>
    <w:qFormat/>
    <w:rsid w:val="000f211d"/>
    <w:pPr>
      <w:spacing w:lineRule="auto" w:line="480" w:before="0" w:after="120"/>
      <w:ind w:left="283" w:hanging="0"/>
    </w:pPr>
    <w:rPr/>
  </w:style>
  <w:style w:type="paragraph" w:styleId="BodyText3">
    <w:name w:val="Body Text 3"/>
    <w:basedOn w:val="Normal"/>
    <w:qFormat/>
    <w:rsid w:val="000f211d"/>
    <w:pPr>
      <w:spacing w:before="0" w:after="120"/>
    </w:pPr>
    <w:rPr>
      <w:sz w:val="16"/>
      <w:szCs w:val="16"/>
    </w:rPr>
  </w:style>
  <w:style w:type="paragraph" w:styleId="BodyTextIndent3">
    <w:name w:val="Body Text Indent 3"/>
    <w:basedOn w:val="Normal"/>
    <w:qFormat/>
    <w:rsid w:val="000f211d"/>
    <w:pPr>
      <w:spacing w:before="0" w:after="120"/>
      <w:ind w:left="283" w:hanging="0"/>
    </w:pPr>
    <w:rPr>
      <w:sz w:val="16"/>
      <w:szCs w:val="16"/>
    </w:rPr>
  </w:style>
  <w:style w:type="paragraph" w:styleId="BodyText2">
    <w:name w:val="Body Text 2"/>
    <w:basedOn w:val="Normal"/>
    <w:qFormat/>
    <w:rsid w:val="000f211d"/>
    <w:pPr>
      <w:spacing w:lineRule="auto" w:line="480" w:before="0" w:after="120"/>
    </w:pPr>
    <w:rPr/>
  </w:style>
  <w:style w:type="paragraph" w:styleId="BlockText">
    <w:name w:val="Block Text"/>
    <w:basedOn w:val="Normal"/>
    <w:qFormat/>
    <w:rsid w:val="000f211d"/>
    <w:pPr>
      <w:ind w:left="-567" w:right="-766" w:hanging="0"/>
      <w:jc w:val="center"/>
    </w:pPr>
    <w:rPr>
      <w:b/>
      <w:bCs/>
      <w:sz w:val="24"/>
      <w:szCs w:val="20"/>
    </w:rPr>
  </w:style>
  <w:style w:type="paragraph" w:styleId="Style21" w:customStyle="1">
    <w:name w:val="Подпункт"/>
    <w:basedOn w:val="Normal"/>
    <w:link w:val="11"/>
    <w:qFormat/>
    <w:rsid w:val="0076353a"/>
    <w:pPr>
      <w:tabs>
        <w:tab w:val="clear" w:pos="708"/>
        <w:tab w:val="left" w:pos="1134" w:leader="none"/>
      </w:tabs>
      <w:snapToGrid w:val="false"/>
      <w:spacing w:lineRule="auto" w:line="360"/>
      <w:ind w:left="1134" w:hanging="1134"/>
      <w:jc w:val="both"/>
    </w:pPr>
    <w:rPr>
      <w:szCs w:val="20"/>
      <w:lang w:val="x-none" w:eastAsia="x-none"/>
    </w:rPr>
  </w:style>
  <w:style w:type="paragraph" w:styleId="24" w:customStyle="1">
    <w:name w:val="Пункт2"/>
    <w:basedOn w:val="Normal"/>
    <w:link w:val="22"/>
    <w:qFormat/>
    <w:rsid w:val="0076353a"/>
    <w:pPr>
      <w:keepNext w:val="true"/>
      <w:tabs>
        <w:tab w:val="clear" w:pos="708"/>
        <w:tab w:val="left" w:pos="1134" w:leader="none"/>
      </w:tabs>
      <w:snapToGrid w:val="false"/>
      <w:spacing w:before="240" w:after="120"/>
      <w:ind w:left="1134" w:hanging="1134"/>
      <w:outlineLvl w:val="2"/>
    </w:pPr>
    <w:rPr>
      <w:b/>
      <w:szCs w:val="20"/>
    </w:rPr>
  </w:style>
  <w:style w:type="paragraph" w:styleId="TOC1">
    <w:name w:val="TOC 1"/>
    <w:basedOn w:val="Normal"/>
    <w:next w:val="Normal"/>
    <w:autoRedefine/>
    <w:uiPriority w:val="39"/>
    <w:rsid w:val="000f211d"/>
    <w:pPr>
      <w:spacing w:before="120" w:after="0"/>
    </w:pPr>
    <w:rPr>
      <w:rFonts w:cs="Calibri Light (Заголовки)"/>
      <w:b/>
      <w:bCs/>
      <w:sz w:val="24"/>
      <w:szCs w:val="24"/>
    </w:rPr>
  </w:style>
  <w:style w:type="paragraph" w:styleId="TOC3">
    <w:name w:val="TOC 3"/>
    <w:basedOn w:val="Normal"/>
    <w:next w:val="Normal"/>
    <w:autoRedefine/>
    <w:uiPriority w:val="39"/>
    <w:rsid w:val="000f211d"/>
    <w:pPr>
      <w:ind w:left="280" w:hanging="0"/>
    </w:pPr>
    <w:rPr>
      <w:rFonts w:cs="Calibri" w:cstheme="minorHAnsi"/>
      <w:sz w:val="20"/>
      <w:szCs w:val="20"/>
    </w:rPr>
  </w:style>
  <w:style w:type="paragraph" w:styleId="Style22" w:customStyle="1">
    <w:name w:val="Раздел регламента"/>
    <w:basedOn w:val="Normal"/>
    <w:qFormat/>
    <w:rsid w:val="00e228fa"/>
    <w:pPr/>
    <w:rPr/>
  </w:style>
  <w:style w:type="paragraph" w:styleId="Style23" w:customStyle="1">
    <w:name w:val="Приложение к регламенту"/>
    <w:basedOn w:val="Normal"/>
    <w:qFormat/>
    <w:rsid w:val="00e228fa"/>
    <w:pPr>
      <w:jc w:val="right"/>
    </w:pPr>
    <w:rPr/>
  </w:style>
  <w:style w:type="paragraph" w:styleId="TOC2">
    <w:name w:val="TOC 2"/>
    <w:basedOn w:val="Normal"/>
    <w:next w:val="Normal"/>
    <w:autoRedefine/>
    <w:uiPriority w:val="39"/>
    <w:rsid w:val="000f211d"/>
    <w:pPr>
      <w:spacing w:before="240" w:after="0"/>
    </w:pPr>
    <w:rPr>
      <w:rFonts w:cs="Calibri" w:cstheme="minorHAnsi"/>
      <w:bCs/>
      <w:sz w:val="20"/>
      <w:szCs w:val="20"/>
    </w:rPr>
  </w:style>
  <w:style w:type="paragraph" w:styleId="BalloonText">
    <w:name w:val="Balloon Text"/>
    <w:basedOn w:val="Normal"/>
    <w:semiHidden/>
    <w:qFormat/>
    <w:rsid w:val="00197c91"/>
    <w:pPr/>
    <w:rPr>
      <w:rFonts w:ascii="Tahoma" w:hAnsi="Tahoma" w:cs="Tahoma"/>
      <w:sz w:val="16"/>
      <w:szCs w:val="16"/>
    </w:rPr>
  </w:style>
  <w:style w:type="paragraph" w:styleId="Annotationtext">
    <w:name w:val="annotation text"/>
    <w:basedOn w:val="Normal"/>
    <w:link w:val="Style11"/>
    <w:semiHidden/>
    <w:qFormat/>
    <w:rsid w:val="00b714b0"/>
    <w:pPr/>
    <w:rPr>
      <w:sz w:val="20"/>
      <w:szCs w:val="20"/>
    </w:rPr>
  </w:style>
  <w:style w:type="paragraph" w:styleId="Annotationsubject">
    <w:name w:val="annotation subject"/>
    <w:basedOn w:val="Annotationtext"/>
    <w:next w:val="Annotationtext"/>
    <w:semiHidden/>
    <w:qFormat/>
    <w:rsid w:val="00b714b0"/>
    <w:pPr/>
    <w:rPr>
      <w:b/>
      <w:bCs/>
    </w:rPr>
  </w:style>
  <w:style w:type="paragraph" w:styleId="15" w:customStyle="1">
    <w:name w:val="Обычный (веб)1"/>
    <w:basedOn w:val="Normal"/>
    <w:uiPriority w:val="99"/>
    <w:qFormat/>
    <w:rsid w:val="002f559a"/>
    <w:pPr>
      <w:spacing w:beforeAutospacing="1" w:afterAutospacing="1"/>
    </w:pPr>
    <w:rPr>
      <w:rFonts w:ascii="Arial Unicode MS" w:hAnsi="Arial Unicode MS" w:eastAsia="Arial Unicode MS" w:cs="Arial Unicode MS"/>
      <w:sz w:val="24"/>
      <w:szCs w:val="24"/>
    </w:rPr>
  </w:style>
  <w:style w:type="paragraph" w:styleId="TOC9">
    <w:name w:val="TOC 9"/>
    <w:basedOn w:val="Normal"/>
    <w:next w:val="Normal"/>
    <w:autoRedefine/>
    <w:semiHidden/>
    <w:rsid w:val="000f211d"/>
    <w:pPr>
      <w:ind w:left="1960" w:hanging="0"/>
    </w:pPr>
    <w:rPr>
      <w:rFonts w:ascii="Calibri" w:hAnsi="Calibri" w:cs="Calibri" w:asciiTheme="minorHAnsi" w:cstheme="minorHAnsi" w:hAnsiTheme="minorHAnsi"/>
      <w:sz w:val="20"/>
      <w:szCs w:val="20"/>
    </w:rPr>
  </w:style>
  <w:style w:type="paragraph" w:styleId="TOC5">
    <w:name w:val="TOC 5"/>
    <w:basedOn w:val="Normal"/>
    <w:next w:val="Normal"/>
    <w:autoRedefine/>
    <w:semiHidden/>
    <w:rsid w:val="000f211d"/>
    <w:pPr>
      <w:ind w:left="840" w:hanging="0"/>
    </w:pPr>
    <w:rPr>
      <w:rFonts w:ascii="Calibri" w:hAnsi="Calibri" w:cs="Calibri" w:asciiTheme="minorHAnsi" w:cstheme="minorHAnsi" w:hAnsiTheme="minorHAnsi"/>
      <w:sz w:val="20"/>
      <w:szCs w:val="20"/>
    </w:rPr>
  </w:style>
  <w:style w:type="paragraph" w:styleId="TOC4">
    <w:name w:val="TOC 4"/>
    <w:basedOn w:val="Normal"/>
    <w:next w:val="Normal"/>
    <w:autoRedefine/>
    <w:uiPriority w:val="39"/>
    <w:rsid w:val="000f211d"/>
    <w:pPr>
      <w:tabs>
        <w:tab w:val="clear" w:pos="708"/>
        <w:tab w:val="left" w:pos="1120" w:leader="none"/>
        <w:tab w:val="right" w:pos="9911" w:leader="none"/>
      </w:tabs>
      <w:ind w:left="560" w:hanging="0"/>
    </w:pPr>
    <w:rPr>
      <w:rFonts w:cs="Calibri" w:cstheme="minorHAnsi"/>
      <w:sz w:val="20"/>
      <w:szCs w:val="20"/>
    </w:rPr>
  </w:style>
  <w:style w:type="paragraph" w:styleId="25" w:customStyle="1">
    <w:name w:val="Раздел положения 2"/>
    <w:basedOn w:val="Normal"/>
    <w:qFormat/>
    <w:rsid w:val="002c1e0e"/>
    <w:pPr>
      <w:pageBreakBefore/>
      <w:jc w:val="both"/>
      <w:outlineLvl w:val="0"/>
    </w:pPr>
    <w:rPr>
      <w:b/>
    </w:rPr>
  </w:style>
  <w:style w:type="paragraph" w:styleId="Style24" w:customStyle="1">
    <w:name w:val="Знак Знак Знак Знак Знак Знак Знак Знак Знак"/>
    <w:basedOn w:val="Normal"/>
    <w:qFormat/>
    <w:rsid w:val="000f211d"/>
    <w:pPr>
      <w:spacing w:lineRule="exact" w:line="240" w:before="0" w:after="160"/>
      <w:jc w:val="both"/>
    </w:pPr>
    <w:rPr>
      <w:rFonts w:ascii="Verdana" w:hAnsi="Verdana" w:cs="Verdana"/>
      <w:sz w:val="22"/>
      <w:szCs w:val="22"/>
      <w:lang w:val="en-US" w:eastAsia="en-US"/>
    </w:rPr>
  </w:style>
  <w:style w:type="paragraph" w:styleId="NoSpacing">
    <w:name w:val="No Spacing"/>
    <w:basedOn w:val="Normal"/>
    <w:uiPriority w:val="1"/>
    <w:qFormat/>
    <w:rsid w:val="00d22f6d"/>
    <w:pPr>
      <w:spacing w:lineRule="auto" w:line="360"/>
    </w:pPr>
    <w:rPr>
      <w:rFonts w:eastAsia="Calibri"/>
      <w:sz w:val="24"/>
      <w:szCs w:val="24"/>
    </w:rPr>
  </w:style>
  <w:style w:type="paragraph" w:styleId="Caption11111111" w:customStyle="1">
    <w:name w:val="caption11111111"/>
    <w:basedOn w:val="Normal"/>
    <w:next w:val="Normal"/>
    <w:uiPriority w:val="35"/>
    <w:qFormat/>
    <w:rsid w:val="00d22f6d"/>
    <w:pPr/>
    <w:rPr>
      <w:rFonts w:eastAsia="Calibri"/>
      <w:b/>
      <w:bCs/>
      <w:color w:val="4F81BD"/>
      <w:sz w:val="18"/>
      <w:szCs w:val="18"/>
    </w:rPr>
  </w:style>
  <w:style w:type="paragraph" w:styleId="Subtitle">
    <w:name w:val="Subtitle"/>
    <w:basedOn w:val="Normal"/>
    <w:next w:val="Normal"/>
    <w:link w:val="Style2"/>
    <w:uiPriority w:val="11"/>
    <w:qFormat/>
    <w:rsid w:val="00d22f6d"/>
    <w:pPr>
      <w:ind w:left="1066" w:firstLine="709"/>
    </w:pPr>
    <w:rPr>
      <w:rFonts w:ascii="Cambria" w:hAnsi="Cambria"/>
      <w:i/>
      <w:iCs/>
      <w:color w:val="4F81BD"/>
      <w:spacing w:val="15"/>
      <w:sz w:val="24"/>
      <w:szCs w:val="24"/>
      <w:lang w:val="x-none" w:eastAsia="x-none"/>
    </w:rPr>
  </w:style>
  <w:style w:type="paragraph" w:styleId="ListParagraph">
    <w:name w:val="List Paragraph"/>
    <w:basedOn w:val="Normal"/>
    <w:link w:val="Style7"/>
    <w:qFormat/>
    <w:rsid w:val="000f211d"/>
    <w:pPr>
      <w:spacing w:before="0" w:after="0"/>
      <w:ind w:left="720" w:hanging="0"/>
      <w:contextualSpacing/>
    </w:pPr>
    <w:rPr>
      <w:rFonts w:eastAsia="Calibri"/>
      <w:sz w:val="24"/>
      <w:szCs w:val="24"/>
    </w:rPr>
  </w:style>
  <w:style w:type="paragraph" w:styleId="Quote">
    <w:name w:val="Quote"/>
    <w:basedOn w:val="Normal"/>
    <w:next w:val="Normal"/>
    <w:link w:val="21"/>
    <w:uiPriority w:val="29"/>
    <w:qFormat/>
    <w:rsid w:val="00d22f6d"/>
    <w:pPr/>
    <w:rPr>
      <w:rFonts w:ascii="Calibri" w:hAnsi="Calibri" w:eastAsia="Calibri"/>
      <w:i/>
      <w:iCs/>
      <w:color w:val="000000"/>
      <w:sz w:val="20"/>
      <w:szCs w:val="20"/>
      <w:lang w:val="x-none" w:eastAsia="x-none"/>
    </w:rPr>
  </w:style>
  <w:style w:type="paragraph" w:styleId="IntenseQuote">
    <w:name w:val="Intense Quote"/>
    <w:basedOn w:val="Normal"/>
    <w:next w:val="Normal"/>
    <w:link w:val="Style3"/>
    <w:uiPriority w:val="30"/>
    <w:qFormat/>
    <w:rsid w:val="000f211d"/>
    <w:pPr>
      <w:pBdr>
        <w:bottom w:val="single" w:sz="4" w:space="4" w:color="4F81BD"/>
      </w:pBdr>
      <w:spacing w:before="200" w:after="280"/>
      <w:ind w:left="936" w:right="936" w:hanging="0"/>
    </w:pPr>
    <w:rPr>
      <w:rFonts w:ascii="Calibri" w:hAnsi="Calibri" w:eastAsia="Calibri"/>
      <w:b/>
      <w:bCs/>
      <w:i/>
      <w:iCs/>
      <w:color w:val="4F81BD"/>
      <w:sz w:val="20"/>
      <w:szCs w:val="20"/>
      <w:lang w:val="x-none" w:eastAsia="x-none"/>
    </w:rPr>
  </w:style>
  <w:style w:type="paragraph" w:styleId="IndexHeading">
    <w:name w:val="Index Heading"/>
    <w:basedOn w:val="Style15"/>
    <w:pPr/>
    <w:rPr/>
  </w:style>
  <w:style w:type="paragraph" w:styleId="TOCHeading">
    <w:name w:val="TOC Heading"/>
    <w:basedOn w:val="Heading1"/>
    <w:next w:val="Normal"/>
    <w:uiPriority w:val="39"/>
    <w:qFormat/>
    <w:rsid w:val="000f211d"/>
    <w:pPr>
      <w:keepLines/>
      <w:spacing w:before="480" w:after="60"/>
      <w:outlineLvl w:val="9"/>
    </w:pPr>
    <w:rPr>
      <w:rFonts w:ascii="Cambria" w:hAnsi="Cambria"/>
      <w:bCs/>
      <w:color w:val="365F91"/>
    </w:rPr>
  </w:style>
  <w:style w:type="paragraph" w:styleId="E-mailSignature">
    <w:name w:val="E-mail Signature"/>
    <w:basedOn w:val="Normal"/>
    <w:link w:val="Style4"/>
    <w:uiPriority w:val="99"/>
    <w:unhideWhenUsed/>
    <w:qFormat/>
    <w:rsid w:val="00d22f6d"/>
    <w:pPr/>
    <w:rPr>
      <w:rFonts w:eastAsia="Calibri"/>
      <w:sz w:val="24"/>
      <w:szCs w:val="24"/>
      <w:lang w:val="x-none" w:eastAsia="x-none"/>
    </w:rPr>
  </w:style>
  <w:style w:type="paragraph" w:styleId="Style25" w:customStyle="1">
    <w:name w:val="Знак"/>
    <w:basedOn w:val="Normal"/>
    <w:qFormat/>
    <w:rsid w:val="000f211d"/>
    <w:pPr>
      <w:spacing w:lineRule="exact" w:line="240" w:before="0" w:after="160"/>
    </w:pPr>
    <w:rPr>
      <w:rFonts w:ascii="Verdana" w:hAnsi="Verdana" w:cs="Verdana"/>
      <w:sz w:val="20"/>
      <w:szCs w:val="20"/>
      <w:lang w:val="en-US" w:eastAsia="en-US"/>
    </w:rPr>
  </w:style>
  <w:style w:type="paragraph" w:styleId="33" w:customStyle="1">
    <w:name w:val="Нумерованный список ур3"/>
    <w:basedOn w:val="Normal"/>
    <w:qFormat/>
    <w:rsid w:val="000f211d"/>
    <w:pPr>
      <w:numPr>
        <w:ilvl w:val="2"/>
        <w:numId w:val="2"/>
      </w:numPr>
      <w:jc w:val="both"/>
    </w:pPr>
    <w:rPr>
      <w:rFonts w:ascii="Garamond" w:hAnsi="Garamond"/>
      <w:sz w:val="24"/>
      <w:szCs w:val="20"/>
    </w:rPr>
  </w:style>
  <w:style w:type="paragraph" w:styleId="41" w:customStyle="1">
    <w:name w:val="Маркированный список 41"/>
    <w:basedOn w:val="Normal"/>
    <w:qFormat/>
    <w:rsid w:val="000f211d"/>
    <w:pPr>
      <w:numPr>
        <w:ilvl w:val="0"/>
        <w:numId w:val="2"/>
      </w:numPr>
      <w:spacing w:before="120" w:after="0"/>
      <w:jc w:val="both"/>
    </w:pPr>
    <w:rPr>
      <w:rFonts w:ascii="Garamond" w:hAnsi="Garamond"/>
      <w:sz w:val="24"/>
      <w:szCs w:val="20"/>
    </w:rPr>
  </w:style>
  <w:style w:type="paragraph" w:styleId="26" w:customStyle="1">
    <w:name w:val="Нумерованный список ур2"/>
    <w:basedOn w:val="Normal"/>
    <w:qFormat/>
    <w:rsid w:val="000f211d"/>
    <w:pPr>
      <w:numPr>
        <w:ilvl w:val="1"/>
        <w:numId w:val="2"/>
      </w:numPr>
      <w:spacing w:before="120" w:after="0"/>
      <w:jc w:val="both"/>
    </w:pPr>
    <w:rPr>
      <w:rFonts w:ascii="Garamond" w:hAnsi="Garamond"/>
      <w:sz w:val="24"/>
      <w:szCs w:val="20"/>
    </w:rPr>
  </w:style>
  <w:style w:type="paragraph" w:styleId="Revision">
    <w:name w:val="Revision"/>
    <w:uiPriority w:val="99"/>
    <w:semiHidden/>
    <w:qFormat/>
    <w:rsid w:val="000f211d"/>
    <w:pPr>
      <w:widowControl/>
      <w:suppressAutoHyphens w:val="true"/>
      <w:bidi w:val="0"/>
      <w:spacing w:before="0" w:after="0"/>
      <w:jc w:val="left"/>
    </w:pPr>
    <w:rPr>
      <w:rFonts w:eastAsia="Calibri" w:ascii="Times New Roman" w:hAnsi="Times New Roman" w:cs="Times New Roman"/>
      <w:color w:val="auto"/>
      <w:kern w:val="0"/>
      <w:sz w:val="24"/>
      <w:szCs w:val="24"/>
      <w:lang w:val="ru-RU" w:eastAsia="ru-RU" w:bidi="ar-SA"/>
    </w:rPr>
  </w:style>
  <w:style w:type="paragraph" w:styleId="ConsPlusNormal" w:customStyle="1">
    <w:name w:val="ConsPlusNormal"/>
    <w:qFormat/>
    <w:rsid w:val="000f211d"/>
    <w:pPr>
      <w:widowControl w:val="false"/>
      <w:suppressAutoHyphens w:val="true"/>
      <w:bidi w:val="0"/>
      <w:spacing w:before="0" w:after="0"/>
      <w:ind w:firstLine="720"/>
      <w:jc w:val="left"/>
    </w:pPr>
    <w:rPr>
      <w:rFonts w:ascii="Arial" w:hAnsi="Arial" w:cs="Arial" w:eastAsia="Times New Roman"/>
      <w:color w:val="auto"/>
      <w:kern w:val="0"/>
      <w:sz w:val="20"/>
      <w:szCs w:val="20"/>
      <w:lang w:val="ru-RU" w:eastAsia="ru-RU" w:bidi="ar-SA"/>
    </w:rPr>
  </w:style>
  <w:style w:type="paragraph" w:styleId="34" w:customStyle="1">
    <w:name w:val="Знак Знак3 Знак Знак"/>
    <w:basedOn w:val="Normal"/>
    <w:qFormat/>
    <w:rsid w:val="000f211d"/>
    <w:pPr>
      <w:spacing w:lineRule="exact" w:line="240" w:before="0" w:after="160"/>
      <w:jc w:val="both"/>
    </w:pPr>
    <w:rPr>
      <w:rFonts w:ascii="Verdana" w:hAnsi="Verdana" w:cs="Verdana"/>
      <w:sz w:val="22"/>
      <w:szCs w:val="22"/>
      <w:lang w:val="en-US" w:eastAsia="en-US"/>
    </w:rPr>
  </w:style>
  <w:style w:type="paragraph" w:styleId="Style26" w:customStyle="1">
    <w:name w:val="Пункт"/>
    <w:basedOn w:val="Normal"/>
    <w:qFormat/>
    <w:rsid w:val="000f211d"/>
    <w:pPr>
      <w:widowControl w:val="false"/>
      <w:tabs>
        <w:tab w:val="clear" w:pos="708"/>
        <w:tab w:val="left" w:pos="1134" w:leader="none"/>
      </w:tabs>
      <w:spacing w:lineRule="auto" w:line="360" w:before="120" w:after="0"/>
      <w:ind w:left="1134" w:right="800" w:hanging="1134"/>
      <w:jc w:val="both"/>
    </w:pPr>
    <w:rPr>
      <w:rFonts w:ascii="Arial" w:hAnsi="Arial"/>
      <w:b/>
      <w:i/>
      <w:szCs w:val="20"/>
    </w:rPr>
  </w:style>
  <w:style w:type="paragraph" w:styleId="16" w:customStyle="1">
    <w:name w:val="Абзац списка1"/>
    <w:basedOn w:val="Normal"/>
    <w:qFormat/>
    <w:rsid w:val="000f211d"/>
    <w:pPr>
      <w:spacing w:lineRule="auto" w:line="276" w:before="0" w:after="200"/>
      <w:ind w:left="720" w:hanging="0"/>
      <w:contextualSpacing/>
    </w:pPr>
    <w:rPr>
      <w:rFonts w:ascii="Calibri" w:hAnsi="Calibri"/>
      <w:sz w:val="22"/>
      <w:szCs w:val="22"/>
      <w:lang w:eastAsia="en-US"/>
    </w:rPr>
  </w:style>
  <w:style w:type="paragraph" w:styleId="Style27" w:customStyle="1">
    <w:name w:val="Таблица"/>
    <w:basedOn w:val="Normal"/>
    <w:qFormat/>
    <w:rsid w:val="0041356c"/>
    <w:pPr>
      <w:keepNext w:val="true"/>
      <w:spacing w:before="60" w:after="60"/>
      <w:jc w:val="center"/>
    </w:pPr>
    <w:rPr>
      <w:rFonts w:eastAsia="Calibri"/>
      <w:b/>
      <w:sz w:val="24"/>
      <w:szCs w:val="24"/>
      <w:lang w:val="x-none" w:eastAsia="x-none"/>
    </w:rPr>
  </w:style>
  <w:style w:type="paragraph" w:styleId="Style28" w:customStyle="1">
    <w:name w:val="Таблица шапка"/>
    <w:basedOn w:val="Normal"/>
    <w:qFormat/>
    <w:rsid w:val="000f211d"/>
    <w:pPr>
      <w:keepNext w:val="true"/>
      <w:spacing w:before="40" w:after="40"/>
      <w:ind w:left="57" w:right="57" w:hanging="0"/>
    </w:pPr>
    <w:rPr>
      <w:sz w:val="22"/>
      <w:szCs w:val="26"/>
    </w:rPr>
  </w:style>
  <w:style w:type="paragraph" w:styleId="Style29" w:customStyle="1">
    <w:name w:val="Подподпункт"/>
    <w:basedOn w:val="Style21"/>
    <w:link w:val="Style9"/>
    <w:qFormat/>
    <w:rsid w:val="000f211d"/>
    <w:pPr>
      <w:tabs>
        <w:tab w:val="clear" w:pos="1134"/>
        <w:tab w:val="left" w:pos="5104" w:leader="none"/>
      </w:tabs>
      <w:snapToGrid w:val="true"/>
      <w:spacing w:lineRule="auto" w:line="240" w:before="120" w:after="0"/>
      <w:ind w:left="5104" w:hanging="567"/>
    </w:pPr>
    <w:rPr>
      <w:sz w:val="26"/>
      <w:szCs w:val="26"/>
      <w:lang w:val="ru-RU" w:eastAsia="ru-RU"/>
    </w:rPr>
  </w:style>
  <w:style w:type="paragraph" w:styleId="Style30" w:customStyle="1">
    <w:name w:val="УРОВЕНЬ_(а)"/>
    <w:basedOn w:val="ListParagraph"/>
    <w:qFormat/>
    <w:rsid w:val="000f211d"/>
    <w:pPr>
      <w:numPr>
        <w:ilvl w:val="3"/>
        <w:numId w:val="4"/>
      </w:numPr>
      <w:spacing w:lineRule="exact" w:line="360" w:before="120" w:after="0"/>
      <w:contextualSpacing w:val="false"/>
      <w:jc w:val="both"/>
      <w:outlineLvl w:val="3"/>
    </w:pPr>
    <w:rPr>
      <w:sz w:val="26"/>
      <w:szCs w:val="28"/>
      <w:lang w:eastAsia="en-US"/>
    </w:rPr>
  </w:style>
  <w:style w:type="paragraph" w:styleId="-" w:customStyle="1">
    <w:name w:val="УРОВЕНЬ_-"/>
    <w:basedOn w:val="ListParagraph"/>
    <w:qFormat/>
    <w:rsid w:val="000f211d"/>
    <w:pPr>
      <w:numPr>
        <w:ilvl w:val="4"/>
        <w:numId w:val="4"/>
      </w:numPr>
      <w:spacing w:lineRule="exact" w:line="360" w:before="120" w:after="0"/>
      <w:contextualSpacing w:val="false"/>
      <w:jc w:val="both"/>
      <w:outlineLvl w:val="4"/>
    </w:pPr>
    <w:rPr>
      <w:sz w:val="26"/>
      <w:szCs w:val="28"/>
      <w:lang w:eastAsia="en-US"/>
    </w:rPr>
  </w:style>
  <w:style w:type="paragraph" w:styleId="27" w:customStyle="1">
    <w:name w:val="УРОВЕНЬ_Абзац_тип2"/>
    <w:basedOn w:val="ListParagraph"/>
    <w:qFormat/>
    <w:rsid w:val="000f211d"/>
    <w:pPr>
      <w:numPr>
        <w:ilvl w:val="6"/>
        <w:numId w:val="4"/>
      </w:numPr>
      <w:spacing w:lineRule="exact" w:line="360" w:before="120" w:after="0"/>
      <w:contextualSpacing w:val="false"/>
      <w:jc w:val="both"/>
    </w:pPr>
    <w:rPr>
      <w:sz w:val="26"/>
      <w:szCs w:val="28"/>
      <w:lang w:eastAsia="en-US"/>
    </w:rPr>
  </w:style>
  <w:style w:type="paragraph" w:styleId="35" w:customStyle="1">
    <w:name w:val="УРОВЕНЬ_Абзац_тип3"/>
    <w:basedOn w:val="ListParagraph"/>
    <w:link w:val="31"/>
    <w:qFormat/>
    <w:rsid w:val="000f211d"/>
    <w:pPr>
      <w:numPr>
        <w:ilvl w:val="7"/>
        <w:numId w:val="4"/>
      </w:numPr>
      <w:spacing w:lineRule="exact" w:line="360" w:before="120" w:after="0"/>
      <w:contextualSpacing w:val="false"/>
      <w:jc w:val="both"/>
    </w:pPr>
    <w:rPr>
      <w:sz w:val="26"/>
      <w:szCs w:val="28"/>
      <w:lang w:eastAsia="en-US"/>
    </w:rPr>
  </w:style>
  <w:style w:type="paragraph" w:styleId="Style31" w:customStyle="1">
    <w:name w:val="УРОВЕНЬ_Подпись"/>
    <w:basedOn w:val="ListParagraph"/>
    <w:qFormat/>
    <w:rsid w:val="000f211d"/>
    <w:pPr>
      <w:keepNext w:val="true"/>
      <w:numPr>
        <w:ilvl w:val="5"/>
        <w:numId w:val="4"/>
      </w:numPr>
      <w:spacing w:lineRule="exact" w:line="360" w:before="120" w:after="120"/>
      <w:contextualSpacing w:val="false"/>
      <w:jc w:val="right"/>
      <w:outlineLvl w:val="3"/>
    </w:pPr>
    <w:rPr>
      <w:sz w:val="26"/>
      <w:szCs w:val="28"/>
      <w:lang w:eastAsia="en-US"/>
    </w:rPr>
  </w:style>
  <w:style w:type="paragraph" w:styleId="17" w:customStyle="1">
    <w:name w:val="Стиль Заголовок 1 + по ширине"/>
    <w:basedOn w:val="Heading1"/>
    <w:qFormat/>
    <w:rsid w:val="005773b2"/>
    <w:pPr>
      <w:keepLines/>
      <w:tabs>
        <w:tab w:val="clear" w:pos="0"/>
        <w:tab w:val="left" w:pos="567" w:leader="none"/>
      </w:tabs>
      <w:spacing w:before="480" w:after="240"/>
      <w:ind w:left="567" w:hanging="567"/>
      <w:jc w:val="both"/>
    </w:pPr>
    <w:rPr>
      <w:rFonts w:ascii="Arial" w:hAnsi="Arial" w:eastAsia="Times New Roman"/>
      <w:bCs/>
      <w:kern w:val="2"/>
      <w:sz w:val="40"/>
      <w:szCs w:val="20"/>
      <w:lang w:val="ru-RU" w:eastAsia="ru-RU"/>
    </w:rPr>
  </w:style>
  <w:style w:type="paragraph" w:styleId="EndnoteText">
    <w:name w:val="Endnote Text"/>
    <w:basedOn w:val="Normal"/>
    <w:link w:val="Style12"/>
    <w:rsid w:val="003879d4"/>
    <w:pPr/>
    <w:rPr>
      <w:sz w:val="20"/>
      <w:szCs w:val="20"/>
    </w:rPr>
  </w:style>
  <w:style w:type="paragraph" w:styleId="28" w:customStyle="1">
    <w:name w:val="Заголовок 2 КВВ"/>
    <w:basedOn w:val="Normal"/>
    <w:qFormat/>
    <w:rsid w:val="000f211d"/>
    <w:pPr>
      <w:keepNext w:val="true"/>
      <w:numPr>
        <w:ilvl w:val="0"/>
        <w:numId w:val="5"/>
      </w:numPr>
      <w:spacing w:before="120" w:after="120"/>
      <w:jc w:val="both"/>
      <w:outlineLvl w:val="0"/>
    </w:pPr>
    <w:rPr>
      <w:b/>
      <w:kern w:val="2"/>
      <w:sz w:val="24"/>
      <w:szCs w:val="20"/>
      <w:lang w:eastAsia="x-none"/>
    </w:rPr>
  </w:style>
  <w:style w:type="paragraph" w:styleId="Style32" w:customStyle="1">
    <w:name w:val="Таблица текст"/>
    <w:basedOn w:val="Normal"/>
    <w:qFormat/>
    <w:rsid w:val="000f211d"/>
    <w:pPr>
      <w:spacing w:before="40" w:after="40"/>
      <w:ind w:left="57" w:right="57" w:hanging="0"/>
    </w:pPr>
    <w:rPr>
      <w:sz w:val="24"/>
      <w:szCs w:val="26"/>
    </w:rPr>
  </w:style>
  <w:style w:type="paragraph" w:styleId="NormalWeb">
    <w:name w:val="Normal (Web)"/>
    <w:basedOn w:val="Normal"/>
    <w:uiPriority w:val="99"/>
    <w:unhideWhenUsed/>
    <w:qFormat/>
    <w:rsid w:val="00265d9f"/>
    <w:pPr>
      <w:spacing w:beforeAutospacing="1" w:afterAutospacing="1"/>
    </w:pPr>
    <w:rPr>
      <w:sz w:val="24"/>
      <w:szCs w:val="24"/>
    </w:rPr>
  </w:style>
  <w:style w:type="paragraph" w:styleId="18" w:customStyle="1">
    <w:name w:val="УРОВЕНЬ_1."/>
    <w:basedOn w:val="ListParagraph"/>
    <w:link w:val="12"/>
    <w:qFormat/>
    <w:rsid w:val="000f211d"/>
    <w:pPr>
      <w:keepNext w:val="true"/>
      <w:keepLines/>
      <w:spacing w:lineRule="auto" w:line="276" w:before="240" w:after="120"/>
      <w:ind w:left="0" w:hanging="0"/>
      <w:contextualSpacing w:val="false"/>
      <w:jc w:val="both"/>
      <w:outlineLvl w:val="0"/>
    </w:pPr>
    <w:rPr>
      <w:caps/>
      <w:sz w:val="28"/>
      <w:szCs w:val="28"/>
      <w:lang w:eastAsia="en-US"/>
    </w:rPr>
  </w:style>
  <w:style w:type="paragraph" w:styleId="TOC6">
    <w:name w:val="TOC 6"/>
    <w:basedOn w:val="Normal"/>
    <w:next w:val="Normal"/>
    <w:autoRedefine/>
    <w:unhideWhenUsed/>
    <w:rsid w:val="000f211d"/>
    <w:pPr>
      <w:ind w:left="1120" w:hanging="0"/>
    </w:pPr>
    <w:rPr>
      <w:rFonts w:ascii="Calibri" w:hAnsi="Calibri" w:cs="Calibri" w:asciiTheme="minorHAnsi" w:cstheme="minorHAnsi" w:hAnsiTheme="minorHAnsi"/>
      <w:sz w:val="20"/>
      <w:szCs w:val="20"/>
    </w:rPr>
  </w:style>
  <w:style w:type="paragraph" w:styleId="TOC7">
    <w:name w:val="TOC 7"/>
    <w:basedOn w:val="Normal"/>
    <w:next w:val="Normal"/>
    <w:autoRedefine/>
    <w:unhideWhenUsed/>
    <w:rsid w:val="000f211d"/>
    <w:pPr>
      <w:ind w:left="1400" w:hanging="0"/>
    </w:pPr>
    <w:rPr>
      <w:rFonts w:ascii="Calibri" w:hAnsi="Calibri" w:cs="Calibri" w:asciiTheme="minorHAnsi" w:cstheme="minorHAnsi" w:hAnsiTheme="minorHAnsi"/>
      <w:sz w:val="20"/>
      <w:szCs w:val="20"/>
    </w:rPr>
  </w:style>
  <w:style w:type="paragraph" w:styleId="TOC8">
    <w:name w:val="TOC 8"/>
    <w:basedOn w:val="Normal"/>
    <w:next w:val="Normal"/>
    <w:autoRedefine/>
    <w:unhideWhenUsed/>
    <w:rsid w:val="000f211d"/>
    <w:pPr>
      <w:ind w:left="1680" w:hanging="0"/>
    </w:pPr>
    <w:rPr>
      <w:rFonts w:ascii="Calibri" w:hAnsi="Calibri" w:cs="Calibri" w:asciiTheme="minorHAnsi" w:cstheme="minorHAnsi" w:hAnsiTheme="minorHAnsi"/>
      <w:sz w:val="20"/>
      <w:szCs w:val="20"/>
    </w:rPr>
  </w:style>
  <w:style w:type="paragraph" w:styleId="Style33" w:customStyle="1">
    <w:name w:val="Содержимое врезки"/>
    <w:basedOn w:val="Normal"/>
    <w:qFormat/>
    <w:pPr/>
    <w:rPr/>
  </w:style>
  <w:style w:type="paragraph" w:styleId="Style34" w:customStyle="1">
    <w:name w:val="Содержимое таблицы"/>
    <w:basedOn w:val="Normal"/>
    <w:qFormat/>
    <w:pPr>
      <w:widowControl w:val="false"/>
      <w:suppressLineNumbers/>
    </w:pPr>
    <w:rPr/>
  </w:style>
  <w:style w:type="paragraph" w:styleId="Style35" w:customStyle="1">
    <w:name w:val="Заголовок таблицы"/>
    <w:basedOn w:val="Style34"/>
    <w:qFormat/>
    <w:rsid w:val="000f211d"/>
    <w:pPr>
      <w:jc w:val="center"/>
    </w:pPr>
    <w:rPr>
      <w:b/>
      <w:bCs/>
    </w:rPr>
  </w:style>
  <w:style w:type="numbering" w:styleId="NoList" w:default="1">
    <w:name w:val="No List"/>
    <w:uiPriority w:val="99"/>
    <w:semiHidden/>
    <w:unhideWhenUsed/>
    <w:qFormat/>
  </w:style>
  <w:style w:type="numbering" w:styleId="19" w:customStyle="1">
    <w:name w:val="Стиль1"/>
    <w:uiPriority w:val="99"/>
    <w:qFormat/>
    <w:rsid w:val="00f001e4"/>
  </w:style>
  <w:style w:type="numbering" w:styleId="29" w:customStyle="1">
    <w:name w:val="Стиль2"/>
    <w:uiPriority w:val="99"/>
    <w:qFormat/>
    <w:rsid w:val="006629c9"/>
  </w:style>
  <w:style w:type="table" w:default="1" w:styleId="a5">
    <w:name w:val="Normal Table"/>
    <w:uiPriority w:val="99"/>
    <w:semiHidden/>
    <w:unhideWhenUsed/>
    <w:tblPr>
      <w:tblCellMar>
        <w:top w:w="0" w:type="dxa"/>
        <w:left w:w="108" w:type="dxa"/>
        <w:bottom w:w="0" w:type="dxa"/>
        <w:right w:w="108" w:type="dxa"/>
      </w:tblCellMar>
    </w:tblPr>
  </w:style>
  <w:style w:type="table" w:styleId="affff8">
    <w:name w:val="Table Grid"/>
    <w:basedOn w:val="a5"/>
    <w:uiPriority w:val="39"/>
    <w:rsid w:val="0076353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b">
    <w:name w:val="Сетка таблицы1"/>
    <w:basedOn w:val="a5"/>
    <w:uiPriority w:val="39"/>
    <w:rsid w:val="00214b9f"/>
    <w:rPr>
      <w:rFonts w:asciiTheme="minorHAnsi" w:hAnsiTheme="minorHAnsi" w:eastAsiaTheme="minorHAnsi" w:cstheme="minorBidi"/>
      <w:lang w:eastAsia="en-US"/>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header" Target="header6.xml"/><Relationship Id="rId8" Type="http://schemas.openxmlformats.org/officeDocument/2006/relationships/header" Target="header7.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A37EC-A69C-4617-88DD-EEC52A1AE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351</TotalTime>
  <Application>AlterOffice/3.4.0.9$Linux_X86_64 LibreOffice_project/b8daf9e823b1a5463a2f48435ddc2e8696e7d4fc</Application>
  <AppVersion>15.0000</AppVersion>
  <Pages>11</Pages>
  <Words>1516</Words>
  <Characters>10325</Characters>
  <CharactersWithSpaces>11596</CharactersWithSpaces>
  <Paragraphs>258</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2024-04-15T05:35:00Z</dcterms:created>
  <dc:creator>Быстров Олег Геннадьевич</dc:creator>
  <dc:description/>
  <dc:language>ru-RU</dc:language>
  <cp:lastModifiedBy>gritskikhea@corp.gidroogk.com</cp:lastModifiedBy>
  <cp:lastPrinted>2025-04-30T16:12:00Z</cp:lastPrinted>
  <dcterms:modified xsi:type="dcterms:W3CDTF">2026-06-17T18:39:18Z</dcterms:modified>
  <cp:revision>39</cp:revision>
  <dc:subject/>
  <dc:title>Российское открытое акционерное общество энергетики и электрификации</dc:title>
</cp:coreProperties>
</file>

<file path=docProps/custom.xml><?xml version="1.0" encoding="utf-8"?>
<Properties xmlns="http://schemas.openxmlformats.org/officeDocument/2006/custom-properties" xmlns:vt="http://schemas.openxmlformats.org/officeDocument/2006/docPropsVTypes"/>
</file>