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52.22.12.000  Услуги по использованию инфраструктуры ВВП Волжского бассейна для нужд Волжского транспортного участка, Жигулевского транспортного участка, Саратовского транспортного участка Приволжского филиала АО «ТК РусГидро»</w:t>
      </w:r>
      <w:r>
        <w:rPr>
          <w:highlight w:val="lightGray"/>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олжского транспортного участка, Жигулевского транспортного участка, Саратовского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ВВП Волжского бассейна.</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w:t>
      </w:r>
      <w:r>
        <w:rPr>
          <w:bCs/>
          <w:highlight w:val="lightGray"/>
        </w:rPr>
        <w:t>01</w:t>
      </w:r>
      <w:r>
        <w:rPr>
          <w:bCs/>
          <w:highlight w:val="lightGray"/>
        </w:rPr>
        <w:t xml:space="preserve">» </w:t>
      </w:r>
      <w:r>
        <w:rPr>
          <w:bCs/>
          <w:highlight w:val="lightGray"/>
        </w:rPr>
        <w:t xml:space="preserve">апреля </w:t>
      </w:r>
      <w:r>
        <w:rPr>
          <w:bCs/>
          <w:highlight w:val="lightGray"/>
        </w:rPr>
        <w:t>20</w:t>
      </w:r>
      <w:r>
        <w:rPr>
          <w:bCs/>
          <w:highlight w:val="lightGray"/>
        </w:rPr>
        <w:t>27</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31</w:t>
      </w:r>
      <w:r>
        <w:rPr>
          <w:bCs/>
          <w:highlight w:val="lightGray"/>
        </w:rPr>
        <w:t xml:space="preserve">» </w:t>
      </w:r>
      <w:r>
        <w:rPr>
          <w:bCs/>
          <w:highlight w:val="lightGray"/>
        </w:rPr>
        <w:t>декабря</w:t>
      </w:r>
      <w:r>
        <w:rPr>
          <w:bCs/>
          <w:highlight w:val="lightGray"/>
        </w:rPr>
        <w:t xml:space="preserve"> 20</w:t>
      </w:r>
      <w:r>
        <w:rPr>
          <w:bCs/>
          <w:highlight w:val="lightGray"/>
        </w:rPr>
        <w:t>27</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AlterOffice/3.4.0.9$Linux_X86_64 LibreOffice_project/b8daf9e823b1a5463a2f48435ddc2e8696e7d4fc</Application>
  <AppVersion>15.0000</AppVersion>
  <Pages>22</Pages>
  <Words>7824</Words>
  <Characters>55546</Characters>
  <CharactersWithSpaces>63150</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2026-06-17T11:05:46Z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