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2"/>
        </w:numPr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jc w:val="righ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jc w:val="left"/>
        <w:rPr>
          <w:rFonts w:eastAsia="Calibri"/>
          <w:b w:val="false"/>
          <w:sz w:val="24"/>
          <w:szCs w:val="24"/>
          <w:lang w:eastAsia="en-US"/>
        </w:rPr>
      </w:pPr>
      <w:r>
        <w:rPr>
          <w:rFonts w:eastAsia="Calibri"/>
          <w:b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Times New Roman"/>
          <w:sz w:val="24"/>
          <w:szCs w:val="24"/>
          <w:lang w:eastAsia="en-US"/>
        </w:rPr>
        <w:t xml:space="preserve">                                                                                                    </w:t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Fonts w:eastAsia="Calibri"/>
          <w:b/>
          <w:bCs/>
          <w:i w:val="false"/>
          <w:iCs w:val="false"/>
          <w:sz w:val="28"/>
          <w:szCs w:val="28"/>
          <w:lang w:eastAsia="en-US"/>
        </w:rPr>
        <w:t>Технические требования на оказание</w:t>
      </w:r>
    </w:p>
    <w:p>
      <w:pPr>
        <w:pStyle w:val="Normal"/>
        <w:bidi w:val="0"/>
        <w:jc w:val="center"/>
        <w:rPr/>
      </w:pP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 </w:t>
      </w:r>
      <w:r>
        <w:rPr>
          <w:b/>
          <w:bCs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КПД 2: 71.20.19.190 Услуги по обследованию металлоконструкций, механизмов и устройств безопасности грузоподъемного устройства плавучего крана «КПЛ-83» для нужд Саратовского транспортного участка Приволжского филиала АО «ТК РусГидро»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Heading1"/>
        <w:numPr>
          <w:ilvl w:val="0"/>
          <w:numId w:val="2"/>
        </w:numPr>
        <w:spacing w:lineRule="auto" w:line="360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  <w:lang w:eastAsia="en-US"/>
        </w:rPr>
        <w:t xml:space="preserve">Лот №_______-ТО ПРОД-2027-ТК-ПриволФ   </w:t>
      </w:r>
    </w:p>
    <w:p>
      <w:pPr>
        <w:pStyle w:val="Heading1"/>
        <w:numPr>
          <w:ilvl w:val="0"/>
          <w:numId w:val="2"/>
        </w:numPr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  <w:bCs/>
          <w:i w:val="false"/>
          <w:i w:val="false"/>
          <w:iCs w:val="false"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0"/>
        </w:numPr>
        <w:spacing w:lineRule="auto" w:line="360"/>
        <w:ind w:left="0" w:right="0" w:hanging="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Heading1"/>
        <w:numPr>
          <w:ilvl w:val="0"/>
          <w:numId w:val="2"/>
        </w:numPr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spacing w:lineRule="auto" w:line="360"/>
        <w:rPr>
          <w:rFonts w:eastAsia="Calibri"/>
          <w:b w:val="false"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 w:val="false"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rFonts w:eastAsia="Calibri"/>
          <w:b/>
          <w:bCs/>
          <w:i/>
          <w:i/>
          <w:iCs w:val="false"/>
          <w:sz w:val="24"/>
          <w:szCs w:val="24"/>
          <w:lang w:eastAsia="en-US"/>
        </w:rPr>
      </w:pPr>
      <w:r>
        <w:rPr>
          <w:rFonts w:eastAsia="Calibri"/>
          <w:b/>
          <w:bCs/>
          <w:i/>
          <w:iCs w:val="false"/>
          <w:sz w:val="24"/>
          <w:szCs w:val="24"/>
          <w:lang w:eastAsia="en-US"/>
        </w:rPr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numPr>
          <w:ilvl w:val="0"/>
          <w:numId w:val="3"/>
        </w:numPr>
        <w:ind w:left="426" w:right="0" w:hanging="426"/>
        <w:rPr>
          <w:sz w:val="24"/>
          <w:szCs w:val="24"/>
        </w:rPr>
      </w:pPr>
      <w:r>
        <w:rPr>
          <w:b/>
          <w:sz w:val="24"/>
          <w:szCs w:val="24"/>
        </w:rPr>
        <w:t>Общие сведения …………………………………………………………………………… 3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ind w:left="675" w:right="0" w:hanging="363"/>
        <w:rPr>
          <w:sz w:val="24"/>
          <w:szCs w:val="24"/>
        </w:rPr>
      </w:pPr>
      <w:r>
        <w:rPr>
          <w:sz w:val="24"/>
          <w:szCs w:val="24"/>
        </w:rPr>
        <w:t>Обозначения и сокращения                                                                                                3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ind w:left="675" w:right="0" w:hanging="363"/>
        <w:rPr>
          <w:sz w:val="24"/>
          <w:szCs w:val="24"/>
        </w:rPr>
      </w:pPr>
      <w:r>
        <w:rPr>
          <w:sz w:val="24"/>
          <w:szCs w:val="24"/>
        </w:rPr>
        <w:t>Наименование закупаемой продукции                                                                              3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ind w:left="675" w:right="0" w:hanging="363"/>
        <w:rPr>
          <w:sz w:val="24"/>
          <w:szCs w:val="24"/>
        </w:rPr>
      </w:pPr>
      <w:r>
        <w:rPr>
          <w:sz w:val="24"/>
          <w:szCs w:val="24"/>
        </w:rPr>
        <w:t>Цели оказания услуг                                                                                                            3</w:t>
      </w:r>
    </w:p>
    <w:p>
      <w:pPr>
        <w:pStyle w:val="Normal"/>
        <w:widowControl/>
        <w:numPr>
          <w:ilvl w:val="1"/>
          <w:numId w:val="3"/>
        </w:numPr>
        <w:suppressAutoHyphens w:val="true"/>
        <w:bidi w:val="0"/>
        <w:ind w:left="675" w:right="0" w:hanging="363"/>
        <w:rPr>
          <w:b/>
          <w:bCs/>
          <w:i/>
          <w:i/>
          <w:iCs/>
          <w:sz w:val="24"/>
          <w:szCs w:val="24"/>
        </w:rPr>
      </w:pPr>
      <w:r>
        <w:rPr>
          <w:sz w:val="24"/>
          <w:szCs w:val="24"/>
        </w:rPr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 этапе исполнения договора).                                                                      3</w:t>
      </w:r>
    </w:p>
    <w:p>
      <w:pPr>
        <w:pStyle w:val="Normal"/>
        <w:numPr>
          <w:ilvl w:val="1"/>
        </w:numPr>
        <w:ind w:left="786" w:right="0" w:hanging="360"/>
        <w:rPr>
          <w:b/>
          <w:b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Таблица 1. Перечень объектов заказчика</w:t>
      </w:r>
      <w:r>
        <w:rPr>
          <w:b/>
          <w:bCs/>
          <w:sz w:val="24"/>
          <w:szCs w:val="24"/>
        </w:rPr>
        <w:t xml:space="preserve"> …………………………………………….….3</w:t>
      </w:r>
    </w:p>
    <w:p>
      <w:pPr>
        <w:pStyle w:val="Normal"/>
        <w:numPr>
          <w:ilvl w:val="0"/>
          <w:numId w:val="3"/>
        </w:numPr>
        <w:ind w:left="426" w:right="0" w:hanging="426"/>
        <w:rPr>
          <w:sz w:val="24"/>
          <w:szCs w:val="24"/>
        </w:rPr>
      </w:pPr>
      <w:r>
        <w:rPr>
          <w:b/>
          <w:bCs/>
          <w:sz w:val="24"/>
          <w:szCs w:val="24"/>
        </w:rPr>
        <w:t>Требования к продукции …………………………………………………………………..3</w:t>
      </w:r>
    </w:p>
    <w:p>
      <w:pPr>
        <w:pStyle w:val="Normal"/>
        <w:numPr>
          <w:ilvl w:val="0"/>
        </w:numPr>
        <w:ind w:left="426" w:right="0" w:hanging="0"/>
        <w:rPr>
          <w:bCs/>
          <w:sz w:val="24"/>
          <w:szCs w:val="24"/>
        </w:rPr>
      </w:pPr>
      <w:r>
        <w:rPr>
          <w:sz w:val="24"/>
          <w:szCs w:val="24"/>
        </w:rPr>
        <w:t xml:space="preserve">2.1 </w:t>
      </w:r>
      <w:r>
        <w:rPr>
          <w:bCs/>
          <w:sz w:val="24"/>
          <w:szCs w:val="24"/>
        </w:rPr>
        <w:t>Требования к объемам и срокам оказания услуг                                                             3</w:t>
      </w:r>
    </w:p>
    <w:p>
      <w:pPr>
        <w:pStyle w:val="Normal"/>
        <w:ind w:left="426" w:right="0" w:hanging="0"/>
        <w:rPr>
          <w:b/>
          <w:i/>
          <w:i/>
          <w:iCs/>
          <w:sz w:val="24"/>
          <w:szCs w:val="24"/>
          <w:lang w:val="ru-RU"/>
        </w:rPr>
      </w:pPr>
      <w:r>
        <w:rPr>
          <w:bCs/>
          <w:sz w:val="24"/>
          <w:szCs w:val="24"/>
        </w:rPr>
        <w:t>2.1.1 Требования к перечню</w:t>
      </w:r>
      <w:r>
        <w:rPr>
          <w:sz w:val="24"/>
          <w:szCs w:val="24"/>
        </w:rPr>
        <w:t xml:space="preserve"> и объему услуг                                                                          3</w:t>
      </w:r>
    </w:p>
    <w:p>
      <w:pPr>
        <w:pStyle w:val="Normal"/>
        <w:ind w:left="426" w:right="0" w:hanging="0"/>
        <w:rPr>
          <w:sz w:val="24"/>
          <w:szCs w:val="24"/>
        </w:rPr>
      </w:pPr>
      <w:r>
        <w:rPr>
          <w:b/>
          <w:i/>
          <w:iCs/>
          <w:sz w:val="24"/>
          <w:szCs w:val="24"/>
          <w:lang w:val="ru-RU"/>
        </w:rPr>
        <w:t xml:space="preserve">Таблица </w:t>
      </w:r>
      <w:r>
        <w:rPr>
          <w:b/>
          <w:i/>
          <w:iCs/>
          <w:sz w:val="24"/>
          <w:szCs w:val="24"/>
        </w:rPr>
        <w:t>2.</w:t>
      </w:r>
      <w:r>
        <w:rPr>
          <w:b/>
          <w:i/>
          <w:iCs/>
          <w:sz w:val="24"/>
          <w:szCs w:val="24"/>
          <w:lang w:val="ru-RU"/>
        </w:rPr>
        <w:t xml:space="preserve"> </w:t>
      </w:r>
      <w:r>
        <w:rPr>
          <w:b/>
          <w:i/>
          <w:iCs/>
          <w:sz w:val="24"/>
          <w:szCs w:val="24"/>
        </w:rPr>
        <w:t>Перечень и объем оказываемых услуг</w:t>
      </w:r>
      <w:r>
        <w:rPr>
          <w:b/>
          <w:sz w:val="24"/>
          <w:szCs w:val="24"/>
        </w:rPr>
        <w:t xml:space="preserve"> ………………………………………..4</w:t>
      </w:r>
    </w:p>
    <w:p>
      <w:pPr>
        <w:pStyle w:val="Normal"/>
        <w:ind w:left="426" w:right="0" w:hanging="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2.1.2 Требования к срокам оказания услуг                                                                             4</w:t>
      </w:r>
    </w:p>
    <w:p>
      <w:pPr>
        <w:pStyle w:val="Heading4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ru-RU"/>
        </w:rPr>
        <w:t xml:space="preserve">Таблица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3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ru-RU"/>
        </w:rPr>
        <w:t xml:space="preserve">. Требования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к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ru-RU"/>
        </w:rPr>
        <w:t xml:space="preserve"> срокам </w:t>
      </w:r>
      <w:r>
        <w:rPr>
          <w:rFonts w:cs="Times New Roman" w:ascii="Times New Roman" w:hAnsi="Times New Roman"/>
          <w:b/>
          <w:i/>
          <w:iCs/>
          <w:sz w:val="24"/>
          <w:szCs w:val="24"/>
        </w:rPr>
        <w:t>оказания услуг………………………………………</w:t>
      </w:r>
      <w:r>
        <w:rPr>
          <w:rFonts w:cs="Times New Roman" w:ascii="Times New Roman" w:hAnsi="Times New Roman"/>
          <w:b/>
          <w:sz w:val="24"/>
          <w:szCs w:val="24"/>
        </w:rPr>
        <w:t>.….4</w:t>
      </w:r>
    </w:p>
    <w:p>
      <w:pPr>
        <w:pStyle w:val="Heading4"/>
        <w:keepNext w:val="true"/>
        <w:widowControl/>
        <w:numPr>
          <w:ilvl w:val="3"/>
          <w:numId w:val="2"/>
        </w:numPr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ru-RU"/>
        </w:rPr>
        <w:t xml:space="preserve">     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  <w:lang w:val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ru-RU"/>
        </w:rPr>
        <w:t>2.2. Требования к качеству услуг                                                                                             4</w:t>
      </w:r>
    </w:p>
    <w:p>
      <w:pPr>
        <w:pStyle w:val="Heading4"/>
        <w:widowControl/>
        <w:numPr>
          <w:ilvl w:val="3"/>
          <w:numId w:val="2"/>
        </w:numPr>
        <w:suppressAutoHyphens w:val="true"/>
        <w:overflowPunct w:val="true"/>
        <w:bidi w:val="0"/>
        <w:spacing w:before="0" w:after="0"/>
        <w:ind w:left="0" w:right="0" w:hanging="0"/>
        <w:jc w:val="left"/>
        <w:rPr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val="ru-RU"/>
        </w:rPr>
        <w:t xml:space="preserve">       </w:t>
      </w:r>
      <w:r>
        <w:rPr>
          <w:rFonts w:cs="Times New Roman" w:ascii="Times New Roman" w:hAnsi="Times New Roman"/>
          <w:b/>
          <w:i/>
          <w:iCs/>
          <w:sz w:val="24"/>
          <w:szCs w:val="24"/>
          <w:lang w:val="ru-RU"/>
        </w:rPr>
        <w:t xml:space="preserve">Таблица 4. Требования к качеству услуг                                                                               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  <w:lang w:val="ru-RU"/>
        </w:rPr>
        <w:t>4</w:t>
      </w:r>
    </w:p>
    <w:p>
      <w:pPr>
        <w:pStyle w:val="Normal"/>
        <w:numPr>
          <w:ilvl w:val="0"/>
          <w:numId w:val="3"/>
        </w:numPr>
        <w:ind w:left="426" w:right="0" w:hanging="426"/>
        <w:rPr>
          <w:b/>
          <w:sz w:val="24"/>
          <w:szCs w:val="24"/>
          <w:shd w:fill="auto" w:val="clear"/>
        </w:rPr>
      </w:pPr>
      <w:r>
        <w:rPr>
          <w:b/>
          <w:sz w:val="24"/>
          <w:szCs w:val="24"/>
        </w:rPr>
        <w:t>Требования к документации по ценообразованию на этапе закупки ………………..6</w:t>
      </w:r>
    </w:p>
    <w:p>
      <w:pPr>
        <w:pStyle w:val="Normal"/>
        <w:numPr>
          <w:ilvl w:val="0"/>
        </w:numPr>
        <w:rPr>
          <w:b/>
          <w:sz w:val="24"/>
          <w:szCs w:val="24"/>
          <w:shd w:fill="auto" w:val="clear"/>
        </w:rPr>
      </w:pPr>
      <w:r>
        <w:rPr>
          <w:b/>
          <w:sz w:val="24"/>
          <w:szCs w:val="24"/>
          <w:shd w:fill="auto" w:val="clear"/>
        </w:rPr>
        <w:t>4. Требования к документации по ценообразованию на этапе заключения (исполнения)</w:t>
      </w:r>
    </w:p>
    <w:p>
      <w:pPr>
        <w:pStyle w:val="Normal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auto" w:val="clear"/>
        </w:rPr>
        <w:t>………………………………………………………………………………………………………</w:t>
      </w:r>
      <w:r>
        <w:rPr>
          <w:b/>
          <w:sz w:val="24"/>
          <w:szCs w:val="24"/>
          <w:shd w:fill="auto" w:val="clear"/>
        </w:rPr>
        <w:t>.6</w:t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Normal"/>
        <w:jc w:val="center"/>
        <w:rPr>
          <w:b/>
          <w:sz w:val="24"/>
          <w:szCs w:val="24"/>
          <w:shd w:fill="FFFF00" w:val="clear"/>
        </w:rPr>
      </w:pPr>
      <w:r>
        <w:rPr>
          <w:b/>
          <w:sz w:val="24"/>
          <w:szCs w:val="24"/>
          <w:shd w:fill="FFFF00" w:val="clear"/>
        </w:rPr>
      </w:r>
    </w:p>
    <w:p>
      <w:pPr>
        <w:pStyle w:val="Heading1"/>
        <w:numPr>
          <w:ilvl w:val="0"/>
          <w:numId w:val="2"/>
        </w:numPr>
        <w:spacing w:lineRule="auto" w:line="360"/>
        <w:jc w:val="left"/>
        <w:rPr>
          <w:rFonts w:eastAsia="Calibri"/>
          <w:b w:val="false"/>
          <w:sz w:val="26"/>
          <w:szCs w:val="26"/>
        </w:rPr>
      </w:pPr>
      <w:r>
        <w:rPr>
          <w:rFonts w:eastAsia="Calibri"/>
          <w:b w:val="false"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numPr>
          <w:ilvl w:val="0"/>
          <w:numId w:val="4"/>
        </w:numPr>
        <w:spacing w:before="120" w:after="60"/>
        <w:jc w:val="center"/>
        <w:outlineLvl w:val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sz w:val="28"/>
          <w:szCs w:val="28"/>
        </w:rPr>
        <w:t>Общие сведения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432" w:right="0" w:hanging="432"/>
        <w:outlineLvl w:val="3"/>
        <w:rPr>
          <w:rFonts w:eastAsia="Calibri"/>
          <w:b/>
          <w:bCs/>
          <w:i/>
          <w:i/>
          <w:iCs/>
          <w:sz w:val="26"/>
          <w:szCs w:val="26"/>
          <w:shd w:fill="FFFF99" w:val="clear"/>
          <w:lang w:val="ru-RU"/>
        </w:rPr>
      </w:pPr>
      <w:r>
        <w:rPr>
          <w:rFonts w:eastAsia="Calibri"/>
          <w:b/>
          <w:bCs/>
          <w:sz w:val="24"/>
          <w:szCs w:val="24"/>
        </w:rPr>
        <w:t xml:space="preserve">1.1 </w:t>
      </w:r>
      <w:r>
        <w:rPr>
          <w:rFonts w:eastAsia="Calibri"/>
          <w:b/>
          <w:bCs/>
          <w:sz w:val="24"/>
          <w:szCs w:val="24"/>
          <w:lang w:val="ru-RU"/>
        </w:rPr>
        <w:t>Обозначения и сокращения</w:t>
      </w:r>
    </w:p>
    <w:p>
      <w:pPr>
        <w:pStyle w:val="Normal"/>
        <w:rPr>
          <w:rFonts w:eastAsia="Calibri"/>
          <w:b/>
          <w:bCs/>
          <w:i/>
          <w:i/>
          <w:iCs/>
          <w:sz w:val="26"/>
          <w:szCs w:val="26"/>
          <w:shd w:fill="FFFF99" w:val="clear"/>
          <w:lang w:val="ru-RU"/>
        </w:rPr>
      </w:pPr>
      <w:r>
        <w:rPr>
          <w:rFonts w:eastAsia="Calibri"/>
          <w:b/>
          <w:bCs/>
          <w:i/>
          <w:iCs/>
          <w:sz w:val="26"/>
          <w:szCs w:val="26"/>
          <w:shd w:fill="FFFF99" w:val="clear"/>
          <w:lang w:val="ru-RU"/>
        </w:rPr>
      </w:r>
    </w:p>
    <w:tbl>
      <w:tblPr>
        <w:tblW w:w="97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7489"/>
      </w:tblGrid>
      <w:tr>
        <w:trPr>
          <w:trHeight w:val="330" w:hRule="atLeast"/>
          <w:cantSplit w:val="true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РФ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Российская Федерация</w:t>
            </w:r>
          </w:p>
        </w:tc>
      </w:tr>
      <w:tr>
        <w:trPr>
          <w:cantSplit w:val="true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АО «ТК РусГидро»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Акционерное общество «Транспортной компании РусГидро»</w:t>
            </w:r>
          </w:p>
        </w:tc>
      </w:tr>
      <w:tr>
        <w:trPr>
          <w:trHeight w:val="445" w:hRule="atLeast"/>
          <w:cantSplit w:val="true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ФЗ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</w:t>
            </w:r>
          </w:p>
        </w:tc>
      </w:tr>
      <w:tr>
        <w:trPr>
          <w:cantSplit w:val="true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right="0" w:hanging="0"/>
              <w:jc w:val="left"/>
              <w:rPr>
                <w:sz w:val="24"/>
              </w:rPr>
            </w:pPr>
            <w:r>
              <w:rPr>
                <w:sz w:val="24"/>
              </w:rPr>
              <w:t>РКО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Квалификационное Общество</w:t>
            </w:r>
          </w:p>
        </w:tc>
      </w:tr>
      <w:tr>
        <w:trPr>
          <w:cantSplit w:val="true"/>
        </w:trPr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bidi w:val="0"/>
              <w:spacing w:before="57" w:after="57"/>
              <w:ind w:righ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ПОСЭ</w:t>
            </w:r>
          </w:p>
        </w:tc>
        <w:tc>
          <w:tcPr>
            <w:tcW w:w="7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right="0" w:hanging="0"/>
              <w:jc w:val="left"/>
              <w:rPr>
                <w:bCs/>
                <w:spacing w:val="-2"/>
                <w:sz w:val="24"/>
                <w:szCs w:val="28"/>
              </w:rPr>
            </w:pPr>
            <w:r>
              <w:rPr>
                <w:bCs/>
                <w:spacing w:val="-2"/>
                <w:sz w:val="24"/>
                <w:szCs w:val="28"/>
              </w:rPr>
              <w:t>Правила освидетельствования судов в эксплуатации</w:t>
            </w:r>
          </w:p>
        </w:tc>
      </w:tr>
    </w:tbl>
    <w:p>
      <w:pPr>
        <w:pStyle w:val="Normal"/>
        <w:numPr>
          <w:ilvl w:val="1"/>
          <w:numId w:val="7"/>
        </w:numPr>
        <w:ind w:left="426" w:right="0" w:hanging="426"/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pacing w:val="-2"/>
          <w:sz w:val="24"/>
          <w:szCs w:val="28"/>
          <w:u w:val="none"/>
          <w:em w:val="none"/>
        </w:rPr>
      </w:pPr>
      <w:r>
        <w:rPr>
          <w:b/>
          <w:bCs/>
          <w:sz w:val="24"/>
          <w:szCs w:val="24"/>
        </w:rPr>
        <w:t>Наименование закупаемой продукции</w:t>
      </w:r>
    </w:p>
    <w:p>
      <w:pPr>
        <w:pStyle w:val="Normal"/>
        <w:numPr>
          <w:ilvl w:val="1"/>
        </w:numPr>
        <w:jc w:val="both"/>
        <w:rPr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pacing w:val="-2"/>
          <w:sz w:val="24"/>
          <w:szCs w:val="28"/>
          <w:u w:val="none"/>
          <w:em w:val="none"/>
        </w:rPr>
      </w:pPr>
      <w:r>
        <w:rPr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spacing w:val="-2"/>
          <w:sz w:val="24"/>
          <w:szCs w:val="28"/>
          <w:u w:val="none"/>
          <w:em w:val="none"/>
        </w:rPr>
        <w:t>ОКПД 2: 71.20.19.190 Услуги по обследованию металлоконструкций, механизмов и устройств безопасности грузоподъемного устройства плавучего крана «КПЛ-83» для нужд Саратовского транспортного участка Приволжского филиала АО «ТК РусГидро»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7"/>
        </w:numPr>
        <w:ind w:left="426" w:right="0" w:hanging="426"/>
        <w:jc w:val="both"/>
        <w:outlineLvl w:val="8"/>
        <w:rPr>
          <w:bCs/>
          <w:spacing w:val="-2"/>
          <w:sz w:val="24"/>
          <w:szCs w:val="28"/>
        </w:rPr>
      </w:pPr>
      <w:r>
        <w:rPr>
          <w:b/>
          <w:bCs/>
          <w:spacing w:val="-10"/>
          <w:sz w:val="24"/>
          <w:szCs w:val="24"/>
        </w:rPr>
        <w:t>Цель оказания услуг</w:t>
      </w:r>
    </w:p>
    <w:p>
      <w:pPr>
        <w:pStyle w:val="Normal"/>
        <w:numPr>
          <w:ilvl w:val="1"/>
        </w:numPr>
        <w:ind w:right="0" w:hanging="0"/>
        <w:jc w:val="both"/>
        <w:rPr/>
      </w:pPr>
      <w:r>
        <w:rPr>
          <w:bCs/>
          <w:spacing w:val="-2"/>
          <w:sz w:val="24"/>
          <w:szCs w:val="28"/>
        </w:rPr>
        <w:t>1.3.1.</w:t>
        <w:tab/>
        <w:t>В связи с превышением нормативного срока службы грузоподъемного устройства    «КПЛ-83», согласно «Правил освидетельствования судов в процессе их эксплуатации», утвержденных приказом от 09.09.2015г. № 34-п Российского Классификационного Общества, в части п.  11.1.4,</w:t>
        <w:tab/>
        <w:t xml:space="preserve"> необходимо провести обследование металлоконструкций, механизмов и устройств безопасности плавучего крана «КПЛ-83», с целью определения возможности его дальнейшей эксплуатации.</w:t>
      </w:r>
    </w:p>
    <w:p>
      <w:pPr>
        <w:pStyle w:val="Normal"/>
        <w:ind w:right="0" w:hanging="0"/>
        <w:jc w:val="both"/>
        <w:rPr/>
      </w:pPr>
      <w:r>
        <w:rPr>
          <w:bCs/>
          <w:spacing w:val="-2"/>
          <w:sz w:val="24"/>
          <w:szCs w:val="28"/>
        </w:rPr>
        <w:t>1.3.2.</w:t>
        <w:tab/>
        <w:t>Получение заключения обследования металлоконструкций, механизмов и устройств безопасности плавучего крана «КПЛ-83» с датой следующего технического обследования подъемного сооружения.</w:t>
      </w:r>
    </w:p>
    <w:p>
      <w:pPr>
        <w:pStyle w:val="Normal"/>
        <w:ind w:right="0" w:firstLine="142"/>
        <w:jc w:val="both"/>
        <w:rPr/>
      </w:pPr>
      <w:r>
        <w:rPr/>
      </w:r>
      <w:bookmarkStart w:id="0" w:name="_Hlk49857604"/>
      <w:bookmarkStart w:id="1" w:name="_Hlk49857604"/>
    </w:p>
    <w:p>
      <w:pPr>
        <w:pStyle w:val="Normal"/>
        <w:jc w:val="both"/>
        <w:rPr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1.4   Информация в отношении исполнения договора, </w:t>
      </w:r>
      <w:bookmarkStart w:id="2" w:name="_Hlk46492347"/>
      <w:r>
        <w:rPr>
          <w:b/>
          <w:bCs/>
          <w:spacing w:val="-10"/>
          <w:sz w:val="24"/>
          <w:szCs w:val="24"/>
        </w:rPr>
        <w:t xml:space="preserve">которая должна быть учтена при подготовке заявки </w:t>
      </w:r>
      <w:bookmarkEnd w:id="2"/>
      <w:r>
        <w:rPr>
          <w:b/>
          <w:bCs/>
          <w:spacing w:val="-10"/>
          <w:sz w:val="24"/>
          <w:szCs w:val="24"/>
        </w:rPr>
        <w:t>(в том числе перечень ресурсов, услуг и документов, предоставляемых заказчиком на этапе исполнения договора)</w:t>
      </w:r>
      <w:bookmarkEnd w:id="1"/>
    </w:p>
    <w:p>
      <w:pPr>
        <w:pStyle w:val="Normal"/>
        <w:jc w:val="both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 xml:space="preserve">1.4.1 Режим оказания услуг: </w:t>
      </w:r>
    </w:p>
    <w:p>
      <w:pPr>
        <w:pStyle w:val="Normal"/>
        <w:ind w:right="0" w:hanging="0"/>
        <w:jc w:val="both"/>
        <w:rPr>
          <w:sz w:val="24"/>
          <w:szCs w:val="24"/>
        </w:rPr>
      </w:pPr>
      <w:r>
        <w:rPr>
          <w:bCs/>
          <w:spacing w:val="-10"/>
          <w:sz w:val="24"/>
          <w:szCs w:val="24"/>
        </w:rPr>
        <w:t xml:space="preserve"> </w:t>
      </w:r>
      <w:r>
        <w:rPr>
          <w:bCs/>
          <w:spacing w:val="-10"/>
          <w:sz w:val="24"/>
          <w:szCs w:val="24"/>
        </w:rPr>
        <w:t>- по истечении 24 месяцев с даты последнего  освидетельствования.</w:t>
      </w:r>
    </w:p>
    <w:p>
      <w:pPr>
        <w:pStyle w:val="Normal"/>
        <w:tabs>
          <w:tab w:val="clear" w:pos="720"/>
          <w:tab w:val="left" w:pos="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right="0" w:hanging="0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i/>
          <w:iCs/>
          <w:spacing w:val="-10"/>
          <w:sz w:val="24"/>
          <w:szCs w:val="24"/>
        </w:rPr>
        <w:t>Таблица 1. Перечень объектов заказчика</w:t>
      </w:r>
    </w:p>
    <w:p>
      <w:pPr>
        <w:pStyle w:val="Normal"/>
        <w:ind w:left="360" w:right="0" w:hanging="0"/>
        <w:jc w:val="both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</w:r>
    </w:p>
    <w:tbl>
      <w:tblPr>
        <w:tblW w:w="102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"/>
        <w:gridCol w:w="3675"/>
        <w:gridCol w:w="2674"/>
        <w:gridCol w:w="2096"/>
        <w:gridCol w:w="1354"/>
      </w:tblGrid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Наименование услуг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Расположение объекта </w:t>
              <w:br/>
            </w:r>
            <w:r>
              <w:rPr>
                <w:i/>
                <w:iCs/>
                <w:sz w:val="22"/>
                <w:szCs w:val="22"/>
              </w:rPr>
              <w:t>(место оказания услуг)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основного средства </w:t>
              <w:br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Примечания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>
        <w:trPr>
          <w:trHeight w:val="48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napToGrid w:val="false"/>
              <w:spacing w:before="0" w:after="0"/>
              <w:contextualSpacing/>
              <w:rPr>
                <w:rFonts w:ascii="Times New Roman" w:hAnsi="Times New Roman"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 w:eastAsia="Calibri"/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spacing w:val="-2"/>
                <w:sz w:val="22"/>
                <w:szCs w:val="22"/>
                <w:u w:val="none"/>
                <w:em w:val="none"/>
              </w:rPr>
            </w:pPr>
            <w:r>
              <w:rPr>
                <w:rFonts w:eastAsia="Calibri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spacing w:val="-2"/>
                <w:sz w:val="22"/>
                <w:szCs w:val="22"/>
                <w:u w:val="none"/>
                <w:em w:val="none"/>
              </w:rPr>
              <w:t>ОКПД 2: 71.20.19.190 Услуги по обследованию металлоконструкций, механизмов и устройств безопасности грузоподъемного устройства плавучего крана «КПЛ-83» для нужд Саратовского транспортного участка Приволжского филиала АО «ТК РусГидро»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  <w:shd w:fill="auto" w:val="clear"/>
              </w:rPr>
              <w:t>413800, Саратовская</w:t>
            </w:r>
            <w:r>
              <w:rPr>
                <w:i/>
                <w:iCs/>
                <w:sz w:val="22"/>
                <w:szCs w:val="22"/>
              </w:rPr>
              <w:t xml:space="preserve"> обл., г. Балаково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i w:val="false"/>
                <w:iCs w:val="false"/>
                <w:spacing w:val="-2"/>
                <w:sz w:val="22"/>
                <w:szCs w:val="22"/>
                <w:shd w:fill="auto" w:val="clear"/>
              </w:rPr>
              <w:t>Плавучий кран «КПЛ-83»,</w:t>
            </w:r>
            <w:r>
              <w:rPr>
                <w:rFonts w:eastAsia="Times New Roman" w:cs="Times New Roman"/>
                <w:i w:val="false"/>
                <w:iCs w:val="false"/>
                <w:sz w:val="22"/>
                <w:szCs w:val="22"/>
                <w:shd w:fill="auto" w:val="clear"/>
              </w:rPr>
              <w:t>гос. № В-16-4712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Cs/>
                <w:i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Приволжский филиал АО «ТК РусГидро»</w:t>
            </w:r>
          </w:p>
        </w:tc>
      </w:tr>
    </w:tbl>
    <w:p>
      <w:pPr>
        <w:pStyle w:val="Normal"/>
        <w:numPr>
          <w:ilvl w:val="0"/>
          <w:numId w:val="0"/>
        </w:numPr>
        <w:spacing w:before="0" w:after="0"/>
        <w:ind w:left="360" w:right="0" w:hanging="0"/>
        <w:contextualSpacing/>
        <w:rPr>
          <w:b/>
          <w:sz w:val="28"/>
          <w:szCs w:val="24"/>
        </w:rPr>
      </w:pPr>
      <w:r>
        <w:rPr>
          <w:b/>
          <w:sz w:val="28"/>
          <w:szCs w:val="24"/>
        </w:rPr>
      </w:r>
    </w:p>
    <w:p>
      <w:pPr>
        <w:pStyle w:val="Normal"/>
        <w:numPr>
          <w:ilvl w:val="0"/>
          <w:numId w:val="0"/>
        </w:numPr>
        <w:spacing w:before="0" w:after="0"/>
        <w:ind w:left="360" w:right="0" w:hanging="0"/>
        <w:contextualSpacing/>
        <w:rPr/>
      </w:pPr>
      <w:r>
        <w:rPr>
          <w:b/>
          <w:bCs/>
          <w:sz w:val="24"/>
          <w:szCs w:val="24"/>
        </w:rPr>
        <w:t>2.Требования к продукции</w:t>
      </w:r>
    </w:p>
    <w:p>
      <w:pPr>
        <w:pStyle w:val="Normal"/>
        <w:spacing w:before="0" w:after="0"/>
        <w:ind w:left="360" w:right="0" w:hanging="36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 Требования к объемам и срокам оказания услуг</w:t>
      </w:r>
    </w:p>
    <w:p>
      <w:pPr>
        <w:pStyle w:val="Normal"/>
        <w:spacing w:before="0" w:after="0"/>
        <w:ind w:left="360" w:right="0" w:hanging="360"/>
        <w:contextualSpacing/>
        <w:rPr>
          <w:rFonts w:eastAsia="Calibri"/>
          <w:b/>
          <w:i/>
          <w:i/>
          <w:i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t>2.1.1 Требования к перечню</w:t>
      </w:r>
      <w:r>
        <w:rPr>
          <w:rFonts w:eastAsia="Calibri"/>
          <w:b/>
          <w:sz w:val="24"/>
          <w:szCs w:val="24"/>
        </w:rPr>
        <w:t xml:space="preserve"> и объему услуг</w:t>
      </w:r>
    </w:p>
    <w:p>
      <w:pPr>
        <w:pStyle w:val="Normal"/>
        <w:spacing w:before="0" w:after="0"/>
        <w:ind w:right="0" w:hanging="0"/>
        <w:contextualSpacing/>
        <w:rPr>
          <w:rFonts w:eastAsia="Calibri"/>
          <w:b/>
          <w:i/>
          <w:i/>
          <w:iCs/>
          <w:sz w:val="24"/>
          <w:szCs w:val="24"/>
          <w:lang w:val="ru-RU"/>
        </w:rPr>
      </w:pPr>
      <w:r>
        <w:rPr>
          <w:rFonts w:eastAsia="Calibri"/>
          <w:b/>
          <w:i/>
          <w:iCs/>
          <w:sz w:val="24"/>
          <w:szCs w:val="24"/>
          <w:lang w:val="ru-RU"/>
        </w:rPr>
        <w:t>Таблица 2. Перечень и объем оказываемых услуг</w:t>
      </w:r>
    </w:p>
    <w:p>
      <w:pPr>
        <w:pStyle w:val="Normal"/>
        <w:spacing w:before="0" w:after="0"/>
        <w:ind w:right="0" w:hanging="0"/>
        <w:contextualSpacing/>
        <w:rPr>
          <w:rFonts w:eastAsia="Calibri"/>
          <w:b/>
          <w:i/>
          <w:i/>
          <w:iCs/>
          <w:sz w:val="24"/>
          <w:szCs w:val="24"/>
          <w:lang w:val="ru-RU"/>
        </w:rPr>
      </w:pPr>
      <w:r>
        <w:rPr>
          <w:rFonts w:eastAsia="Calibri"/>
          <w:b/>
          <w:i/>
          <w:iCs/>
          <w:sz w:val="24"/>
          <w:szCs w:val="24"/>
          <w:lang w:val="ru-RU"/>
        </w:rPr>
      </w:r>
    </w:p>
    <w:tbl>
      <w:tblPr>
        <w:tblW w:w="101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6695"/>
        <w:gridCol w:w="1415"/>
        <w:gridCol w:w="1091"/>
      </w:tblGrid>
      <w:tr>
        <w:trPr>
          <w:trHeight w:val="831" w:hRule="atLeast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№</w:t>
            </w:r>
            <w:r>
              <w:rPr>
                <w:sz w:val="21"/>
                <w:szCs w:val="21"/>
                <w:lang w:eastAsia="en-US"/>
              </w:rPr>
              <w:t xml:space="preserve"> </w:t>
            </w:r>
            <w:r>
              <w:rPr>
                <w:rFonts w:eastAsia="Calibri"/>
                <w:sz w:val="21"/>
                <w:szCs w:val="21"/>
                <w:lang w:eastAsia="en-US"/>
              </w:rPr>
              <w:t>п/п</w:t>
            </w:r>
          </w:p>
        </w:tc>
        <w:tc>
          <w:tcPr>
            <w:tcW w:w="6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80" w:before="100" w:after="100"/>
              <w:jc w:val="center"/>
              <w:textAlignment w:val="baseline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>Наименование услуг/этапа услуг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Единица измерения</w:t>
            </w:r>
          </w:p>
        </w:tc>
        <w:tc>
          <w:tcPr>
            <w:tcW w:w="1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Количество</w:t>
            </w:r>
            <w:r>
              <w:rPr>
                <w:rFonts w:eastAsia="Calibri"/>
                <w:sz w:val="21"/>
                <w:szCs w:val="21"/>
                <w:vertAlign w:val="superscript"/>
                <w:lang w:eastAsia="en-US"/>
              </w:rPr>
              <w:t>*</w:t>
            </w:r>
          </w:p>
        </w:tc>
      </w:tr>
      <w:tr>
        <w:trPr>
          <w:trHeight w:val="361" w:hRule="atLeast"/>
        </w:trPr>
        <w:tc>
          <w:tcPr>
            <w:tcW w:w="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66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80" w:before="100" w:after="100"/>
              <w:jc w:val="center"/>
              <w:textAlignment w:val="baseline"/>
              <w:rPr>
                <w:rFonts w:eastAsia="Calibri"/>
                <w:b/>
                <w:sz w:val="21"/>
                <w:szCs w:val="21"/>
              </w:rPr>
            </w:pPr>
            <w:r>
              <w:rPr>
                <w:rFonts w:eastAsia="Calibri"/>
                <w:b/>
                <w:sz w:val="21"/>
                <w:szCs w:val="21"/>
              </w:rPr>
              <w:t>2</w:t>
            </w:r>
          </w:p>
        </w:tc>
        <w:tc>
          <w:tcPr>
            <w:tcW w:w="1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10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/>
                <w:sz w:val="21"/>
                <w:szCs w:val="21"/>
                <w:lang w:eastAsia="en-US"/>
              </w:rPr>
            </w:pPr>
            <w:r>
              <w:rPr>
                <w:rFonts w:eastAsia="Calibri"/>
                <w:b/>
                <w:sz w:val="21"/>
                <w:szCs w:val="21"/>
                <w:lang w:eastAsia="en-US"/>
              </w:rPr>
              <w:t>4</w:t>
            </w:r>
          </w:p>
        </w:tc>
      </w:tr>
      <w:tr>
        <w:trPr>
          <w:trHeight w:val="289" w:hRule="atLeast"/>
        </w:trPr>
        <w:tc>
          <w:tcPr>
            <w:tcW w:w="95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 w:val="21"/>
                <w:szCs w:val="21"/>
                <w:lang w:eastAsia="en-US"/>
              </w:rPr>
              <w:t>1.</w:t>
            </w:r>
          </w:p>
        </w:tc>
        <w:tc>
          <w:tcPr>
            <w:tcW w:w="6695" w:type="dxa"/>
            <w:tcBorders>
              <w:left w:val="single" w:sz="2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ОКПД 2: 71.20.19.190 Услуги по обследованию металлоконструкций, механизмов и устройств безопасности грузоподъемного устройства плавучего крана «КПЛ-83» для нужд Саратовского транспортного участка Приволжского филиала АО «ТК РусГидро»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судно</w:t>
            </w:r>
          </w:p>
        </w:tc>
        <w:tc>
          <w:tcPr>
            <w:tcW w:w="1091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>
      <w:pPr>
        <w:pStyle w:val="Normal"/>
        <w:rPr>
          <w:rFonts w:eastAsia="Calibri"/>
          <w:b/>
          <w:sz w:val="24"/>
          <w:szCs w:val="24"/>
        </w:rPr>
      </w:pPr>
      <w:r>
        <w:rPr/>
        <w:t xml:space="preserve">*- объем оказываемых услуг является ориентировочным и Заказчик не несет ответственности за неполную выборку услуг на общую сумму договора. </w:t>
      </w:r>
    </w:p>
    <w:p>
      <w:pPr>
        <w:pStyle w:val="Normal"/>
        <w:numPr>
          <w:ilvl w:val="0"/>
          <w:numId w:val="0"/>
        </w:numPr>
        <w:spacing w:before="120" w:after="60"/>
        <w:ind w:left="0" w:right="0" w:hanging="0"/>
        <w:outlineLvl w:val="2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2.1.2 Требования к срокам оказания услуг</w:t>
      </w:r>
    </w:p>
    <w:p>
      <w:pPr>
        <w:pStyle w:val="Normal"/>
        <w:numPr>
          <w:ilvl w:val="0"/>
          <w:numId w:val="0"/>
        </w:numPr>
        <w:spacing w:before="120" w:after="60"/>
        <w:ind w:left="0" w:right="0" w:hanging="0"/>
        <w:outlineLvl w:val="2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</w:t>
      </w:r>
      <w:r>
        <w:rPr>
          <w:rFonts w:eastAsia="Calibri"/>
          <w:b/>
          <w:bCs/>
          <w:i/>
          <w:iCs/>
          <w:sz w:val="24"/>
          <w:szCs w:val="24"/>
          <w:shd w:fill="auto" w:val="clear"/>
          <w:lang w:val="ru-RU"/>
        </w:rPr>
        <w:t xml:space="preserve">Таблица </w:t>
      </w:r>
      <w:r>
        <w:rPr>
          <w:rFonts w:eastAsia="Calibri"/>
          <w:b/>
          <w:bCs/>
          <w:i/>
          <w:iCs/>
          <w:sz w:val="24"/>
          <w:szCs w:val="24"/>
          <w:shd w:fill="auto" w:val="clear"/>
        </w:rPr>
        <w:t>3</w:t>
      </w:r>
      <w:r>
        <w:rPr>
          <w:rFonts w:eastAsia="Calibri"/>
          <w:b/>
          <w:bCs/>
          <w:i/>
          <w:iCs/>
          <w:sz w:val="24"/>
          <w:szCs w:val="24"/>
          <w:shd w:fill="auto" w:val="clear"/>
          <w:lang w:val="ru-RU"/>
        </w:rPr>
        <w:t xml:space="preserve">. </w:t>
      </w:r>
      <w:bookmarkStart w:id="3" w:name="_Hlk50465284"/>
      <w:r>
        <w:rPr>
          <w:rFonts w:eastAsia="Calibri"/>
          <w:b/>
          <w:bCs/>
          <w:i/>
          <w:iCs/>
          <w:sz w:val="24"/>
          <w:szCs w:val="24"/>
          <w:shd w:fill="auto" w:val="clear"/>
          <w:lang w:val="ru-RU"/>
        </w:rPr>
        <w:t xml:space="preserve">Требования </w:t>
      </w:r>
      <w:r>
        <w:rPr>
          <w:rFonts w:eastAsia="Calibri"/>
          <w:b/>
          <w:bCs/>
          <w:i/>
          <w:iCs/>
          <w:sz w:val="24"/>
          <w:szCs w:val="24"/>
          <w:shd w:fill="auto" w:val="clear"/>
        </w:rPr>
        <w:t>к</w:t>
      </w:r>
      <w:r>
        <w:rPr>
          <w:rFonts w:eastAsia="Calibri"/>
          <w:b/>
          <w:bCs/>
          <w:i/>
          <w:iCs/>
          <w:sz w:val="24"/>
          <w:szCs w:val="24"/>
          <w:shd w:fill="auto" w:val="clear"/>
          <w:lang w:val="ru-RU"/>
        </w:rPr>
        <w:t xml:space="preserve"> срокам </w:t>
      </w:r>
      <w:bookmarkEnd w:id="3"/>
      <w:r>
        <w:rPr>
          <w:rFonts w:eastAsia="Calibri"/>
          <w:b/>
          <w:bCs/>
          <w:i/>
          <w:iCs/>
          <w:sz w:val="24"/>
          <w:szCs w:val="24"/>
          <w:shd w:fill="auto" w:val="clear"/>
        </w:rPr>
        <w:t>оказания услуг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389"/>
        <w:gridCol w:w="2099"/>
        <w:gridCol w:w="2160"/>
      </w:tblGrid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contextualSpacing/>
              <w:rPr>
                <w:rFonts w:eastAsia="Calibri"/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spacing w:val="-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spacing w:val="-2"/>
                <w:sz w:val="24"/>
                <w:szCs w:val="24"/>
                <w:u w:val="none"/>
                <w:em w:val="none"/>
              </w:rPr>
              <w:t>Срок действия договора:</w:t>
            </w:r>
          </w:p>
          <w:p>
            <w:pPr>
              <w:pStyle w:val="Normal"/>
              <w:widowControl w:val="false"/>
              <w:jc w:val="left"/>
              <w:rPr>
                <w:b w:val="false"/>
                <w:bCs w:val="false"/>
                <w:i/>
                <w:i/>
                <w:iCs/>
                <w:strike w:val="false"/>
                <w:dstrike w:val="false"/>
                <w:outline w:val="false"/>
                <w:shadow w:val="false"/>
                <w:spacing w:val="-2"/>
                <w:sz w:val="24"/>
                <w:szCs w:val="24"/>
                <w:u w:val="none"/>
                <w:em w:val="none"/>
              </w:rPr>
            </w:pPr>
            <w:r>
              <w:rPr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spacing w:val="-2"/>
                <w:sz w:val="24"/>
                <w:szCs w:val="24"/>
                <w:u w:val="none"/>
                <w:em w:val="none"/>
              </w:rPr>
              <w:t>ОКПД 2: 71.20.19.190 Услуги по обследованию металлоконструкций, механизмов и устройств безопасности грузоподъемного устройства плавучего крана «КПЛ-83» для нужд Саратовского транспортного участка Приволжского филиала АО «ТК РусГидро»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01.04.2027г.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i/>
                <w:iCs/>
                <w:sz w:val="24"/>
                <w:szCs w:val="24"/>
              </w:rPr>
              <w:t>31.12.2027 г.</w:t>
            </w:r>
          </w:p>
        </w:tc>
      </w:tr>
    </w:tbl>
    <w:p>
      <w:pPr>
        <w:pStyle w:val="Normal"/>
        <w:spacing w:before="0" w:after="0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Heading4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4"/>
          <w:szCs w:val="24"/>
        </w:rPr>
      </w:r>
    </w:p>
    <w:p>
      <w:pPr>
        <w:pStyle w:val="Heading4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2.2. Требования к 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lang w:val="ru-RU"/>
        </w:rPr>
        <w:t>качеству продукции</w:t>
      </w:r>
    </w:p>
    <w:p>
      <w:pPr>
        <w:pStyle w:val="Heading4"/>
        <w:keepNext w:val="true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Heading4"/>
        <w:widowControl/>
        <w:numPr>
          <w:ilvl w:val="0"/>
          <w:numId w:val="0"/>
        </w:numPr>
        <w:suppressAutoHyphens w:val="true"/>
        <w:overflowPunct w:val="true"/>
        <w:bidi w:val="0"/>
        <w:spacing w:before="0" w:after="0"/>
        <w:ind w:left="0" w:right="0" w:hanging="0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Таблица 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. Требования к </w:t>
      </w:r>
      <w:r>
        <w:rPr>
          <w:rFonts w:cs="Times New Roman" w:ascii="Times New Roman" w:hAnsi="Times New Roman"/>
          <w:i/>
          <w:iCs/>
          <w:sz w:val="24"/>
          <w:szCs w:val="24"/>
          <w:lang w:val="ru-RU"/>
        </w:rPr>
        <w:t>качеству продукции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</w:p>
    <w:p>
      <w:pPr>
        <w:pStyle w:val="Normal"/>
        <w:suppressAutoHyphens w:val="true"/>
        <w:overflowPunct w:val="true"/>
        <w:bidi w:val="0"/>
        <w:spacing w:before="0" w:after="0"/>
        <w:ind w:right="0" w:hanging="0"/>
        <w:jc w:val="left"/>
        <w:rPr/>
      </w:pPr>
      <w:r>
        <w:rPr>
          <w:rFonts w:cs="Times New Roman"/>
          <w:b/>
          <w:bCs/>
          <w:i w:val="false"/>
          <w:iCs w:val="false"/>
          <w:sz w:val="24"/>
          <w:szCs w:val="24"/>
        </w:rPr>
        <w:t xml:space="preserve">Наименование услуг/этапа услуг (позиция № 1 Таблицы 2):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</w:rPr>
        <w:t>ОКПД 2: 71.20.19.190 Услуги по обследованию металлоконструкций, механизмов и устройств безопасности грузоподъемного устройства плавучего крана «КПЛ-83» для нужд Саратовского транспортного участка Приволжского филиала АО «ТК РусГидро»</w:t>
      </w:r>
    </w:p>
    <w:p>
      <w:pPr>
        <w:pStyle w:val="Normal"/>
        <w:suppressAutoHyphens w:val="true"/>
        <w:overflowPunct w:val="true"/>
        <w:bidi w:val="0"/>
        <w:spacing w:before="0" w:after="0"/>
        <w:ind w:right="0" w:hanging="0"/>
        <w:jc w:val="left"/>
        <w:rPr/>
      </w:pPr>
      <w:r>
        <w:rPr/>
      </w:r>
    </w:p>
    <w:p>
      <w:pPr>
        <w:pStyle w:val="Normal"/>
        <w:suppressAutoHyphens w:val="true"/>
        <w:overflowPunct w:val="true"/>
        <w:bidi w:val="0"/>
        <w:spacing w:before="0" w:after="0"/>
        <w:ind w:right="0" w:hanging="0"/>
        <w:jc w:val="left"/>
        <w:rPr/>
      </w:pPr>
      <w:r>
        <w:rPr/>
      </w:r>
    </w:p>
    <w:p>
      <w:pPr>
        <w:pStyle w:val="Normal"/>
        <w:suppressAutoHyphens w:val="true"/>
        <w:overflowPunct w:val="true"/>
        <w:bidi w:val="0"/>
        <w:spacing w:before="0" w:after="0"/>
        <w:ind w:right="0" w:hanging="0"/>
        <w:jc w:val="left"/>
        <w:rPr/>
      </w:pPr>
      <w:r>
        <w:rPr/>
      </w:r>
    </w:p>
    <w:tbl>
      <w:tblPr>
        <w:tblW w:w="1033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5838"/>
        <w:gridCol w:w="1812"/>
        <w:gridCol w:w="1894"/>
      </w:tblGrid>
      <w:tr>
        <w:trPr/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п/п</w:t>
            </w:r>
          </w:p>
        </w:tc>
        <w:tc>
          <w:tcPr>
            <w:tcW w:w="5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/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 xml:space="preserve">                  </w:t>
            </w: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Требование заказчика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8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1"/>
                <w:szCs w:val="21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center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/>
                <w:bCs/>
                <w:sz w:val="22"/>
                <w:szCs w:val="22"/>
                <w:lang w:eastAsia="x-none"/>
              </w:rPr>
            </w:pPr>
            <w:r>
              <w:rPr>
                <w:b/>
                <w:bCs/>
                <w:sz w:val="22"/>
                <w:szCs w:val="22"/>
                <w:lang w:eastAsia="x-none"/>
              </w:rPr>
              <w:t>1.</w:t>
            </w:r>
          </w:p>
        </w:tc>
        <w:tc>
          <w:tcPr>
            <w:tcW w:w="9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9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1.1.1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Cs/>
                <w:i/>
                <w:iCs/>
                <w:kern w:val="0"/>
                <w:sz w:val="22"/>
                <w:szCs w:val="22"/>
                <w:shd w:fill="auto" w:val="clear"/>
                <w:lang w:val="ru-RU" w:eastAsia="ar-SA" w:bidi="ar-SA"/>
              </w:rPr>
              <w:t xml:space="preserve">1) </w:t>
            </w:r>
            <w:r>
              <w:rPr>
                <w:rFonts w:eastAsia="Calibri" w:cs="Times New Roman"/>
                <w:bCs/>
                <w:i/>
                <w:iCs/>
                <w:kern w:val="0"/>
                <w:sz w:val="22"/>
                <w:szCs w:val="22"/>
                <w:shd w:fill="auto" w:val="clear"/>
                <w:lang w:val="ru-RU" w:eastAsia="ar-SA" w:bidi="ar-SA"/>
              </w:rPr>
              <w:t>Качество услуг должно удовлетворять требованиям норм, нормативов и стандартов, принятых для данного вида услуг. Технология и методы оказания услуг – в полном соответствии со стандартами, и иными действующими на территории РФ нормативно-правовыми актами, Правилами техники безопасности, Требованиями охраны труда.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both"/>
              <w:rPr>
                <w:rFonts w:eastAsia="Calibri" w:cs="Times New Roman"/>
                <w:bCs/>
                <w:i/>
                <w:i/>
                <w:iCs/>
                <w:kern w:val="0"/>
                <w:sz w:val="22"/>
                <w:szCs w:val="22"/>
                <w:shd w:fill="auto" w:val="clear"/>
                <w:lang w:val="ru-RU" w:eastAsia="ar-SA" w:bidi="ar-SA"/>
              </w:rPr>
            </w:pPr>
            <w:r>
              <w:rPr>
                <w:rFonts w:eastAsia="Calibri" w:cs="Times New Roman"/>
                <w:bCs/>
                <w:i/>
                <w:iCs/>
                <w:kern w:val="0"/>
                <w:sz w:val="22"/>
                <w:szCs w:val="22"/>
                <w:shd w:fill="auto" w:val="clear"/>
                <w:lang w:val="ru-RU" w:eastAsia="ar-SA" w:bidi="ar-SA"/>
              </w:rPr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1.2.</w:t>
            </w:r>
          </w:p>
        </w:tc>
        <w:tc>
          <w:tcPr>
            <w:tcW w:w="9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/>
                <w:bCs/>
                <w:i w:val="false"/>
                <w:i w:val="false"/>
                <w:iCs w:val="false"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/>
                <w:bCs/>
                <w:i w:val="false"/>
                <w:iCs w:val="false"/>
                <w:kern w:val="0"/>
                <w:sz w:val="22"/>
                <w:szCs w:val="22"/>
                <w:lang w:val="ru-RU" w:eastAsia="ar-SA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1.2.1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Применять досмотровые технические средства охраны (переносные и стационарные), имеющиеся на охраняемом Объекте, с целью недопущения проноса (провоза) на охраняемый Объект вооружения, взрывчатых веществ и самодельных взрывных устройств и их элементов, а также других запрещенных предметов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1.3.</w:t>
            </w:r>
          </w:p>
        </w:tc>
        <w:tc>
          <w:tcPr>
            <w:tcW w:w="9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1.3.1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При пересылке файлов не допускается использование открытых файло-обменных сервисов.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2.</w:t>
            </w:r>
          </w:p>
        </w:tc>
        <w:tc>
          <w:tcPr>
            <w:tcW w:w="9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shd w:fill="auto" w:val="clear"/>
                <w:lang w:val="ru-RU" w:eastAsia="ar-SA" w:bidi="ar-SA"/>
              </w:rPr>
              <w:t>Требования к результатам услуг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2.1.</w:t>
            </w:r>
          </w:p>
        </w:tc>
        <w:tc>
          <w:tcPr>
            <w:tcW w:w="9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/>
                <w:bCs/>
                <w:kern w:val="0"/>
                <w:sz w:val="22"/>
                <w:szCs w:val="22"/>
                <w:lang w:val="ru-RU" w:eastAsia="ar-SA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>
          <w:trHeight w:val="485" w:hRule="atLeast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2.1.1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i/>
                <w:iCs/>
                <w:color w:val="000000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АКТ обследования грузоподъемного устройства КПЛ-83.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3.</w:t>
            </w:r>
          </w:p>
        </w:tc>
        <w:tc>
          <w:tcPr>
            <w:tcW w:w="9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3.1.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Calibri" w:cs="Times New Roman"/>
                <w:b w:val="false"/>
                <w:bCs w:val="false"/>
                <w:i/>
                <w:iCs/>
                <w:strike w:val="false"/>
                <w:dstrike w:val="false"/>
                <w:outline w:val="false"/>
                <w:shadow w:val="false"/>
                <w:color w:val="000000"/>
                <w:spacing w:val="-2"/>
                <w:kern w:val="0"/>
                <w:sz w:val="22"/>
                <w:szCs w:val="22"/>
                <w:u w:val="none"/>
                <w:shd w:fill="auto" w:val="clear"/>
                <w:em w:val="none"/>
                <w:lang w:val="ru-RU" w:eastAsia="ar-SA" w:bidi="ar-SA"/>
              </w:rPr>
              <w:t>Исполнитель обязан предоставить действующее свидетельство о признании Российского Квалификационного Общества на проведение обследования металлоконструкций, механизмов и устройств безопасности судовыз и плавучих кранов, в том числе отработавших нормативный срок службы для определения возможности их дальнейшей эксплуатации.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4.</w:t>
            </w:r>
          </w:p>
        </w:tc>
        <w:tc>
          <w:tcPr>
            <w:tcW w:w="954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shd w:fill="auto" w:val="clear"/>
                <w:lang w:val="ru-RU" w:eastAsia="ru-RU" w:bidi="ar-SA"/>
              </w:rPr>
              <w:t>Требования к обязательствам исполнителя, влияющим на исполнение договора</w:t>
            </w:r>
          </w:p>
        </w:tc>
      </w:tr>
      <w:tr>
        <w:trPr>
          <w:trHeight w:val="552" w:hRule="atLeast"/>
        </w:trPr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4.1</w:t>
            </w:r>
          </w:p>
        </w:tc>
        <w:tc>
          <w:tcPr>
            <w:tcW w:w="5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Исполнитель должен  обладать гражданской правоспособностью в полном объеме для заключения и исполнения Договора;</w:t>
            </w:r>
          </w:p>
        </w:tc>
        <w:tc>
          <w:tcPr>
            <w:tcW w:w="1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3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4.2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Исполнитель должен быть зарегистрирован в установленном порядке и находиться на налоговом учете в соответствии с требованиями Налогового кодекса РФ;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b/>
                <w:i/>
                <w:i/>
                <w:iCs/>
                <w:sz w:val="22"/>
                <w:szCs w:val="22"/>
              </w:rPr>
            </w:pPr>
            <w:r>
              <w:rPr>
                <w:b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b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1255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napToGrid w:val="false"/>
              <w:spacing w:lineRule="auto" w:line="240" w:before="0" w:after="0"/>
              <w:ind w:left="0" w:right="0" w:hanging="0"/>
              <w:contextualSpacing w:val="false"/>
              <w:jc w:val="left"/>
              <w:rPr>
                <w:b w:val="false"/>
                <w:bCs w:val="false"/>
                <w:sz w:val="22"/>
                <w:szCs w:val="22"/>
                <w:lang w:eastAsia="x-none"/>
              </w:rPr>
            </w:pPr>
            <w:r>
              <w:rPr>
                <w:b w:val="false"/>
                <w:bCs w:val="false"/>
                <w:sz w:val="22"/>
                <w:szCs w:val="22"/>
                <w:lang w:eastAsia="x-none"/>
              </w:rPr>
              <w:t>4.3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Исполнитель не должен являться неплатежеспособным или банкротом, не находиться в процессе ликвидации или реорганизации, на имущество исполнителя не должен быть наложен арест, его экономическая деятельность не должна быть приостановлена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contextualSpacing w:val="false"/>
              <w:jc w:val="left"/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x-none" w:bidi="ar-SA"/>
              </w:rPr>
              <w:t>4.4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Исполнитель должен исполнять свои обязательства по уплате налогов, сборов и иных обязательных платежей;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right="0" w:hanging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4.5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Исполнитель должен нести ответственность за качество оказанных услуг;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40" w:before="0" w:after="0"/>
              <w:ind w:right="0" w:hanging="0"/>
              <w:jc w:val="left"/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4.6.</w:t>
            </w:r>
          </w:p>
        </w:tc>
        <w:tc>
          <w:tcPr>
            <w:tcW w:w="5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contextualSpacing w:val="false"/>
              <w:jc w:val="left"/>
              <w:rPr>
                <w:rFonts w:cs="Times New Roman"/>
                <w:bCs/>
                <w:i/>
                <w:i/>
                <w:iCs/>
                <w:kern w:val="0"/>
                <w:sz w:val="22"/>
                <w:szCs w:val="22"/>
                <w:lang w:val="ru-RU" w:eastAsia="ar-SA" w:bidi="ar-SA"/>
              </w:rPr>
            </w:pPr>
            <w:r>
              <w:rPr>
                <w:rFonts w:cs="Times New Roman"/>
                <w:bCs/>
                <w:i/>
                <w:iCs/>
                <w:kern w:val="0"/>
                <w:sz w:val="22"/>
                <w:szCs w:val="22"/>
                <w:lang w:val="ru-RU" w:eastAsia="ar-SA" w:bidi="ar-SA"/>
              </w:rPr>
              <w:t>Исполнитель не должен быть включенным в реестр недобросовестных поставщиков, который ведется в соответствии с Федеральным Законом от 18.07.2011 №223-ФЗ «О закупках товаров, работ, услуг отдельными видами юридических лиц»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right="0" w:hanging="0"/>
              <w:jc w:val="left"/>
              <w:rPr>
                <w:rFonts w:eastAsia="Times New Roman" w:cs="Times New Roman"/>
                <w:bCs/>
                <w:i/>
                <w:i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overflowPunct w:val="true"/>
              <w:bidi w:val="0"/>
              <w:snapToGrid w:val="false"/>
              <w:spacing w:before="0" w:after="0"/>
              <w:ind w:right="0" w:hanging="0"/>
              <w:jc w:val="left"/>
              <w:rPr>
                <w:rFonts w:eastAsia="Times New Roman" w:cs="Times New Roman"/>
                <w:i/>
                <w:i/>
                <w:i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1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left"/>
              <w:outlineLvl w:val="2"/>
              <w:rPr>
                <w:rFonts w:eastAsia="Times New Roman" w:cs="Times New Roman"/>
                <w:b w:val="false"/>
                <w:i/>
                <w:i/>
                <w:i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i/>
                <w:iCs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</w:tr>
    </w:tbl>
    <w:p>
      <w:pPr>
        <w:pStyle w:val="Normal"/>
        <w:suppressAutoHyphens w:val="true"/>
        <w:overflowPunct w:val="true"/>
        <w:bidi w:val="0"/>
        <w:spacing w:before="0" w:after="0"/>
        <w:ind w:right="0" w:hanging="0"/>
        <w:jc w:val="left"/>
        <w:rPr>
          <w:b/>
          <w:sz w:val="24"/>
          <w:szCs w:val="24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sz w:val="24"/>
          <w:szCs w:val="24"/>
        </w:rPr>
        <w:t xml:space="preserve">   </w:t>
      </w:r>
      <w:r>
        <w:rPr>
          <w:b w:val="false"/>
          <w:bCs w:val="false"/>
          <w:i/>
          <w:iCs/>
          <w:sz w:val="24"/>
          <w:szCs w:val="24"/>
        </w:rPr>
        <w:t xml:space="preserve"> </w:t>
      </w:r>
      <w:r>
        <w:rPr>
          <w:b w:val="false"/>
          <w:bCs w:val="false"/>
          <w:i/>
          <w:iCs/>
          <w:sz w:val="24"/>
          <w:szCs w:val="24"/>
          <w:shd w:fill="auto" w:val="clear"/>
        </w:rPr>
        <w:t xml:space="preserve">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/>
          <w:sz w:val="24"/>
          <w:szCs w:val="24"/>
          <w:shd w:fill="auto" w:val="clear"/>
        </w:rPr>
        <w:t>Требования к документации по ценообразованию на этапе закупки</w:t>
      </w:r>
    </w:p>
    <w:p>
      <w:pPr>
        <w:pStyle w:val="Normal"/>
        <w:numPr>
          <w:ilvl w:val="0"/>
        </w:numPr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3.1. В обоснование стоимости своей заявки Исполнитель предоставляет Коммерческое предложение.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3.2. 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 (Приложение №2 к Документации о закупке)»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3.3. Дополнительные документы по ценообразованию (сметная документация) в состав заявки Участника не включаются.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/>
          <w:sz w:val="24"/>
          <w:szCs w:val="24"/>
          <w:shd w:fill="auto" w:val="clear"/>
        </w:rPr>
        <w:t>4. Требования к документации по ценообразованию на этапе заключения (исполнения) договора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4.1. В итоговый расчет стоимости оказания  включены все налоги, сборы, пошлины и прочие обязательные платежи, возникающие в ходе исполнения обязательств по договору, а также стоимость расходных материалов, используемых в ходе оказания услуг. 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>4.2. Стоимость 1 (одной) единицы услуг остается неизменной в течение всего срока действия договора.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  <w:shd w:fill="auto" w:val="clear"/>
        </w:rPr>
        <w:t>4.3. Заказчик оставляет за собой право не выбирать полный объем Услуг, указанный в настоящих технических требованиях.</w:t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709" w:leader="none"/>
        </w:tabs>
        <w:spacing w:before="0" w:after="0"/>
        <w:contextualSpacing/>
        <w:jc w:val="both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before="0" w:after="0"/>
        <w:ind w:right="-2" w:hanging="0"/>
        <w:contextualSpacing/>
        <w:jc w:val="both"/>
        <w:rPr>
          <w:bCs/>
          <w:color w:val="000000"/>
          <w:sz w:val="24"/>
          <w:szCs w:val="24"/>
          <w:shd w:fill="auto" w:val="clear"/>
        </w:rPr>
      </w:pPr>
      <w:r>
        <w:rPr/>
      </w:r>
    </w:p>
    <w:sectPr>
      <w:headerReference w:type="default" r:id="rId2"/>
      <w:type w:val="nextPage"/>
      <w:pgSz w:w="11906" w:h="16838"/>
      <w:pgMar w:left="1134" w:right="572" w:gutter="0" w:header="436" w:top="993" w:footer="0" w:bottom="41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Rockwell Condensed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>
    <w:pPr>
      <w:pStyle w:val="Header"/>
      <w:rPr>
        <w:sz w:val="24"/>
      </w:rPr>
    </w:pPr>
    <w:r>
      <w:rPr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i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6" w:hanging="360"/>
      </w:pPr>
      <w:rPr>
        <w:i w:val="false"/>
        <w:iCs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2" w:hanging="720"/>
      </w:pPr>
      <w:rPr>
        <w:i w:val="false"/>
        <w:i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78" w:hanging="720"/>
      </w:pPr>
      <w:rPr>
        <w:i w:val="false"/>
        <w:iCs w:val="fals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04" w:hanging="1080"/>
      </w:pPr>
      <w:rPr>
        <w:i w:val="false"/>
        <w:iCs w:val="fals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770" w:hanging="1080"/>
      </w:pPr>
      <w:rPr>
        <w:i w:val="false"/>
        <w:iCs w:val="fals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96" w:hanging="1440"/>
      </w:pPr>
      <w:rPr>
        <w:i w:val="false"/>
        <w:iCs w:val="fals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62" w:hanging="1440"/>
      </w:pPr>
      <w:rPr>
        <w:i w:val="false"/>
        <w:iCs w:val="fals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88" w:hanging="1800"/>
      </w:pPr>
      <w:rPr>
        <w:i w:val="false"/>
        <w:iCs w:val="false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786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Noto Serif CJK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tabs>
        <w:tab w:val="clear" w:pos="720"/>
        <w:tab w:val="left" w:pos="6521" w:leader="none"/>
        <w:tab w:val="left" w:pos="6946" w:leader="none"/>
      </w:tabs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2"/>
      </w:numPr>
      <w:tabs>
        <w:tab w:val="clear" w:pos="720"/>
        <w:tab w:val="left" w:pos="6521" w:leader="none"/>
        <w:tab w:val="left" w:pos="6946" w:leader="none"/>
      </w:tabs>
      <w:jc w:val="both"/>
      <w:outlineLvl w:val="1"/>
    </w:pPr>
    <w:rPr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2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WW8Num2z0">
    <w:name w:val="WW8Num2z0"/>
    <w:qFormat/>
    <w:rPr>
      <w:i w:val="false"/>
      <w:iCs w:val="false"/>
    </w:rPr>
  </w:style>
  <w:style w:type="character" w:styleId="WW8Num3z0">
    <w:name w:val="WW8Num3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4z0">
    <w:name w:val="WW8Num4z0"/>
    <w:qFormat/>
    <w:rPr/>
  </w:style>
  <w:style w:type="character" w:styleId="WW8Num7z0">
    <w:name w:val="WW8Num7z0"/>
    <w:qFormat/>
    <w:rPr/>
  </w:style>
  <w:style w:type="character" w:styleId="WW8Num1z0">
    <w:name w:val="WW8Num1z0"/>
    <w:qFormat/>
    <w:rPr>
      <w:b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b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Times New Roman" w:hAnsi="Times New Roman" w:cs="Times New Roman"/>
    </w:rPr>
  </w:style>
  <w:style w:type="character" w:styleId="WW8Num24z2">
    <w:name w:val="WW8Num24z2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4z4">
    <w:name w:val="WW8Num24z4"/>
    <w:qFormat/>
    <w:rPr>
      <w:rFonts w:ascii="Courier New" w:hAnsi="Courier New" w:cs="Courier New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>
      <w:rFonts w:ascii="Symbol" w:hAnsi="Symbol" w:cs="Symbol"/>
      <w:color w:val="auto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Symbol" w:hAnsi="Symbol" w:cs="Symbol"/>
      <w:color w:val="auto"/>
    </w:rPr>
  </w:style>
  <w:style w:type="character" w:styleId="WW8Num35z1">
    <w:name w:val="WW8Num35z1"/>
    <w:qFormat/>
    <w:rPr>
      <w:rFonts w:ascii="Courier New" w:hAnsi="Courier New" w:cs="Courier New"/>
    </w:rPr>
  </w:style>
  <w:style w:type="character" w:styleId="WW8Num35z2">
    <w:name w:val="WW8Num35z2"/>
    <w:qFormat/>
    <w:rPr>
      <w:rFonts w:ascii="Wingdings" w:hAnsi="Wingdings" w:cs="Wingdings"/>
    </w:rPr>
  </w:style>
  <w:style w:type="character" w:styleId="WW8Num35z3">
    <w:name w:val="WW8Num35z3"/>
    <w:qFormat/>
    <w:rPr>
      <w:rFonts w:ascii="Symbol" w:hAnsi="Symbol" w:cs="Symbol"/>
    </w:rPr>
  </w:style>
  <w:style w:type="character" w:styleId="WW8Num36z1">
    <w:name w:val="WW8Num36z1"/>
    <w:qFormat/>
    <w:rPr>
      <w:rFonts w:ascii="Symbol" w:hAnsi="Symbol" w:cs="Symbol"/>
    </w:rPr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>
      <w:rFonts w:ascii="Symbol" w:hAnsi="Symbol" w:cs="Symbol"/>
    </w:rPr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Symbol" w:hAnsi="Symbol" w:cs="Symbol"/>
      <w:color w:val="auto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4z1">
    <w:name w:val="WW8Num44z1"/>
    <w:qFormat/>
    <w:rPr>
      <w:rFonts w:ascii="Courier New" w:hAnsi="Courier New" w:cs="Courier New"/>
    </w:rPr>
  </w:style>
  <w:style w:type="character" w:styleId="WW8Num44z2">
    <w:name w:val="WW8Num44z2"/>
    <w:qFormat/>
    <w:rPr>
      <w:rFonts w:ascii="Wingdings" w:hAnsi="Wingdings" w:cs="Wingdings"/>
    </w:rPr>
  </w:style>
  <w:style w:type="character" w:styleId="WW8Num44z3">
    <w:name w:val="WW8Num44z3"/>
    <w:qFormat/>
    <w:rPr>
      <w:rFonts w:ascii="Symbol" w:hAnsi="Symbol" w:cs="Symbol"/>
    </w:rPr>
  </w:style>
  <w:style w:type="character" w:styleId="WW8Num45z0">
    <w:name w:val="WW8Num45z0"/>
    <w:qFormat/>
    <w:rPr>
      <w:rFonts w:ascii="Rockwell Condensed" w:hAnsi="Rockwell Condensed" w:cs="Rockwell Condensed"/>
    </w:rPr>
  </w:style>
  <w:style w:type="character" w:styleId="WW8Num45z1">
    <w:name w:val="WW8Num45z1"/>
    <w:qFormat/>
    <w:rPr>
      <w:rFonts w:ascii="Courier New" w:hAnsi="Courier New" w:cs="Courier New"/>
    </w:rPr>
  </w:style>
  <w:style w:type="character" w:styleId="WW8Num45z2">
    <w:name w:val="WW8Num45z2"/>
    <w:qFormat/>
    <w:rPr>
      <w:rFonts w:ascii="Wingdings" w:hAnsi="Wingdings" w:cs="Wingdings"/>
    </w:rPr>
  </w:style>
  <w:style w:type="character" w:styleId="WW8Num45z3">
    <w:name w:val="WW8Num45z3"/>
    <w:qFormat/>
    <w:rPr>
      <w:rFonts w:ascii="Symbol" w:hAnsi="Symbol" w:cs="Symbol"/>
    </w:rPr>
  </w:style>
  <w:style w:type="character" w:styleId="Style6">
    <w:name w:val="Основной шрифт абзаца"/>
    <w:qFormat/>
    <w:rPr/>
  </w:style>
  <w:style w:type="character" w:styleId="Normal1">
    <w:name w:val="Normal1 Знак"/>
    <w:qFormat/>
    <w:rPr>
      <w:rFonts w:eastAsia="Calibri"/>
      <w:lang w:val="ru-RU" w:bidi="ar-SA"/>
    </w:rPr>
  </w:style>
  <w:style w:type="character" w:styleId="Style7">
    <w:name w:val="Текст сноски Знак"/>
    <w:basedOn w:val="Style6"/>
    <w:qFormat/>
    <w:rPr/>
  </w:style>
  <w:style w:type="character" w:styleId="Style8">
    <w:name w:val="Символ сноски"/>
    <w:qFormat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Style9">
    <w:name w:val="Верхний колонтитул Знак"/>
    <w:basedOn w:val="Style6"/>
    <w:qFormat/>
    <w:rPr/>
  </w:style>
  <w:style w:type="character" w:styleId="Style10">
    <w:name w:val="Нижний колонтитул Знак"/>
    <w:basedOn w:val="Style6"/>
    <w:qFormat/>
    <w:rPr/>
  </w:style>
  <w:style w:type="paragraph" w:styleId="Style11">
    <w:name w:val="Заголовок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clear" w:pos="720"/>
        <w:tab w:val="left" w:pos="6521" w:leader="none"/>
        <w:tab w:val="left" w:pos="6946" w:leader="none"/>
      </w:tabs>
      <w:jc w:val="center"/>
    </w:pPr>
    <w:rPr>
      <w:sz w:val="24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Основной текст с отступом 3"/>
    <w:basedOn w:val="Normal"/>
    <w:qFormat/>
    <w:pPr>
      <w:spacing w:before="0" w:after="120"/>
      <w:ind w:left="283" w:right="0" w:hanging="0"/>
    </w:pPr>
    <w:rPr>
      <w:sz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Style1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Normal1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Style14">
    <w:name w:val="Абзац списка"/>
    <w:basedOn w:val="Normal"/>
    <w:qFormat/>
    <w:pPr>
      <w:ind w:left="708" w:right="0" w:hanging="0"/>
    </w:pPr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left" w:pos="560" w:leader="none"/>
        <w:tab w:val="right" w:pos="9496" w:leader="dot"/>
      </w:tabs>
      <w:spacing w:before="120" w:after="0"/>
    </w:pPr>
    <w:rPr>
      <w:rFonts w:cs="Calibri Light (Заголовки);Calibri Light"/>
      <w:b/>
      <w:bCs/>
      <w:sz w:val="24"/>
      <w:szCs w:val="24"/>
    </w:rPr>
  </w:style>
  <w:style w:type="paragraph" w:styleId="TOC3">
    <w:name w:val="TOC 3"/>
    <w:basedOn w:val="Normal"/>
    <w:next w:val="Normal"/>
    <w:pPr>
      <w:ind w:left="280" w:right="0" w:hanging="0"/>
    </w:pPr>
    <w:rPr>
      <w:rFonts w:cs="Calibri"/>
    </w:rPr>
  </w:style>
  <w:style w:type="paragraph" w:styleId="TOC4">
    <w:name w:val="TOC 4"/>
    <w:basedOn w:val="Normal"/>
    <w:next w:val="Normal"/>
    <w:pPr>
      <w:tabs>
        <w:tab w:val="clear" w:pos="720"/>
        <w:tab w:val="left" w:pos="1120" w:leader="none"/>
        <w:tab w:val="right" w:pos="9911" w:leader="none"/>
      </w:tabs>
      <w:ind w:left="560" w:right="0" w:hanging="0"/>
    </w:pPr>
    <w:rPr>
      <w:rFonts w:cs="Calibri"/>
    </w:rPr>
  </w:style>
  <w:style w:type="paragraph" w:styleId="Style15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18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ru-RU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779</TotalTime>
  <Application>AlterOffice/3.4.0.9$Linux_X86_64 LibreOffice_project/b8daf9e823b1a5463a2f48435ddc2e8696e7d4fc</Application>
  <AppVersion>15.0000</AppVersion>
  <Pages>6</Pages>
  <Words>1144</Words>
  <Characters>7957</Characters>
  <CharactersWithSpaces>9817</CharactersWithSpaces>
  <Paragraphs>173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2023-06-23T09:24:00Z</dcterms:created>
  <dc:creator>Архив</dc:creator>
  <dc:description/>
  <dc:language>ru-RU</dc:language>
  <cp:lastModifiedBy>polyakovsg@corp.gidroogk.com</cp:lastModifiedBy>
  <cp:lastPrinted>2026-06-17T10:36:06Z</cp:lastPrinted>
  <dcterms:modified xsi:type="dcterms:W3CDTF">2026-06-17T14:45:27Z</dcterms:modified>
  <cp:revision>94</cp:revision>
  <dc:subject/>
  <dc:title>Приложение №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