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9856287"/>
      <w:bookmarkStart w:id="1" w:name="_Toc141696704"/>
      <w:bookmarkStart w:id="2" w:name="_Toc137554584"/>
      <w:bookmarkStart w:id="3" w:name="_Toc139856287"/>
      <w:bookmarkStart w:id="4" w:name="_Toc141696704"/>
      <w:bookmarkStart w:id="5" w:name="_Toc137554584"/>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98562871"/>
      <w:bookmarkStart w:id="7" w:name="_Toc1416967041"/>
      <w:bookmarkStart w:id="8" w:name="_Toc1375545841"/>
      <w:bookmarkStart w:id="9" w:name="_Toc1398562871"/>
      <w:bookmarkStart w:id="10" w:name="_Toc1416967041"/>
      <w:bookmarkStart w:id="11" w:name="_Toc137554584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keepNext w:val="true"/>
        <w:keepLines/>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rStyle w:val="Style8"/>
          <w:rFonts w:eastAsia="Calibri" w:cs="Times New Roman"/>
          <w:bCs/>
          <w:i w:val="false"/>
          <w:i w:val="false"/>
          <w:caps w:val="false"/>
          <w:smallCaps w:val="false"/>
          <w:color w:val="333333"/>
          <w:spacing w:val="0"/>
          <w:kern w:val="0"/>
          <w:sz w:val="26"/>
          <w:szCs w:val="26"/>
          <w:shd w:fill="auto" w:val="clear"/>
          <w:lang w:val="ru-RU" w:eastAsia="ru-RU" w:bidi="ar-SA"/>
        </w:rPr>
      </w:pPr>
      <w:r>
        <w:rPr>
          <w:rFonts w:eastAsia="Calibri"/>
          <w:b/>
          <w:bCs/>
          <w:sz w:val="26"/>
          <w:szCs w:val="26"/>
        </w:rPr>
        <w:t>«</w:t>
      </w:r>
      <w:r>
        <w:rPr>
          <w:rStyle w:val="Style8"/>
          <w:rFonts w:eastAsia="Calibri" w:cs="Times New Roman"/>
          <w:bCs/>
          <w:i w:val="false"/>
          <w:color w:val="000000"/>
          <w:kern w:val="0"/>
          <w:sz w:val="26"/>
          <w:szCs w:val="26"/>
          <w:shd w:fill="auto" w:val="clear"/>
          <w:lang w:val="ru-RU" w:eastAsia="ru-RU" w:bidi="ar-SA"/>
        </w:rPr>
        <w:t>ОКПД2  22.21.21.110 </w:t>
      </w:r>
    </w:p>
    <w:p>
      <w:pPr>
        <w:pStyle w:val="Normal"/>
        <w:widowControl w:val="false"/>
        <w:tabs>
          <w:tab w:val="clear" w:pos="708"/>
          <w:tab w:val="left" w:pos="426" w:leader="none"/>
        </w:tabs>
        <w:spacing w:before="120" w:after="120"/>
        <w:jc w:val="center"/>
        <w:rPr/>
      </w:pPr>
      <w:r>
        <w:rPr>
          <w:rStyle w:val="Style8"/>
          <w:rFonts w:eastAsia="Calibri"/>
          <w:bCs/>
          <w:i w:val="false"/>
          <w:sz w:val="26"/>
          <w:szCs w:val="26"/>
          <w:shd w:fill="auto" w:val="clear"/>
        </w:rPr>
        <w:t xml:space="preserve"> </w:t>
      </w:r>
      <w:r>
        <w:rPr>
          <w:rStyle w:val="Style8"/>
          <w:rFonts w:eastAsia="Calibri"/>
          <w:bCs/>
          <w:i w:val="false"/>
          <w:sz w:val="26"/>
          <w:szCs w:val="26"/>
          <w:shd w:fill="auto" w:val="clear"/>
        </w:rPr>
        <w:t>Поставка</w:t>
      </w:r>
      <w:r>
        <w:rPr>
          <w:rStyle w:val="Style8"/>
          <w:rFonts w:eastAsia="Calibri" w:cs="Times New Roman"/>
          <w:bCs/>
          <w:i w:val="false"/>
          <w:color w:val="000000"/>
          <w:kern w:val="0"/>
          <w:sz w:val="26"/>
          <w:szCs w:val="26"/>
          <w:shd w:fill="auto" w:val="clear"/>
          <w:lang w:val="ru-RU" w:eastAsia="ru-RU" w:bidi="ar-SA"/>
        </w:rPr>
        <w:t xml:space="preserve"> </w:t>
      </w:r>
      <w:r>
        <w:rPr>
          <w:rStyle w:val="Style8"/>
          <w:rFonts w:eastAsia="Calibri" w:cs="Times New Roman"/>
          <w:bCs/>
          <w:i w:val="false"/>
          <w:color w:val="000000"/>
          <w:kern w:val="0"/>
          <w:sz w:val="26"/>
          <w:szCs w:val="26"/>
          <w:shd w:fill="auto" w:val="clear"/>
          <w:lang w:val="ru-RU" w:eastAsia="ru-RU" w:bidi="ar-SA"/>
        </w:rPr>
        <w:t>о</w:t>
      </w:r>
      <w:r>
        <w:rPr>
          <w:rStyle w:val="Style8"/>
          <w:rFonts w:eastAsia="Calibri" w:cs="Times New Roman"/>
          <w:bCs/>
          <w:i w:val="false"/>
          <w:color w:val="000000"/>
          <w:kern w:val="0"/>
          <w:sz w:val="26"/>
          <w:szCs w:val="26"/>
          <w:shd w:fill="auto" w:val="clear"/>
          <w:lang w:val="ru-RU" w:eastAsia="ru-RU" w:bidi="ar-SA"/>
        </w:rPr>
        <w:t>болочк</w:t>
      </w:r>
      <w:r>
        <w:rPr>
          <w:rStyle w:val="Style8"/>
          <w:rFonts w:eastAsia="Calibri" w:cs="Times New Roman"/>
          <w:bCs/>
          <w:i w:val="false"/>
          <w:color w:val="000000"/>
          <w:kern w:val="0"/>
          <w:sz w:val="26"/>
          <w:szCs w:val="26"/>
          <w:shd w:fill="auto" w:val="clear"/>
          <w:lang w:val="ru-RU" w:eastAsia="ru-RU" w:bidi="ar-SA"/>
        </w:rPr>
        <w:t>и</w:t>
      </w:r>
      <w:r>
        <w:rPr>
          <w:rStyle w:val="Style8"/>
          <w:rFonts w:eastAsia="Calibri" w:cs="Times New Roman"/>
          <w:bCs/>
          <w:i w:val="false"/>
          <w:color w:val="000000"/>
          <w:kern w:val="0"/>
          <w:sz w:val="26"/>
          <w:szCs w:val="26"/>
          <w:shd w:fill="auto" w:val="clear"/>
          <w:lang w:val="ru-RU" w:eastAsia="ru-RU" w:bidi="ar-SA"/>
        </w:rPr>
        <w:t xml:space="preserve"> ОГ 6.2*2.5</w:t>
      </w:r>
    </w:p>
    <w:p>
      <w:pPr>
        <w:pStyle w:val="Normal"/>
        <w:widowControl w:val="false"/>
        <w:tabs>
          <w:tab w:val="clear" w:pos="708"/>
          <w:tab w:val="left" w:pos="426" w:leader="none"/>
        </w:tabs>
        <w:spacing w:before="120" w:after="120"/>
        <w:jc w:val="center"/>
        <w:rPr/>
      </w:pPr>
      <w:r>
        <w:rPr>
          <w:rStyle w:val="Style8"/>
          <w:rFonts w:eastAsia="Calibri" w:cs="Times New Roman"/>
          <w:bCs/>
          <w:i w:val="false"/>
          <w:color w:val="000000"/>
          <w:kern w:val="0"/>
          <w:sz w:val="26"/>
          <w:szCs w:val="26"/>
          <w:shd w:fill="auto" w:val="clear"/>
          <w:lang w:val="ru-RU" w:eastAsia="ru-RU" w:bidi="ar-SA"/>
        </w:rPr>
        <w:t xml:space="preserve"> </w:t>
      </w:r>
      <w:r>
        <w:rPr>
          <w:rStyle w:val="Style8"/>
          <w:rFonts w:eastAsia="Calibri" w:cs="Times New Roman"/>
          <w:bCs/>
          <w:i w:val="false"/>
          <w:color w:val="000000"/>
          <w:kern w:val="0"/>
          <w:sz w:val="26"/>
          <w:szCs w:val="26"/>
          <w:shd w:fill="auto" w:val="clear"/>
          <w:lang w:val="ru-RU" w:eastAsia="ru-RU" w:bidi="ar-SA"/>
        </w:rPr>
        <w:t>для нужд Волжского филиала</w:t>
      </w:r>
      <w:r>
        <w:rPr>
          <w:rStyle w:val="Style8"/>
          <w:rFonts w:eastAsia="Calibri" w:cs="Times New Roman"/>
          <w:b/>
          <w:bCs/>
          <w:i w:val="false"/>
          <w:color w:val="000000"/>
          <w:kern w:val="0"/>
          <w:sz w:val="26"/>
          <w:szCs w:val="26"/>
          <w:shd w:fill="auto" w:val="clear"/>
          <w:lang w:val="ru-RU" w:eastAsia="ru-RU" w:bidi="ar-SA"/>
        </w:rPr>
        <w:t>»</w:t>
      </w:r>
    </w:p>
    <w:p>
      <w:pPr>
        <w:pStyle w:val="Normal"/>
        <w:widowControl w:val="false"/>
        <w:tabs>
          <w:tab w:val="clear" w:pos="708"/>
          <w:tab w:val="left" w:pos="426" w:leader="none"/>
        </w:tabs>
        <w:spacing w:before="120" w:after="120"/>
        <w:jc w:val="center"/>
        <w:rPr>
          <w:rStyle w:val="Style8"/>
          <w:rFonts w:ascii="Times New Roman" w:hAnsi="Times New Roman" w:eastAsia="Calibri" w:cs="Times New Roman"/>
          <w:bCs/>
          <w:i w:val="false"/>
          <w:i w:val="false"/>
          <w:color w:val="auto"/>
          <w:kern w:val="0"/>
          <w:sz w:val="26"/>
          <w:szCs w:val="26"/>
          <w:shd w:fill="auto" w:val="clear"/>
          <w:lang w:val="ru-RU" w:eastAsia="ru-RU" w:bidi="ar-SA"/>
        </w:rPr>
      </w:pPr>
      <w:r>
        <w:rPr>
          <w:rFonts w:eastAsia="Calibri" w:cs="Times New Roman"/>
          <w:bCs/>
          <w:i w:val="false"/>
          <w:color w:val="000000"/>
          <w:kern w:val="0"/>
          <w:sz w:val="26"/>
          <w:szCs w:val="26"/>
          <w:shd w:fill="auto" w:val="clear"/>
          <w:lang w:val="ru-RU" w:eastAsia="ru-RU" w:bidi="ar-SA"/>
        </w:rPr>
      </w:r>
    </w:p>
    <w:p>
      <w:pPr>
        <w:pStyle w:val="Normal"/>
        <w:keepNext w:val="true"/>
        <w:keepLines/>
        <w:jc w:val="center"/>
        <w:rPr>
          <w:rStyle w:val="Style8"/>
          <w:rFonts w:eastAsia="Calibri"/>
          <w:bCs/>
          <w:i w:val="false"/>
          <w:i w:val="false"/>
          <w:color w:val="C9211E"/>
          <w:sz w:val="26"/>
          <w:szCs w:val="26"/>
          <w:shd w:fill="auto" w:val="clear"/>
        </w:rPr>
      </w:pPr>
      <w:r>
        <w:rPr>
          <w:rFonts w:eastAsia="Calibri"/>
          <w:bCs/>
          <w:i w:val="false"/>
          <w:color w:val="C9211E"/>
          <w:sz w:val="26"/>
          <w:szCs w:val="26"/>
          <w:shd w:fill="auto" w:val="clear"/>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r>
    </w:p>
    <w:p>
      <w:pPr>
        <w:pStyle w:val="Heading4"/>
        <w:numPr>
          <w:ilvl w:val="1"/>
          <w:numId w:val="3"/>
        </w:numPr>
        <w:rPr/>
      </w:pPr>
      <w:bookmarkStart w:id="12" w:name="_Toc184220612"/>
      <w:bookmarkStart w:id="13" w:name="_Toc46743506"/>
      <w:r>
        <w:rPr/>
        <w:t>Наименование закупаемой продукции</w:t>
      </w:r>
      <w:bookmarkEnd w:id="12"/>
      <w:bookmarkEnd w:id="13"/>
    </w:p>
    <w:p>
      <w:pPr>
        <w:pStyle w:val="Normal"/>
        <w:widowControl w:val="false"/>
        <w:tabs>
          <w:tab w:val="clear" w:pos="708"/>
          <w:tab w:val="left" w:pos="426" w:leader="none"/>
        </w:tabs>
        <w:spacing w:before="120" w:after="120"/>
        <w:rPr/>
      </w:pPr>
      <w:r>
        <w:rPr>
          <w:rFonts w:eastAsia="Calibri" w:cs="Times New Roman"/>
          <w:b w:val="false"/>
          <w:bCs w:val="false"/>
          <w:i w:val="false"/>
          <w:iCs w:val="false"/>
          <w:color w:val="000000"/>
          <w:kern w:val="0"/>
          <w:sz w:val="24"/>
          <w:szCs w:val="24"/>
          <w:shd w:fill="auto" w:val="clear"/>
          <w:lang w:val="ru-RU" w:eastAsia="x-none" w:bidi="ar-SA"/>
        </w:rPr>
        <w:t xml:space="preserve">«ОКПД2 </w:t>
      </w:r>
      <w:r>
        <w:rPr>
          <w:rStyle w:val="Style8"/>
          <w:rFonts w:eastAsia="Calibri" w:cs="Times New Roman"/>
          <w:b w:val="false"/>
          <w:bCs w:val="false"/>
          <w:i w:val="false"/>
          <w:iCs w:val="false"/>
          <w:color w:val="000000"/>
          <w:kern w:val="0"/>
          <w:sz w:val="24"/>
          <w:szCs w:val="24"/>
          <w:shd w:fill="auto" w:val="clear"/>
          <w:lang w:val="ru-RU" w:eastAsia="x-none" w:bidi="ar-SA"/>
        </w:rPr>
        <w:t>22.21.21.110 </w:t>
      </w:r>
      <w:r>
        <w:rPr>
          <w:rFonts w:eastAsia="Calibri" w:cs="Times New Roman"/>
          <w:b w:val="false"/>
          <w:bCs w:val="false"/>
          <w:i w:val="false"/>
          <w:iCs w:val="false"/>
          <w:color w:val="000000"/>
          <w:kern w:val="0"/>
          <w:sz w:val="24"/>
          <w:szCs w:val="24"/>
          <w:shd w:fill="auto" w:val="clear"/>
          <w:lang w:val="ru-RU" w:eastAsia="x-none" w:bidi="ar-SA"/>
        </w:rPr>
        <w:t xml:space="preserve">Поставка  </w:t>
      </w:r>
      <w:r>
        <w:rPr>
          <w:rStyle w:val="Style8"/>
          <w:rFonts w:eastAsia="Calibri" w:cs="Times New Roman"/>
          <w:b w:val="false"/>
          <w:bCs w:val="false"/>
          <w:i w:val="false"/>
          <w:iCs w:val="false"/>
          <w:color w:val="000000"/>
          <w:kern w:val="0"/>
          <w:sz w:val="24"/>
          <w:szCs w:val="24"/>
          <w:shd w:fill="auto" w:val="clear"/>
          <w:lang w:val="ru-RU" w:eastAsia="x-none" w:bidi="ar-SA"/>
        </w:rPr>
        <w:t>Оболочка ОГ 6.2*2.5</w:t>
      </w:r>
      <w:r>
        <w:rPr>
          <w:rFonts w:eastAsia="Calibri" w:cs="Times New Roman"/>
          <w:b w:val="false"/>
          <w:bCs w:val="false"/>
          <w:i w:val="false"/>
          <w:iCs w:val="false"/>
          <w:color w:val="000000"/>
          <w:kern w:val="0"/>
          <w:sz w:val="24"/>
          <w:szCs w:val="24"/>
          <w:shd w:fill="auto" w:val="clear"/>
          <w:lang w:val="ru-RU" w:eastAsia="x-none" w:bidi="ar-SA"/>
        </w:rPr>
        <w:t>для нужд Волжского филиала»  (далее — Продукция)</w:t>
      </w:r>
    </w:p>
    <w:p>
      <w:pPr>
        <w:pStyle w:val="Heading4"/>
        <w:numPr>
          <w:ilvl w:val="1"/>
          <w:numId w:val="3"/>
        </w:numPr>
        <w:spacing w:before="240" w:after="60"/>
        <w:ind w:left="431" w:hanging="431"/>
        <w:rPr/>
      </w:pPr>
      <w:bookmarkStart w:id="14" w:name="_Toc184220613"/>
      <w:bookmarkStart w:id="15" w:name="_Toc46743507"/>
      <w:r>
        <w:rPr/>
        <w:t xml:space="preserve">Цель </w:t>
      </w:r>
      <w:bookmarkEnd w:id="15"/>
      <w:r>
        <w:rPr>
          <w:lang w:val="ru-RU"/>
        </w:rPr>
        <w:t>использования закупаемой продукции:</w:t>
      </w:r>
      <w:bookmarkEnd w:id="14"/>
      <w:r>
        <w:rPr>
          <w:lang w:val="ru-RU"/>
        </w:rPr>
        <w:t xml:space="preserve"> </w:t>
      </w:r>
    </w:p>
    <w:p>
      <w:pPr>
        <w:pStyle w:val="Heading4"/>
        <w:spacing w:before="240" w:after="60"/>
        <w:ind w:left="0" w:hanging="0"/>
        <w:jc w:val="both"/>
        <w:rPr/>
      </w:pPr>
      <w:bookmarkStart w:id="16" w:name="_Toc184220614_Копия_1"/>
      <w:r>
        <w:rPr>
          <w:rStyle w:val="Style8"/>
          <w:b w:val="false"/>
          <w:bCs w:val="false"/>
          <w:i w:val="false"/>
          <w:shd w:fill="auto" w:val="clear"/>
          <w:lang w:val="ru-RU"/>
        </w:rPr>
        <w:t xml:space="preserve">Закупаемая продукция предназначена для выполнения работ на Волжской ГЭС для исполнения Договора </w:t>
      </w:r>
      <w:r>
        <w:rPr>
          <w:rStyle w:val="Style8"/>
          <w:b w:val="false"/>
          <w:bCs w:val="false"/>
          <w:i w:val="false"/>
          <w:color w:val="000000"/>
          <w:shd w:fill="auto" w:val="clear"/>
          <w:lang w:val="ru-RU"/>
        </w:rPr>
        <w:t>№ 1050-237-2023/1-Рем-2023-ВолГЭС от 03.11.2023 года "работы по капитальному и текущему ремонту оборудования, зданий, сооружений филиала ПАО "РусГидро" - "Волжская ГЭС"" заключенный между филиалом ПАО «РусГидро» - Волжская ГЭС» и Волжским  филиалом АО «Гидроремонт-ВКК»</w:t>
      </w:r>
      <w:bookmarkEnd w:id="16"/>
      <w:r>
        <w:rPr>
          <w:rStyle w:val="Style8"/>
          <w:b w:val="false"/>
          <w:bCs w:val="false"/>
          <w:i w:val="false"/>
          <w:color w:val="000000"/>
          <w:shd w:fill="auto" w:val="clear"/>
          <w:lang w:val="ru-RU"/>
        </w:rPr>
        <w:t>.</w:t>
      </w:r>
    </w:p>
    <w:p>
      <w:pPr>
        <w:pStyle w:val="Heading4"/>
        <w:spacing w:before="240" w:after="60"/>
        <w:ind w:left="0" w:hanging="0"/>
        <w:jc w:val="both"/>
        <w:rPr>
          <w:rStyle w:val="Style8"/>
          <w:b w:val="false"/>
          <w:bCs w:val="false"/>
          <w:i w:val="false"/>
          <w:i w:val="false"/>
          <w:color w:val="000000"/>
          <w:shd w:fill="auto" w:val="clear"/>
          <w:lang w:val="ru-RU"/>
        </w:rPr>
      </w:pPr>
      <w:r>
        <w:rPr>
          <w:b w:val="false"/>
          <w:bCs w:val="false"/>
          <w:i w:val="false"/>
          <w:color w:val="000000"/>
          <w:shd w:fill="auto" w:val="clear"/>
          <w:lang w:val="ru-RU"/>
        </w:rPr>
      </w:r>
    </w:p>
    <w:p>
      <w:pPr>
        <w:pStyle w:val="Heading1"/>
        <w:keepLines/>
        <w:numPr>
          <w:ilvl w:val="0"/>
          <w:numId w:val="3"/>
        </w:numPr>
        <w:ind w:left="357" w:hanging="357"/>
        <w:jc w:val="center"/>
        <w:rPr>
          <w:color w:val="000000"/>
        </w:rPr>
      </w:pPr>
      <w:bookmarkStart w:id="17" w:name="_Toc51339693"/>
      <w:bookmarkStart w:id="18" w:name="_Toc184220615"/>
      <w:bookmarkStart w:id="19" w:name="_Toc50125126"/>
      <w:bookmarkStart w:id="20" w:name="_Toc46743510"/>
      <w:bookmarkEnd w:id="19"/>
      <w:bookmarkEnd w:id="20"/>
      <w:r>
        <w:rPr>
          <w:iCs/>
          <w:color w:val="000000"/>
        </w:rPr>
        <w:t>Требования к продукции</w:t>
      </w:r>
      <w:bookmarkEnd w:id="17"/>
      <w:bookmarkEnd w:id="18"/>
    </w:p>
    <w:p>
      <w:pPr>
        <w:pStyle w:val="Heading4"/>
        <w:numPr>
          <w:ilvl w:val="1"/>
          <w:numId w:val="3"/>
        </w:numPr>
        <w:rPr/>
      </w:pPr>
      <w:bookmarkStart w:id="21" w:name="_Toc184220616"/>
      <w:r>
        <w:rPr/>
        <w:t xml:space="preserve">Требования к объемам и срокам </w:t>
      </w:r>
      <w:r>
        <w:rPr>
          <w:lang w:val="ru-RU"/>
        </w:rPr>
        <w:t>поставки</w:t>
      </w:r>
      <w:bookmarkEnd w:id="21"/>
    </w:p>
    <w:p>
      <w:pPr>
        <w:pStyle w:val="Heading3"/>
        <w:numPr>
          <w:ilvl w:val="2"/>
          <w:numId w:val="3"/>
        </w:numPr>
        <w:rPr/>
      </w:pPr>
      <w:bookmarkStart w:id="22" w:name="_Toc184220617"/>
      <w:r>
        <w:rPr>
          <w:lang w:val="ru-RU"/>
        </w:rPr>
        <w:t>Перечень и объем закупаемой продукции</w:t>
      </w:r>
      <w:bookmarkEnd w:id="22"/>
    </w:p>
    <w:p>
      <w:pPr>
        <w:pStyle w:val="Heading1"/>
        <w:keepLines/>
        <w:tabs>
          <w:tab w:val="clear" w:pos="0"/>
        </w:tabs>
        <w:spacing w:before="240" w:after="60"/>
        <w:ind w:left="0" w:hanging="0"/>
        <w:rPr>
          <w:sz w:val="24"/>
          <w:szCs w:val="24"/>
          <w:lang w:val="ru-RU"/>
        </w:rPr>
      </w:pPr>
      <w:bookmarkStart w:id="23" w:name="_Toc184220618"/>
      <w:bookmarkStart w:id="24"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4"/>
      <w:r>
        <w:rPr>
          <w:sz w:val="24"/>
          <w:szCs w:val="24"/>
          <w:lang w:val="ru-RU"/>
        </w:rPr>
        <w:t>и объем закупаемой продукции</w:t>
      </w:r>
      <w:bookmarkEnd w:id="23"/>
    </w:p>
    <w:tbl>
      <w:tblPr>
        <w:tblW w:w="10007" w:type="dxa"/>
        <w:jc w:val="left"/>
        <w:tblInd w:w="84" w:type="dxa"/>
        <w:tblLayout w:type="fixed"/>
        <w:tblCellMar>
          <w:top w:w="0" w:type="dxa"/>
          <w:left w:w="108" w:type="dxa"/>
          <w:bottom w:w="0" w:type="dxa"/>
          <w:right w:w="108" w:type="dxa"/>
        </w:tblCellMar>
        <w:tblLook w:val="0000" w:noHBand="0" w:noVBand="0" w:firstColumn="0" w:lastRow="0" w:lastColumn="0" w:firstRow="0"/>
      </w:tblPr>
      <w:tblGrid>
        <w:gridCol w:w="778"/>
        <w:gridCol w:w="6541"/>
        <w:gridCol w:w="1365"/>
        <w:gridCol w:w="1322"/>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65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65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ind w:left="0" w:hanging="0"/>
              <w:jc w:val="center"/>
              <w:rPr/>
            </w:pPr>
            <w:r>
              <w:rPr/>
              <w:t>1</w:t>
            </w:r>
          </w:p>
        </w:tc>
        <w:tc>
          <w:tcPr>
            <w:tcW w:w="6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left"/>
              <w:rPr/>
            </w:pPr>
            <w:r>
              <w:rPr>
                <w:rStyle w:val="Style8"/>
                <w:rFonts w:eastAsia="Calibri" w:cs="Times New Roman"/>
                <w:b w:val="false"/>
                <w:bCs w:val="false"/>
                <w:i w:val="false"/>
                <w:color w:val="000000"/>
                <w:kern w:val="0"/>
                <w:sz w:val="26"/>
                <w:szCs w:val="26"/>
                <w:shd w:fill="auto" w:val="clear"/>
                <w:lang w:val="ru-RU" w:eastAsia="ru-RU" w:bidi="ar-SA"/>
              </w:rPr>
              <w:t>Оболочка ОГ 6.2*2.5</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Style35"/>
              <w:widowControl w:val="false"/>
              <w:spacing w:before="0" w:after="200"/>
              <w:jc w:val="center"/>
              <w:rPr>
                <w:color w:val="000000"/>
              </w:rPr>
            </w:pPr>
            <w:r>
              <w:rPr>
                <w:color w:val="000000"/>
                <w:sz w:val="24"/>
                <w:szCs w:val="24"/>
              </w:rPr>
              <w:t>шт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Style35"/>
              <w:widowControl w:val="false"/>
              <w:spacing w:before="0" w:after="200"/>
              <w:jc w:val="center"/>
              <w:rPr>
                <w:color w:val="000000"/>
              </w:rPr>
            </w:pPr>
            <w:r>
              <w:rPr>
                <w:color w:val="000000"/>
                <w:sz w:val="24"/>
                <w:szCs w:val="24"/>
              </w:rPr>
              <w:t>1</w:t>
            </w:r>
          </w:p>
        </w:tc>
      </w:tr>
    </w:tbl>
    <w:p>
      <w:pPr>
        <w:pStyle w:val="Heading3"/>
        <w:numPr>
          <w:ilvl w:val="2"/>
          <w:numId w:val="3"/>
        </w:numPr>
        <w:rPr>
          <w:lang w:val="ru-RU"/>
        </w:rPr>
      </w:pPr>
      <w:bookmarkStart w:id="25" w:name="_Toc184220619"/>
      <w:bookmarkStart w:id="26" w:name="_Toc51339696"/>
      <w:bookmarkStart w:id="27" w:name="_Toc75446577"/>
      <w:bookmarkEnd w:id="27"/>
      <w:r>
        <w:rPr>
          <w:lang w:val="ru-RU"/>
        </w:rPr>
        <w:t xml:space="preserve">Требования </w:t>
      </w:r>
      <w:bookmarkEnd w:id="26"/>
      <w:r>
        <w:rPr>
          <w:lang w:val="ru-RU"/>
        </w:rPr>
        <w:t>к срокам поставки продукции и оказания сопутствующих услуг</w:t>
      </w:r>
      <w:bookmarkEnd w:id="25"/>
    </w:p>
    <w:p>
      <w:pPr>
        <w:pStyle w:val="Heading1"/>
        <w:keepLines/>
        <w:tabs>
          <w:tab w:val="clear" w:pos="0"/>
        </w:tabs>
        <w:spacing w:before="240" w:after="60"/>
        <w:ind w:left="0" w:hanging="0"/>
        <w:rPr>
          <w:sz w:val="24"/>
          <w:szCs w:val="24"/>
          <w:lang w:val="ru-RU"/>
        </w:rPr>
      </w:pPr>
      <w:bookmarkStart w:id="28" w:name="_Toc184220620"/>
      <w:bookmarkStart w:id="29" w:name="_Toc51339697"/>
      <w:bookmarkStart w:id="30" w:name="_Toc50125127"/>
      <w:bookmarkStart w:id="31" w:name="_Toc501251261"/>
      <w:bookmarkEnd w:id="31"/>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2" w:name="_Hlk50465284"/>
      <w:r>
        <w:rPr>
          <w:sz w:val="24"/>
          <w:szCs w:val="24"/>
        </w:rPr>
        <w:t xml:space="preserve">Требования по срокам </w:t>
      </w:r>
      <w:bookmarkEnd w:id="29"/>
      <w:bookmarkEnd w:id="30"/>
      <w:bookmarkEnd w:id="32"/>
      <w:r>
        <w:rPr>
          <w:sz w:val="24"/>
          <w:szCs w:val="24"/>
          <w:lang w:val="ru-RU"/>
        </w:rPr>
        <w:t>поставки продукции</w:t>
      </w:r>
      <w:bookmarkEnd w:id="28"/>
      <w:r>
        <w:rPr>
          <w:sz w:val="24"/>
          <w:szCs w:val="24"/>
          <w:lang w:val="ru-RU"/>
        </w:rPr>
        <w:t xml:space="preserve"> </w:t>
      </w:r>
    </w:p>
    <w:tbl>
      <w:tblPr>
        <w:tblW w:w="1006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67"/>
        <w:gridCol w:w="5639"/>
        <w:gridCol w:w="1657"/>
        <w:gridCol w:w="1996"/>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6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1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5639" w:type="dxa"/>
            <w:tcBorders>
              <w:left w:val="single" w:sz="4" w:space="0" w:color="000000"/>
              <w:bottom w:val="single" w:sz="4" w:space="0" w:color="000000"/>
              <w:right w:val="single" w:sz="4" w:space="0" w:color="000000"/>
            </w:tcBorders>
            <w:shd w:color="auto" w:fill="auto" w:val="clear"/>
          </w:tcPr>
          <w:p>
            <w:pPr>
              <w:pStyle w:val="Style35"/>
              <w:widowControl w:val="false"/>
              <w:spacing w:before="0" w:after="200"/>
              <w:rPr>
                <w:color w:val="000000"/>
              </w:rPr>
            </w:pPr>
            <w:r>
              <w:rPr>
                <w:color w:val="C9211E"/>
                <w:sz w:val="24"/>
                <w:szCs w:val="24"/>
                <w:lang w:val="en-US"/>
              </w:rPr>
              <w:t xml:space="preserve"> </w:t>
            </w:r>
            <w:r>
              <w:rPr>
                <w:rStyle w:val="Style8"/>
                <w:rFonts w:eastAsia="Calibri" w:cs="Times New Roman"/>
                <w:b w:val="false"/>
                <w:bCs w:val="false"/>
                <w:i w:val="false"/>
                <w:color w:val="000000"/>
                <w:kern w:val="0"/>
                <w:sz w:val="26"/>
                <w:szCs w:val="26"/>
                <w:shd w:fill="auto" w:val="clear"/>
                <w:lang w:val="ru-RU" w:eastAsia="ru-RU" w:bidi="ar-SA"/>
              </w:rPr>
              <w:t>Оболочка ОГ 6.2*2.5</w:t>
            </w:r>
          </w:p>
        </w:tc>
        <w:tc>
          <w:tcPr>
            <w:tcW w:w="165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1996"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Не позднее 31</w:t>
            </w:r>
            <w:r>
              <w:rPr>
                <w:color w:val="C9211E"/>
                <w:sz w:val="24"/>
                <w:szCs w:val="24"/>
              </w:rPr>
              <w:t>.</w:t>
            </w:r>
            <w:r>
              <w:rPr>
                <w:color w:val="000000"/>
                <w:sz w:val="24"/>
                <w:szCs w:val="24"/>
              </w:rPr>
              <w:t>08.2026г.</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c>
          <w:tcPr>
            <w:tcW w:w="10059" w:type="dxa"/>
            <w:gridSpan w:val="4"/>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*сроки установлены согласно требованиям договора подряда указанного в п.1.3</w:t>
            </w:r>
          </w:p>
        </w:tc>
      </w:tr>
    </w:tbl>
    <w:p>
      <w:pPr>
        <w:pStyle w:val="Heading4"/>
        <w:numPr>
          <w:ilvl w:val="1"/>
          <w:numId w:val="3"/>
        </w:numPr>
        <w:rPr/>
      </w:pPr>
      <w:bookmarkStart w:id="33" w:name="_Toc184220621"/>
      <w:bookmarkStart w:id="34" w:name="_Toc46743511"/>
      <w:bookmarkStart w:id="35" w:name="_Toc75446580"/>
      <w:bookmarkEnd w:id="35"/>
      <w:r>
        <w:rPr/>
        <w:t xml:space="preserve">Требования к </w:t>
      </w:r>
      <w:bookmarkEnd w:id="34"/>
      <w:r>
        <w:rPr>
          <w:lang w:val="ru-RU"/>
        </w:rPr>
        <w:t>качеству продукции</w:t>
      </w:r>
      <w:bookmarkEnd w:id="33"/>
    </w:p>
    <w:p>
      <w:pPr>
        <w:pStyle w:val="Heading1"/>
        <w:tabs>
          <w:tab w:val="clear" w:pos="0"/>
        </w:tabs>
        <w:spacing w:before="240" w:after="60"/>
        <w:ind w:left="0" w:hanging="0"/>
        <w:rPr>
          <w:sz w:val="24"/>
          <w:szCs w:val="24"/>
        </w:rPr>
      </w:pPr>
      <w:bookmarkStart w:id="36"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36"/>
      <w:r>
        <w:rPr>
          <w:sz w:val="24"/>
          <w:szCs w:val="24"/>
        </w:rPr>
        <w:t xml:space="preserve"> </w:t>
      </w:r>
    </w:p>
    <w:p>
      <w:pPr>
        <w:pStyle w:val="Normal"/>
        <w:jc w:val="both"/>
        <w:rPr>
          <w:sz w:val="24"/>
          <w:szCs w:val="24"/>
        </w:rPr>
      </w:pPr>
      <w:r>
        <w:rPr>
          <w:b/>
          <w:bCs/>
          <w:sz w:val="24"/>
          <w:szCs w:val="24"/>
        </w:rPr>
        <w:t>Наименование продукции: позиция №</w:t>
      </w:r>
      <w:r>
        <w:rPr>
          <w:rStyle w:val="Style8"/>
          <w:b w:val="false"/>
          <w:bCs/>
          <w:i w:val="false"/>
          <w:sz w:val="24"/>
          <w:szCs w:val="24"/>
          <w:shd w:fill="auto" w:val="clear"/>
        </w:rPr>
        <w:t xml:space="preserve"> </w:t>
      </w:r>
      <w:r>
        <w:rPr>
          <w:rStyle w:val="Style8"/>
          <w:bCs/>
          <w:i w:val="false"/>
          <w:sz w:val="24"/>
          <w:szCs w:val="24"/>
          <w:shd w:fill="auto" w:val="clear"/>
        </w:rPr>
        <w:t>1-3</w:t>
      </w:r>
      <w:r>
        <w:rPr>
          <w:rStyle w:val="Style8"/>
          <w:b w:val="false"/>
          <w:bCs/>
          <w:i w:val="false"/>
          <w:sz w:val="24"/>
          <w:szCs w:val="24"/>
          <w:shd w:fill="auto" w:val="clear"/>
        </w:rPr>
        <w:t xml:space="preserve"> </w:t>
      </w:r>
      <w:r>
        <w:rPr>
          <w:b/>
          <w:bCs/>
          <w:sz w:val="24"/>
          <w:szCs w:val="24"/>
        </w:rPr>
        <w:t xml:space="preserve">Таблицы 1.1: </w:t>
      </w:r>
      <w:bookmarkStart w:id="37" w:name="_GoBack"/>
      <w:bookmarkEnd w:id="37"/>
    </w:p>
    <w:tbl>
      <w:tblPr>
        <w:tblStyle w:val="affff6"/>
        <w:tblW w:w="100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37"/>
        <w:gridCol w:w="5103"/>
        <w:gridCol w:w="4095"/>
      </w:tblGrid>
      <w:tr>
        <w:trPr/>
        <w:tc>
          <w:tcPr>
            <w:tcW w:w="837"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4095"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37"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4095"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rHeight w:val="510" w:hRule="atLeast"/>
        </w:trPr>
        <w:tc>
          <w:tcPr>
            <w:tcW w:w="10035" w:type="dxa"/>
            <w:gridSpan w:val="3"/>
            <w:tcBorders/>
            <w:vAlign w:val="center"/>
          </w:tcPr>
          <w:p>
            <w:pPr>
              <w:pStyle w:val="Normal"/>
              <w:widowControl w:val="false"/>
              <w:suppressAutoHyphens w:val="true"/>
              <w:spacing w:before="0" w:after="0"/>
              <w:jc w:val="both"/>
              <w:rPr>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r>
      <w:tr>
        <w:trPr>
          <w:trHeight w:val="300" w:hRule="atLeast"/>
        </w:trPr>
        <w:tc>
          <w:tcPr>
            <w:tcW w:w="10035" w:type="dxa"/>
            <w:gridSpan w:val="3"/>
            <w:tcBorders/>
            <w:vAlign w:val="center"/>
          </w:tcPr>
          <w:p>
            <w:pPr>
              <w:pStyle w:val="Normal"/>
              <w:widowControl w:val="false"/>
              <w:suppressAutoHyphens w:val="true"/>
              <w:spacing w:before="0" w:after="0"/>
              <w:jc w:val="both"/>
              <w:rPr>
                <w:b/>
                <w:sz w:val="24"/>
                <w:szCs w:val="24"/>
                <w:lang w:val="en-US"/>
              </w:rPr>
            </w:pPr>
            <w:r>
              <w:rPr>
                <w:rFonts w:eastAsia="Times New Roman" w:cs="Times New Roman"/>
                <w:b/>
                <w:kern w:val="0"/>
                <w:sz w:val="24"/>
                <w:szCs w:val="24"/>
                <w:lang w:val="en-US" w:eastAsia="ru-RU" w:bidi="ar-SA"/>
              </w:rPr>
              <w:t>1.</w:t>
            </w:r>
            <w:r>
              <w:rPr>
                <w:rFonts w:eastAsia="Times New Roman" w:cs="Times New Roman"/>
                <w:kern w:val="0"/>
                <w:lang w:val="en-US" w:eastAsia="ru-RU" w:bidi="ar-SA"/>
              </w:rPr>
              <w:t xml:space="preserve">  </w:t>
            </w:r>
            <w:r>
              <w:rPr>
                <w:rStyle w:val="Style8"/>
                <w:rFonts w:eastAsia="Calibri" w:cs="Times New Roman"/>
                <w:b w:val="false"/>
                <w:bCs w:val="false"/>
                <w:i w:val="false"/>
                <w:color w:val="000000"/>
                <w:kern w:val="0"/>
                <w:sz w:val="26"/>
                <w:szCs w:val="26"/>
                <w:shd w:fill="auto" w:val="clear"/>
                <w:lang w:val="ru-RU" w:eastAsia="ru-RU" w:bidi="ar-SA"/>
              </w:rPr>
              <w:t>Оболочка ОГ 6.2*2.5</w:t>
            </w:r>
          </w:p>
        </w:tc>
      </w:tr>
      <w:tr>
        <w:trPr/>
        <w:tc>
          <w:tcPr>
            <w:tcW w:w="837" w:type="dxa"/>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w:t>
            </w:r>
          </w:p>
        </w:tc>
        <w:tc>
          <w:tcPr>
            <w:tcW w:w="5103" w:type="dxa"/>
            <w:tcBorders/>
            <w:shd w:color="auto" w:fill="auto" w:val="clear"/>
          </w:tcPr>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bCs/>
                <w:i w:val="false"/>
                <w:caps w:val="false"/>
                <w:smallCaps w:val="false"/>
                <w:color w:val="000000"/>
                <w:spacing w:val="0"/>
                <w:kern w:val="0"/>
                <w:sz w:val="24"/>
                <w:szCs w:val="24"/>
                <w:lang w:val="ru-RU" w:eastAsia="ru-RU" w:bidi="ar-SA"/>
              </w:rPr>
              <w:t xml:space="preserve"> </w:t>
            </w:r>
            <w:r>
              <w:rPr>
                <w:rFonts w:eastAsia="Times New Roman" w:cs="Times New Roman"/>
                <w:b w:val="false"/>
                <w:bCs/>
                <w:i w:val="false"/>
                <w:caps w:val="false"/>
                <w:smallCaps w:val="false"/>
                <w:color w:val="000000"/>
                <w:spacing w:val="0"/>
                <w:kern w:val="0"/>
                <w:sz w:val="24"/>
                <w:szCs w:val="24"/>
                <w:lang w:val="ru-RU" w:eastAsia="ru-RU" w:bidi="ar-SA"/>
              </w:rPr>
              <w:t>Назначение</w:t>
            </w:r>
          </w:p>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i w:val="false"/>
                <w:caps w:val="false"/>
                <w:smallCaps w:val="false"/>
                <w:color w:val="000000"/>
                <w:spacing w:val="0"/>
                <w:kern w:val="0"/>
                <w:sz w:val="20"/>
                <w:szCs w:val="20"/>
                <w:lang w:val="ru-RU" w:eastAsia="ru-RU" w:bidi="ar-SA"/>
              </w:rPr>
            </w:r>
          </w:p>
        </w:tc>
        <w:tc>
          <w:tcPr>
            <w:tcW w:w="4095" w:type="dxa"/>
            <w:tcBorders/>
            <w:shd w:color="auto" w:fill="auto" w:val="clear"/>
          </w:tcPr>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bCs/>
                <w:i w:val="false"/>
                <w:caps w:val="false"/>
                <w:smallCaps w:val="false"/>
                <w:color w:val="auto"/>
                <w:spacing w:val="0"/>
                <w:kern w:val="0"/>
                <w:sz w:val="24"/>
                <w:szCs w:val="24"/>
                <w:lang w:val="ru-RU" w:eastAsia="ru-RU" w:bidi="ar-SA"/>
              </w:rPr>
              <w:t>защита масла в трансформаторах от окисления и увлажнения</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1.11</w:t>
            </w:r>
          </w:p>
        </w:tc>
        <w:tc>
          <w:tcPr>
            <w:tcW w:w="5103" w:type="dxa"/>
            <w:tcBorders>
              <w:top w:val="nil"/>
            </w:tcBorders>
            <w:shd w:color="auto" w:fill="auto" w:val="clear"/>
          </w:tcPr>
          <w:p>
            <w:pPr>
              <w:pStyle w:val="Style35"/>
              <w:widowControl w:val="false"/>
              <w:suppressAutoHyphens w:val="true"/>
              <w:spacing w:before="0" w:after="200"/>
              <w:jc w:val="left"/>
              <w:rPr>
                <w:rFonts w:ascii="Times New Roman" w:hAnsi="Times New Roman"/>
              </w:rPr>
            </w:pPr>
            <w:r>
              <w:rPr>
                <w:rFonts w:eastAsia="Times New Roman" w:cs="Times New Roman"/>
                <w:bCs/>
                <w:color w:val="auto"/>
                <w:kern w:val="0"/>
                <w:sz w:val="24"/>
                <w:szCs w:val="24"/>
                <w:lang w:val="ru-RU" w:eastAsia="ru-RU" w:bidi="ar-SA"/>
              </w:rPr>
              <w:t>Работа при температурном режим рабочей среды (масла)</w:t>
            </w:r>
            <w:r>
              <w:rPr>
                <w:rFonts w:eastAsia="Times New Roman" w:cs="Times New Roman"/>
                <w:b w:val="false"/>
                <w:bCs/>
                <w:i w:val="false"/>
                <w:caps w:val="false"/>
                <w:smallCaps w:val="false"/>
                <w:color w:val="auto"/>
                <w:spacing w:val="0"/>
                <w:kern w:val="0"/>
                <w:sz w:val="24"/>
                <w:szCs w:val="24"/>
                <w:lang w:val="ru-RU" w:eastAsia="ru-RU" w:bidi="ar-SA"/>
              </w:rPr>
              <w:t xml:space="preserve"> от минус 60°С до плюс 85°С</w:t>
            </w:r>
          </w:p>
        </w:tc>
        <w:tc>
          <w:tcPr>
            <w:tcW w:w="4095" w:type="dxa"/>
            <w:tcBorders>
              <w:top w:val="nil"/>
            </w:tcBorders>
            <w:shd w:color="auto" w:fill="auto" w:val="clear"/>
          </w:tcPr>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bCs/>
                <w:i w:val="false"/>
                <w:caps w:val="false"/>
                <w:smallCaps w:val="false"/>
                <w:color w:val="auto"/>
                <w:spacing w:val="0"/>
                <w:kern w:val="0"/>
                <w:sz w:val="24"/>
                <w:szCs w:val="24"/>
                <w:lang w:val="ru-RU" w:eastAsia="ru-RU" w:bidi="ar-SA"/>
              </w:rPr>
              <w:t>да</w:t>
            </w:r>
          </w:p>
        </w:tc>
      </w:tr>
      <w:tr>
        <w:trPr/>
        <w:tc>
          <w:tcPr>
            <w:tcW w:w="837" w:type="dxa"/>
            <w:tcBorders>
              <w:top w:val="nil"/>
            </w:tcBorders>
            <w:vAlign w:val="center"/>
          </w:tcPr>
          <w:p>
            <w:pPr>
              <w:pStyle w:val="Normal"/>
              <w:widowControl w:val="false"/>
              <w:suppressAutoHyphens w:val="true"/>
              <w:spacing w:before="0" w:after="200"/>
              <w:jc w:val="both"/>
              <w:rPr>
                <w:rFonts w:ascii="Times New Roman" w:hAnsi="Times New Roman" w:eastAsia="Calibri" w:cs="Times New Roman"/>
                <w:color w:val="auto"/>
                <w:kern w:val="0"/>
                <w:sz w:val="24"/>
                <w:szCs w:val="24"/>
                <w:lang w:val="ru-RU" w:eastAsia="ru-RU" w:bidi="ar-SA"/>
              </w:rPr>
            </w:pPr>
            <w:r>
              <w:rPr>
                <w:rFonts w:eastAsia="Calibri" w:cs="Times New Roman"/>
                <w:color w:val="auto"/>
                <w:kern w:val="0"/>
                <w:sz w:val="24"/>
                <w:szCs w:val="24"/>
                <w:lang w:val="ru-RU" w:eastAsia="ru-RU" w:bidi="ar-SA"/>
              </w:rPr>
              <w:t>1.12</w:t>
            </w:r>
          </w:p>
        </w:tc>
        <w:tc>
          <w:tcPr>
            <w:tcW w:w="5103" w:type="dxa"/>
            <w:tcBorders>
              <w:top w:val="nil"/>
            </w:tcBorders>
            <w:shd w:color="auto" w:fill="auto" w:val="clear"/>
          </w:tcPr>
          <w:p>
            <w:pPr>
              <w:pStyle w:val="Style35"/>
              <w:widowControl w:val="false"/>
              <w:suppressAutoHyphens w:val="true"/>
              <w:spacing w:before="0" w:after="200"/>
              <w:jc w:val="left"/>
              <w:rPr>
                <w:rFonts w:ascii="Times New Roman" w:hAnsi="Times New Roman"/>
              </w:rPr>
            </w:pPr>
            <w:r>
              <w:rPr>
                <w:rFonts w:eastAsia="Times New Roman" w:cs="Times New Roman"/>
                <w:bCs/>
                <w:color w:val="auto"/>
                <w:kern w:val="0"/>
                <w:sz w:val="24"/>
                <w:szCs w:val="24"/>
                <w:lang w:val="ru-RU" w:eastAsia="ru-RU" w:bidi="ar-SA"/>
              </w:rPr>
              <w:t>Материал оболочки</w:t>
            </w:r>
          </w:p>
        </w:tc>
        <w:tc>
          <w:tcPr>
            <w:tcW w:w="4095" w:type="dxa"/>
            <w:tcBorders>
              <w:top w:val="nil"/>
            </w:tcBorders>
            <w:shd w:color="auto" w:fill="auto" w:val="clear"/>
          </w:tcPr>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bCs/>
                <w:i w:val="false"/>
                <w:caps w:val="false"/>
                <w:smallCaps w:val="false"/>
                <w:color w:val="auto"/>
                <w:spacing w:val="0"/>
                <w:kern w:val="0"/>
                <w:sz w:val="24"/>
                <w:szCs w:val="24"/>
                <w:lang w:val="ru-RU" w:eastAsia="ru-RU" w:bidi="ar-SA"/>
              </w:rPr>
              <w:t>маслостойкой, прорезиненной ткани.</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1.13</w:t>
            </w:r>
          </w:p>
        </w:tc>
        <w:tc>
          <w:tcPr>
            <w:tcW w:w="5103" w:type="dxa"/>
            <w:tcBorders>
              <w:top w:val="nil"/>
            </w:tcBorders>
            <w:shd w:color="auto" w:fill="auto" w:val="clear"/>
          </w:tcPr>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bCs/>
                <w:i w:val="false"/>
                <w:caps w:val="false"/>
                <w:smallCaps w:val="false"/>
                <w:color w:val="auto"/>
                <w:spacing w:val="0"/>
                <w:kern w:val="0"/>
                <w:sz w:val="24"/>
                <w:szCs w:val="24"/>
                <w:lang w:val="ru-RU" w:eastAsia="ru-RU" w:bidi="ar-SA"/>
              </w:rPr>
              <w:t>Свойства:</w:t>
            </w:r>
          </w:p>
        </w:tc>
        <w:tc>
          <w:tcPr>
            <w:tcW w:w="4095" w:type="dxa"/>
            <w:tcBorders>
              <w:top w:val="nil"/>
            </w:tcBorders>
            <w:shd w:color="auto" w:fill="auto" w:val="clear"/>
          </w:tcPr>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bCs/>
                <w:i w:val="false"/>
                <w:caps w:val="false"/>
                <w:smallCaps w:val="false"/>
                <w:color w:val="000000"/>
                <w:spacing w:val="0"/>
                <w:kern w:val="0"/>
                <w:sz w:val="24"/>
                <w:szCs w:val="24"/>
                <w:lang w:val="ru-RU" w:eastAsia="ru-RU" w:bidi="ar-SA"/>
              </w:rPr>
              <w:t xml:space="preserve">эластичная прямоугольной формы </w:t>
            </w:r>
            <w:r>
              <w:rPr>
                <w:rFonts w:eastAsia="Times New Roman" w:cs="Times New Roman"/>
                <w:b w:val="false"/>
                <w:bCs/>
                <w:i w:val="false"/>
                <w:caps w:val="false"/>
                <w:smallCaps w:val="false"/>
                <w:color w:val="auto"/>
                <w:spacing w:val="0"/>
                <w:kern w:val="0"/>
                <w:sz w:val="24"/>
                <w:szCs w:val="24"/>
                <w:lang w:val="ru-RU" w:eastAsia="ru-RU" w:bidi="ar-SA"/>
              </w:rPr>
              <w:t>гибкая, надуваемая.</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1.14</w:t>
            </w:r>
          </w:p>
        </w:tc>
        <w:tc>
          <w:tcPr>
            <w:tcW w:w="5103" w:type="dxa"/>
            <w:tcBorders>
              <w:top w:val="nil"/>
            </w:tcBorders>
            <w:shd w:color="auto" w:fill="auto" w:val="clear"/>
          </w:tcPr>
          <w:p>
            <w:pPr>
              <w:pStyle w:val="Style35"/>
              <w:widowControl w:val="false"/>
              <w:suppressAutoHyphens w:val="true"/>
              <w:spacing w:before="0" w:after="200"/>
              <w:jc w:val="left"/>
              <w:rPr>
                <w:rFonts w:ascii="Times New Roman" w:hAnsi="Times New Roman"/>
              </w:rPr>
            </w:pPr>
            <w:r>
              <w:rPr>
                <w:rFonts w:eastAsia="Times New Roman" w:cs="Times New Roman"/>
                <w:bCs/>
                <w:color w:val="auto"/>
                <w:kern w:val="0"/>
                <w:sz w:val="24"/>
                <w:szCs w:val="24"/>
                <w:lang w:val="ru-RU" w:eastAsia="ru-RU" w:bidi="ar-SA"/>
              </w:rPr>
              <w:t>Дополнительно</w:t>
            </w:r>
          </w:p>
        </w:tc>
        <w:tc>
          <w:tcPr>
            <w:tcW w:w="4095" w:type="dxa"/>
            <w:tcBorders>
              <w:top w:val="nil"/>
            </w:tcBorders>
            <w:shd w:color="auto" w:fill="auto" w:val="clear"/>
          </w:tcPr>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bCs/>
                <w:i w:val="false"/>
                <w:caps w:val="false"/>
                <w:smallCaps w:val="false"/>
                <w:color w:val="auto"/>
                <w:spacing w:val="0"/>
                <w:kern w:val="0"/>
                <w:sz w:val="24"/>
                <w:szCs w:val="24"/>
                <w:lang w:val="ru-RU" w:eastAsia="ru-RU" w:bidi="ar-SA"/>
              </w:rPr>
              <w:t>петли для фиксации её в расширителе трансформатора и отверстие для герметичного присоединения к расширителю и пропуска маслоуказателя.</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1.15</w:t>
            </w:r>
          </w:p>
        </w:tc>
        <w:tc>
          <w:tcPr>
            <w:tcW w:w="5103" w:type="dxa"/>
            <w:tcBorders>
              <w:top w:val="nil"/>
            </w:tcBorders>
            <w:shd w:color="auto" w:fill="auto" w:val="clear"/>
          </w:tcPr>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bCs/>
                <w:i w:val="false"/>
                <w:caps w:val="false"/>
                <w:smallCaps w:val="false"/>
                <w:color w:val="auto"/>
                <w:spacing w:val="0"/>
                <w:kern w:val="0"/>
                <w:sz w:val="24"/>
                <w:szCs w:val="24"/>
                <w:lang w:val="ru-RU" w:eastAsia="ru-RU" w:bidi="ar-SA"/>
              </w:rPr>
              <w:t>Средний срок службы защитной оболочки</w:t>
            </w:r>
          </w:p>
        </w:tc>
        <w:tc>
          <w:tcPr>
            <w:tcW w:w="4095" w:type="dxa"/>
            <w:tcBorders>
              <w:top w:val="nil"/>
            </w:tcBorders>
            <w:shd w:color="auto" w:fill="auto" w:val="clear"/>
          </w:tcPr>
          <w:p>
            <w:pPr>
              <w:pStyle w:val="Style35"/>
              <w:widowControl w:val="false"/>
              <w:suppressAutoHyphens w:val="true"/>
              <w:spacing w:before="0" w:after="200"/>
              <w:jc w:val="left"/>
              <w:rPr>
                <w:rFonts w:ascii="Times New Roman" w:hAnsi="Times New Roman"/>
                <w:b w:val="false"/>
                <w:i w:val="false"/>
                <w:i w:val="false"/>
                <w:caps w:val="false"/>
                <w:smallCaps w:val="false"/>
                <w:color w:val="000000"/>
                <w:spacing w:val="0"/>
                <w:sz w:val="20"/>
              </w:rPr>
            </w:pPr>
            <w:r>
              <w:rPr>
                <w:rFonts w:eastAsia="Times New Roman" w:cs="Times New Roman"/>
                <w:b w:val="false"/>
                <w:bCs/>
                <w:i w:val="false"/>
                <w:caps w:val="false"/>
                <w:smallCaps w:val="false"/>
                <w:color w:val="auto"/>
                <w:spacing w:val="0"/>
                <w:kern w:val="0"/>
                <w:sz w:val="24"/>
                <w:szCs w:val="24"/>
                <w:lang w:val="ru-RU" w:eastAsia="ru-RU" w:bidi="ar-SA"/>
              </w:rPr>
              <w:t>10 лет.</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1.16</w:t>
            </w:r>
          </w:p>
        </w:tc>
        <w:tc>
          <w:tcPr>
            <w:tcW w:w="5103" w:type="dxa"/>
            <w:tcBorders>
              <w:top w:val="nil"/>
            </w:tcBorders>
            <w:shd w:color="auto" w:fill="auto" w:val="clear"/>
          </w:tcPr>
          <w:p>
            <w:pPr>
              <w:pStyle w:val="Style35"/>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Эскиз(чертеж) оболочки</w:t>
            </w:r>
          </w:p>
        </w:tc>
        <w:tc>
          <w:tcPr>
            <w:tcW w:w="4095" w:type="dxa"/>
            <w:tcBorders>
              <w:top w:val="nil"/>
            </w:tcBorders>
            <w:shd w:color="auto" w:fill="auto" w:val="clear"/>
          </w:tcPr>
          <w:p>
            <w:pPr>
              <w:pStyle w:val="Style35"/>
              <w:widowControl w:val="false"/>
              <w:suppressAutoHyphens w:val="true"/>
              <w:spacing w:before="0" w:after="200"/>
              <w:jc w:val="left"/>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В приложении к ТТ</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w:t>
            </w:r>
          </w:p>
        </w:tc>
        <w:tc>
          <w:tcPr>
            <w:tcW w:w="9198"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4.1</w:t>
            </w:r>
          </w:p>
        </w:tc>
        <w:tc>
          <w:tcPr>
            <w:tcW w:w="5103" w:type="dxa"/>
            <w:tcBorders>
              <w:top w:val="nil"/>
            </w:tcBorders>
            <w:shd w:color="auto" w:fill="auto" w:val="clear"/>
          </w:tcPr>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sz w:val="24"/>
                <w:szCs w:val="24"/>
              </w:rPr>
            </w:pPr>
            <w:r>
              <w:rPr>
                <w:rFonts w:eastAsia="Calibri" w:cs="Times New Roman"/>
                <w:kern w:val="0"/>
                <w:sz w:val="24"/>
                <w:szCs w:val="24"/>
                <w:lang w:val="en-US" w:eastAsia="ru-RU" w:bidi="ar-SA"/>
              </w:rPr>
              <w:t>Га</w:t>
            </w:r>
            <w:r>
              <w:rPr>
                <w:rFonts w:eastAsia="Calibri" w:cs="Times New Roman"/>
                <w:kern w:val="0"/>
                <w:sz w:val="24"/>
                <w:szCs w:val="24"/>
                <w:lang w:val="ru-RU" w:eastAsia="ru-RU" w:bidi="ar-SA"/>
              </w:rPr>
              <w:t>рантия, не менее</w:t>
            </w:r>
          </w:p>
        </w:tc>
        <w:tc>
          <w:tcPr>
            <w:tcW w:w="4095" w:type="dxa"/>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 xml:space="preserve">Поставщик обязан установить на продукцию гарантийный срок не менее </w:t>
            </w:r>
            <w:r>
              <w:rPr>
                <w:rFonts w:eastAsia="Calibri" w:cs="Times New Roman"/>
                <w:color w:val="000000"/>
                <w:kern w:val="0"/>
                <w:sz w:val="24"/>
                <w:szCs w:val="24"/>
                <w:lang w:val="ru-RU" w:eastAsia="ru-RU" w:bidi="ar-SA"/>
              </w:rPr>
              <w:t xml:space="preserve">36 (тридцати шести) </w:t>
            </w:r>
            <w:r>
              <w:rPr>
                <w:rFonts w:eastAsia="Calibri" w:cs="Times New Roman"/>
                <w:kern w:val="0"/>
                <w:sz w:val="24"/>
                <w:szCs w:val="24"/>
                <w:lang w:val="ru-RU" w:eastAsia="ru-RU" w:bidi="ar-SA"/>
              </w:rPr>
              <w:t>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5</w:t>
            </w:r>
            <w:r>
              <w:rPr>
                <w:rFonts w:cs="Times New Roman"/>
                <w:b/>
                <w:bCs/>
                <w:kern w:val="0"/>
                <w:lang w:val="en-US" w:eastAsia="ru-RU" w:bidi="ar-SA"/>
              </w:rPr>
              <w:t>.</w:t>
            </w:r>
          </w:p>
        </w:tc>
        <w:tc>
          <w:tcPr>
            <w:tcW w:w="9198"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5.1</w:t>
            </w:r>
          </w:p>
        </w:tc>
        <w:tc>
          <w:tcPr>
            <w:tcW w:w="5103"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Документы, передаваемые вместе с продукцией</w:t>
            </w:r>
          </w:p>
        </w:tc>
        <w:tc>
          <w:tcPr>
            <w:tcW w:w="4095"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Паспорт; сертификат качества;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Руководство по эксплуатации и техническому обслуживанию (на русском языке);</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Товарную накладную унифицированной формы ТОРГ-12(УПД) в 2 экз.</w:t>
            </w:r>
          </w:p>
        </w:tc>
      </w:tr>
      <w:tr>
        <w:trPr/>
        <w:tc>
          <w:tcPr>
            <w:tcW w:w="837"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6</w:t>
            </w:r>
            <w:r>
              <w:rPr>
                <w:rFonts w:eastAsia="Times New Roman" w:cs="Times New Roman"/>
                <w:b/>
                <w:bCs/>
                <w:kern w:val="0"/>
                <w:sz w:val="24"/>
                <w:szCs w:val="24"/>
                <w:lang w:val="en-US" w:eastAsia="x-none" w:bidi="ar-SA"/>
              </w:rPr>
              <w:t>.</w:t>
            </w:r>
          </w:p>
        </w:tc>
        <w:tc>
          <w:tcPr>
            <w:tcW w:w="91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37"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6.1</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tc>
        <w:tc>
          <w:tcPr>
            <w:tcW w:w="409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37"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6.2</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tc>
        <w:tc>
          <w:tcPr>
            <w:tcW w:w="409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37"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6.3</w:t>
            </w:r>
          </w:p>
        </w:tc>
        <w:tc>
          <w:tcPr>
            <w:tcW w:w="9198"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37"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7</w:t>
            </w:r>
            <w:r>
              <w:rPr>
                <w:rFonts w:eastAsia="Times New Roman" w:cs="Times New Roman"/>
                <w:b/>
                <w:bCs/>
                <w:kern w:val="0"/>
                <w:sz w:val="24"/>
                <w:szCs w:val="24"/>
                <w:lang w:val="en-US" w:eastAsia="x-none" w:bidi="ar-SA"/>
              </w:rPr>
              <w:t>.</w:t>
            </w:r>
          </w:p>
        </w:tc>
        <w:tc>
          <w:tcPr>
            <w:tcW w:w="9198"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37"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7.1</w:t>
            </w:r>
          </w:p>
        </w:tc>
        <w:tc>
          <w:tcPr>
            <w:tcW w:w="9198"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p>
      <w:pPr>
        <w:pStyle w:val="Normal"/>
        <w:spacing w:before="120" w:after="60"/>
        <w:ind w:left="1224" w:hanging="0"/>
        <w:rPr/>
      </w:pPr>
      <w:r>
        <w:rPr/>
      </w:r>
    </w:p>
    <w:p>
      <w:pPr>
        <w:pStyle w:val="Normal"/>
        <w:spacing w:before="120" w:after="60"/>
        <w:ind w:left="1224" w:hanging="0"/>
        <w:rPr/>
      </w:pPr>
      <w:r>
        <w:rPr/>
      </w:r>
    </w:p>
    <w:p>
      <w:pPr>
        <w:pStyle w:val="Normal"/>
        <w:spacing w:before="120" w:after="60"/>
        <w:ind w:hanging="0"/>
        <w:rPr/>
      </w:pPr>
      <w:r>
        <w:rPr/>
      </w:r>
    </w:p>
    <w:p>
      <w:pPr>
        <w:pStyle w:val="Normal"/>
        <w:spacing w:before="120" w:after="60"/>
        <w:ind w:left="1224" w:hanging="0"/>
        <w:rPr/>
      </w:pPr>
      <w:r>
        <w:rPr/>
      </w:r>
    </w:p>
    <w:tbl>
      <w:tblPr>
        <w:tblW w:w="1119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649"/>
        <w:gridCol w:w="6546"/>
      </w:tblGrid>
      <w:tr>
        <w:trPr/>
        <w:tc>
          <w:tcPr>
            <w:tcW w:w="4649" w:type="dxa"/>
            <w:tcBorders/>
            <w:shd w:color="auto" w:fill="auto" w:val="clear"/>
          </w:tcPr>
          <w:p>
            <w:pPr>
              <w:pStyle w:val="Normal"/>
              <w:widowControl w:val="false"/>
              <w:tabs>
                <w:tab w:val="clear" w:pos="708"/>
                <w:tab w:val="left" w:pos="1125" w:leader="none"/>
              </w:tabs>
              <w:spacing w:before="0" w:after="0"/>
              <w:contextualSpacing/>
              <w:rPr>
                <w:rFonts w:ascii="Times New Roman" w:hAnsi="Times New Roman"/>
                <w:bCs/>
              </w:rPr>
            </w:pPr>
            <w:r>
              <w:rPr>
                <w:bCs/>
              </w:rPr>
              <w:t xml:space="preserve">          </w:t>
            </w:r>
          </w:p>
        </w:tc>
        <w:tc>
          <w:tcPr>
            <w:tcW w:w="6546" w:type="dxa"/>
            <w:tcBorders/>
            <w:shd w:color="auto" w:fill="auto" w:val="clear"/>
          </w:tcPr>
          <w:p>
            <w:pPr>
              <w:pStyle w:val="Normal"/>
              <w:widowControl w:val="false"/>
              <w:tabs>
                <w:tab w:val="clear" w:pos="708"/>
                <w:tab w:val="left" w:pos="1125" w:leader="none"/>
              </w:tabs>
              <w:spacing w:before="0" w:after="0"/>
              <w:contextualSpacing/>
              <w:jc w:val="center"/>
              <w:rPr>
                <w:rFonts w:ascii="Times New Roman" w:hAnsi="Times New Roman"/>
                <w:bCs/>
              </w:rPr>
            </w:pPr>
            <w:r>
              <w:rPr/>
            </w:r>
          </w:p>
        </w:tc>
      </w:tr>
    </w:tbl>
    <w:p>
      <w:pPr>
        <w:pStyle w:val="Normal"/>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1">
    <w:name w:val="Strong1"/>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2"/>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0"/>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character" w:styleId="Strong">
    <w:name w:val="Strong"/>
    <w:qFormat/>
    <w:rPr>
      <w:b/>
      <w:bCs/>
    </w:rPr>
  </w:style>
  <w:style w:type="character" w:styleId="Style15">
    <w:name w:val="Маркеры"/>
    <w:qFormat/>
    <w:rPr>
      <w:rFonts w:ascii="OpenSymbol" w:hAnsi="OpenSymbol" w:eastAsia="OpenSymbol" w:cs="OpenSymbol"/>
    </w:rPr>
  </w:style>
  <w:style w:type="paragraph" w:styleId="Style16">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7">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8" w:customStyle="1">
    <w:name w:val="Название раздела инструкции"/>
    <w:basedOn w:val="Normal"/>
    <w:autoRedefine/>
    <w:qFormat/>
    <w:rsid w:val="00275328"/>
    <w:pPr>
      <w:jc w:val="center"/>
    </w:pPr>
    <w:rPr>
      <w:b/>
    </w:rPr>
  </w:style>
  <w:style w:type="paragraph" w:styleId="Style19"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0"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1"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2"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3" w:customStyle="1">
    <w:name w:val="Раздел регламента"/>
    <w:basedOn w:val="Normal"/>
    <w:qFormat/>
    <w:rsid w:val="00e228fa"/>
    <w:pPr/>
    <w:rPr/>
  </w:style>
  <w:style w:type="paragraph" w:styleId="Style24"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5"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6"/>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6"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7"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8"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9" w:customStyle="1">
    <w:name w:val="Таблица шапка"/>
    <w:basedOn w:val="Normal"/>
    <w:qFormat/>
    <w:rsid w:val="00f64089"/>
    <w:pPr>
      <w:keepNext w:val="true"/>
      <w:spacing w:before="40" w:after="40"/>
      <w:ind w:left="57" w:right="57" w:hanging="0"/>
    </w:pPr>
    <w:rPr>
      <w:sz w:val="22"/>
      <w:szCs w:val="26"/>
    </w:rPr>
  </w:style>
  <w:style w:type="paragraph" w:styleId="Style30" w:customStyle="1">
    <w:name w:val="Подподпункт"/>
    <w:basedOn w:val="Style22"/>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1"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2"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3"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4"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5" w:customStyle="1">
    <w:name w:val="Содержимое таблицы"/>
    <w:basedOn w:val="Normal"/>
    <w:qFormat/>
    <w:pPr>
      <w:widowControl w:val="false"/>
      <w:suppressLineNumbers/>
    </w:pPr>
    <w:rPr/>
  </w:style>
  <w:style w:type="paragraph" w:styleId="Style36" w:customStyle="1">
    <w:name w:val="Заголовок таблицы"/>
    <w:basedOn w:val="Style35"/>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Application>AlterOffice/3.4.0.9$Linux_X86_64 LibreOffice_project/b8daf9e823b1a5463a2f48435ddc2e8696e7d4fc</Application>
  <AppVersion>15.0000</AppVersion>
  <DocSecurity>4</DocSecurity>
  <Pages>4</Pages>
  <Words>517</Words>
  <Characters>3480</Characters>
  <CharactersWithSpaces>3928</CharactersWithSpaces>
  <Paragraphs>97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
  <dcterms:modified xsi:type="dcterms:W3CDTF">2026-06-17T14:39:37Z</dcterms:modified>
  <cp:revision>30</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