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footer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ocument.xml" ContentType="application/vnd.openxmlformats-officedocument.wordprocessingml.document.main+xml"/>
  <Override PartName="/word/footer6.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8.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oter7.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 xml:space="preserve">Договор поставки №           </w:t>
      </w:r>
    </w:p>
    <w:p>
      <w:pPr>
        <w:pStyle w:val="Normal"/>
        <w:spacing w:before="0" w:after="120"/>
        <w:rPr>
          <w:sz w:val="24"/>
          <w:szCs w:val="24"/>
        </w:rPr>
      </w:pPr>
      <w:r>
        <w:rPr>
          <w:sz w:val="24"/>
          <w:szCs w:val="24"/>
        </w:rPr>
        <w:t>г. Жигулёвск</w:t>
        <w:tab/>
        <w:tab/>
        <w:tab/>
        <w:tab/>
        <w:tab/>
        <w:tab/>
        <w:t xml:space="preserve">                                    «    »                г.</w:t>
      </w:r>
    </w:p>
    <w:p>
      <w:pPr>
        <w:pStyle w:val="Normal"/>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xml:space="preserve">», в лице Директора Жигулёвского филиала </w:t>
        <w:br/>
        <w:t>АО «Гидроремонт – ВКК» в г. Жигулёвск                      с одной стороны, и</w:t>
      </w:r>
    </w:p>
    <w:p>
      <w:pPr>
        <w:pStyle w:val="Normal"/>
        <w:keepNext w:val="true"/>
        <w:suppressAutoHyphens w:val="true"/>
        <w:spacing w:before="60" w:after="60"/>
        <w:jc w:val="both"/>
        <w:rPr>
          <w:sz w:val="24"/>
          <w:szCs w:val="24"/>
        </w:rPr>
      </w:pPr>
      <w:r>
        <w:rPr>
          <w:sz w:val="24"/>
          <w:szCs w:val="24"/>
        </w:rPr>
        <w:t xml:space="preserve"> </w:t>
      </w:r>
      <w:r>
        <w:rPr>
          <w:sz w:val="24"/>
          <w:szCs w:val="24"/>
        </w:rPr>
        <w:t>именуемое в дальнейшем «</w:t>
      </w:r>
      <w:r>
        <w:rPr>
          <w:b/>
          <w:sz w:val="24"/>
          <w:szCs w:val="24"/>
        </w:rPr>
        <w:t>Поставщик</w:t>
      </w:r>
      <w:r>
        <w:rPr>
          <w:sz w:val="24"/>
          <w:szCs w:val="24"/>
        </w:rPr>
        <w:t xml:space="preserve">», действующий на основании Свидетельства о государственной регистрациий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sz w:val="24"/>
          <w:szCs w:val="24"/>
        </w:rPr>
      </w:pPr>
      <w:r>
        <w:rPr>
          <w:sz w:val="24"/>
          <w:szCs w:val="24"/>
        </w:rPr>
        <w:t>по результатам проведенной нерегламентированной закупки, что подтверждается аналитической запиской о результатах анализа предложений, представленных в отношении нерегламентированной закупки от  г.</w:t>
      </w:r>
      <w:r>
        <w:rPr>
          <w:bCs/>
          <w:sz w:val="24"/>
          <w:szCs w:val="24"/>
        </w:rPr>
        <w:t>,</w:t>
      </w:r>
      <w:r>
        <w:rPr>
          <w:sz w:val="24"/>
          <w:szCs w:val="24"/>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 xml:space="preserve">Поставщик обязуется передать Покупателю </w:t>
      </w:r>
      <w:r>
        <w:rPr>
          <w:i/>
          <w:sz w:val="24"/>
        </w:rPr>
        <w:t>бутилированную питьевую воду</w:t>
      </w:r>
      <w:r>
        <w:rPr>
          <w:b w:val="false"/>
          <w:sz w:val="24"/>
        </w:rPr>
        <w:t xml:space="preserve"> (далее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и техническими требованиями (</w:t>
      </w:r>
      <w:r>
        <w:rPr>
          <w:sz w:val="24"/>
        </w:rPr>
        <w:t>Приложение № 2</w:t>
      </w:r>
      <w:r>
        <w:rPr>
          <w:b w:val="false"/>
          <w:sz w:val="24"/>
        </w:rPr>
        <w:t>), а Покупатель обязуется принять и оплатить Продукцию в установленном Договором порядке.</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Количество Продукции по каждой партии указывается Покупателем в Заявке. Заявка на соответствующую партию Продукции передается устно по телефону Поставщику. После получения Заявки Поставщик обязан поставить Продукцию в Место поставки не позднее следующего рабочего дня. </w:t>
      </w:r>
    </w:p>
    <w:p>
      <w:pPr>
        <w:pStyle w:val="ListParagraph"/>
        <w:numPr>
          <w:ilvl w:val="1"/>
          <w:numId w:val="6"/>
        </w:numPr>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Жигулёвского филиала АО «Гидроремонт-ВКК» в г. Жигулёвск.</w:t>
      </w:r>
    </w:p>
    <w:p>
      <w:pPr>
        <w:pStyle w:val="ListParagraph"/>
        <w:numPr>
          <w:ilvl w:val="1"/>
          <w:numId w:val="6"/>
        </w:numPr>
        <w:tabs>
          <w:tab w:val="clear" w:pos="720"/>
          <w:tab w:val="left" w:pos="567" w:leader="none"/>
        </w:tabs>
        <w:ind w:left="142" w:firstLine="425"/>
        <w:jc w:val="both"/>
        <w:rPr>
          <w:sz w:val="24"/>
          <w:szCs w:val="24"/>
        </w:rPr>
      </w:pPr>
      <w:r>
        <w:rPr>
          <w:sz w:val="24"/>
          <w:szCs w:val="24"/>
        </w:rPr>
        <w:t>Место поставки: РФ, 445350, Российская Федерация, Самарская область, г. Жигулевск, Жигулевская ГЭС, Московское шоссе, 2. (далее – «Место поставки»).</w:t>
      </w:r>
    </w:p>
    <w:p>
      <w:pPr>
        <w:pStyle w:val="ListParagraph"/>
        <w:numPr>
          <w:ilvl w:val="1"/>
          <w:numId w:val="6"/>
        </w:numPr>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Срок поставки Продукции по договору: </w:t>
      </w:r>
      <w:r>
        <w:rPr>
          <w:sz w:val="22"/>
          <w:szCs w:val="22"/>
          <w:lang w:eastAsia="x-none"/>
        </w:rPr>
        <w:t>С даты подписания договора</w:t>
      </w:r>
      <w:r>
        <w:rPr>
          <w:sz w:val="24"/>
          <w:szCs w:val="24"/>
        </w:rPr>
        <w:t xml:space="preserve"> по 30.12.2026 г. </w:t>
      </w:r>
    </w:p>
    <w:p>
      <w:pPr>
        <w:pStyle w:val="Normal"/>
        <w:widowControl w:val="false"/>
        <w:numPr>
          <w:ilvl w:val="0"/>
          <w:numId w:val="6"/>
        </w:numPr>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highlight w:val="yellow"/>
        </w:rPr>
      </w:pPr>
      <w:r>
        <w:rPr>
          <w:sz w:val="24"/>
          <w:szCs w:val="24"/>
        </w:rPr>
        <w:t xml:space="preserve">Предельная стоимость Продукции (далее – «Цена Договора») по Договору составляет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Все налоги и сборы;</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доставки Продукции, подъема на этаж, погрузо-разгрузочные работы. </w:t>
      </w:r>
    </w:p>
    <w:p>
      <w:pPr>
        <w:pStyle w:val="Normal"/>
        <w:tabs>
          <w:tab w:val="clear" w:pos="720"/>
          <w:tab w:val="left" w:pos="0" w:leader="none"/>
          <w:tab w:val="left" w:pos="851" w:leader="none"/>
        </w:tabs>
        <w:spacing w:before="0" w:after="120"/>
        <w:ind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Цена единицы Продукции определена в Спецификации, является фиксированной и не подлежит изменению в одностороннем порядке.</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Оплата в соответствии с Договором осуществляется следующим образом:</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2.4.1.  Платеж, в размере 100 % (Сто процентов) от стоимости поставленной партии Продукции, согласно Заявки, производится Покупателем в течение 7 (семи) рабочих дней с даты подписания Сторонами Товарной накладной по форме ТОРГ-12 или Универсального передаточного документа (УПД) на соответствующую партию Продукции, при условии получении счета, выставленного Поставщиком, и с учетом пункта 2.5 Договора.</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Расчеты по Договору осуществляются в валюте Российской Федерации. Оплата производится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бутыли (тары) не включена в стоимость Продукции.</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и количество поставляемой Продукции должны соответствовать требованиям Покупателя, Договора,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 с обязательным указанием номера и даты Заявки в 1 экз.</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недостатков (дефектов) Продукции, Покупатель незамедлительно прекращает приемку Продукции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или замена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3.6.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На Продукцию устанавливается остаточный срок годности Продукции не менее 95 % (девяносто пять процентов) на день Поставки (дата розлива должна быть указана на пломбе пробки бутыли).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0" w:name="OLE_LINK5"/>
      <w:bookmarkStart w:id="1" w:name="OLE_LINK6"/>
      <w:r>
        <w:rPr>
          <w:sz w:val="24"/>
          <w:szCs w:val="24"/>
        </w:rPr>
        <w:t>Покупателем</w:t>
      </w:r>
      <w:bookmarkEnd w:id="0"/>
      <w:bookmarkEnd w:id="1"/>
      <w:r>
        <w:rPr>
          <w:sz w:val="24"/>
          <w:szCs w:val="24"/>
        </w:rPr>
        <w:t xml:space="preserve">, путем замены Продукции.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3.6.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Бутыли являются оборотной тарой и подлежат обязательному возврату Покупателем Поставщику.</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Покупатель не может продать, передать бутыли третьим лицам или использовать их в других целях, не связанных с хранением поставленной Продукции.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окончании или расторжении договора, Покупатель обязан возвратить Поставщику все бутыли.</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Поставка Продукции по Договору осуществляется Поставщиком в соответствии с Заявками в Место поставки согласно п.1.4. Доставка и разгрузка Продукции осуществляется Поставщиком.</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по окончании срока действия Договора общая стоимость всех заявок, направленных в адрес Поставщика в период действия Договора, будет меньше Цены договора, указанной в п.2.1. настоящего Договора, Стороны обязуются заключить дополнительное соглашение о снижении Цены договора до общей стоимости Заявок.</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Покупателем сроков оплаты поставленного Товара,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bookmarkStart w:id="2" w:name="_Hlk130023773"/>
      <w:r>
        <w:rPr>
          <w:sz w:val="24"/>
          <w:szCs w:val="24"/>
        </w:rPr>
        <w:t xml:space="preserve">В случае </w:t>
      </w:r>
      <w:bookmarkStart w:id="3" w:name="_Hlk130023740"/>
      <w:r>
        <w:rPr>
          <w:sz w:val="24"/>
          <w:szCs w:val="24"/>
        </w:rPr>
        <w:t xml:space="preserve">нарушения </w:t>
      </w:r>
      <w:bookmarkEnd w:id="3"/>
      <w:r>
        <w:rPr>
          <w:sz w:val="24"/>
          <w:szCs w:val="24"/>
        </w:rPr>
        <w:t>Поставщиком обязательств по поставке Товара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2"/>
      <w:r>
        <w:rPr>
          <w:sz w:val="24"/>
          <w:szCs w:val="24"/>
        </w:rPr>
        <w:t>.</w:t>
        <w:tab/>
        <w:t xml:space="preserve">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numPr>
          <w:ilvl w:val="1"/>
          <w:numId w:val="6"/>
        </w:numPr>
        <w:shd w:val="clear" w:color="auto" w:fill="FFFFFF"/>
        <w:tabs>
          <w:tab w:val="clear" w:pos="720"/>
          <w:tab w:val="left" w:pos="1134" w:leader="none"/>
        </w:tabs>
        <w:jc w:val="both"/>
        <w:rPr>
          <w:bCs/>
          <w:color w:val="000000"/>
          <w:sz w:val="24"/>
          <w:szCs w:val="24"/>
        </w:rPr>
      </w:pPr>
      <w:r>
        <w:rPr>
          <w:color w:val="000000"/>
          <w:sz w:val="24"/>
          <w:szCs w:val="24"/>
        </w:rPr>
        <w:t>Стороны обязуются обеспечить, чтобы при исполнении обязательств,</w:t>
      </w:r>
    </w:p>
    <w:p>
      <w:pPr>
        <w:pStyle w:val="Normal"/>
        <w:shd w:val="clear" w:color="auto" w:fill="FFFFFF"/>
        <w:tabs>
          <w:tab w:val="clear" w:pos="720"/>
          <w:tab w:val="left" w:pos="1134" w:leader="none"/>
        </w:tabs>
        <w:jc w:val="both"/>
        <w:rPr>
          <w:bCs/>
          <w:color w:val="000000"/>
          <w:sz w:val="24"/>
          <w:szCs w:val="24"/>
        </w:rPr>
      </w:pPr>
      <w:r>
        <w:rPr>
          <w:color w:val="000000"/>
          <w:sz w:val="24"/>
          <w:szCs w:val="24"/>
        </w:rPr>
        <w:t>возникающих по договору</w:t>
      </w:r>
      <w:r>
        <w:rPr>
          <w:rStyle w:val="FootnoteReference"/>
          <w:color w:val="000000"/>
          <w:sz w:val="24"/>
          <w:szCs w:val="24"/>
        </w:rPr>
        <w:footnoteReference w:id="2"/>
      </w:r>
      <w:r>
        <w:rPr>
          <w:color w:val="000000"/>
          <w:sz w:val="24"/>
          <w:szCs w:val="24"/>
        </w:rPr>
        <w:t xml:space="preserve">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6"/>
        </w:numPr>
        <w:shd w:val="clear" w:color="auto" w:fill="FFFFFF"/>
        <w:tabs>
          <w:tab w:val="clear" w:pos="720"/>
          <w:tab w:val="left" w:pos="1134" w:leader="none"/>
        </w:tabs>
        <w:jc w:val="both"/>
        <w:rPr>
          <w:bCs/>
          <w:color w:val="000000"/>
          <w:sz w:val="24"/>
          <w:szCs w:val="24"/>
        </w:rPr>
      </w:pPr>
      <w:r>
        <w:rPr>
          <w:bCs/>
          <w:color w:val="000000"/>
          <w:sz w:val="24"/>
          <w:szCs w:val="24"/>
        </w:rPr>
        <w:t>При исполнении своих обязательств по Договору, Стороны, их аффилирован-</w:t>
      </w:r>
    </w:p>
    <w:p>
      <w:pPr>
        <w:pStyle w:val="Normal"/>
        <w:shd w:val="clear" w:color="auto" w:fill="FFFFFF"/>
        <w:tabs>
          <w:tab w:val="clear" w:pos="720"/>
          <w:tab w:val="left" w:pos="1134" w:leader="none"/>
        </w:tabs>
        <w:jc w:val="both"/>
        <w:rPr>
          <w:bCs/>
          <w:color w:val="000000"/>
          <w:sz w:val="24"/>
          <w:szCs w:val="24"/>
        </w:rPr>
      </w:pPr>
      <w:r>
        <w:rPr>
          <w:bCs/>
          <w:color w:val="000000"/>
          <w:sz w:val="24"/>
          <w:szCs w:val="24"/>
        </w:rPr>
        <w:t>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6"/>
        </w:numPr>
        <w:shd w:val="clear" w:color="auto" w:fill="FFFFFF"/>
        <w:tabs>
          <w:tab w:val="clear" w:pos="720"/>
          <w:tab w:val="left" w:pos="1134" w:leader="none"/>
        </w:tabs>
        <w:jc w:val="both"/>
        <w:rPr>
          <w:bCs/>
          <w:color w:val="000000"/>
          <w:sz w:val="24"/>
          <w:szCs w:val="24"/>
        </w:rPr>
      </w:pPr>
      <w:r>
        <w:rPr>
          <w:bCs/>
          <w:color w:val="000000"/>
          <w:sz w:val="24"/>
          <w:szCs w:val="24"/>
        </w:rPr>
        <w:t>В случае возникновения у любой Стороны обоснованных предположений, что</w:t>
      </w:r>
    </w:p>
    <w:p>
      <w:pPr>
        <w:pStyle w:val="Normal"/>
        <w:shd w:val="clear" w:color="auto" w:fill="FFFFFF"/>
        <w:tabs>
          <w:tab w:val="clear" w:pos="720"/>
          <w:tab w:val="left" w:pos="1134" w:leader="none"/>
        </w:tabs>
        <w:jc w:val="both"/>
        <w:rPr>
          <w:bCs/>
          <w:color w:val="000000"/>
          <w:sz w:val="24"/>
          <w:szCs w:val="24"/>
        </w:rPr>
      </w:pPr>
      <w:r>
        <w:rPr>
          <w:bCs/>
          <w:color w:val="000000"/>
          <w:sz w:val="24"/>
          <w:szCs w:val="24"/>
        </w:rPr>
        <w:t>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6"/>
        </w:numPr>
        <w:shd w:val="clear" w:color="auto" w:fill="FFFFFF"/>
        <w:tabs>
          <w:tab w:val="clear" w:pos="720"/>
          <w:tab w:val="left" w:pos="1134" w:leader="none"/>
        </w:tabs>
        <w:jc w:val="both"/>
        <w:rPr>
          <w:bCs/>
          <w:color w:val="000000"/>
          <w:sz w:val="24"/>
          <w:szCs w:val="24"/>
        </w:rPr>
      </w:pPr>
      <w:r>
        <w:rPr>
          <w:bCs/>
          <w:color w:val="000000"/>
          <w:sz w:val="24"/>
          <w:szCs w:val="24"/>
        </w:rPr>
        <w:t>После направления письменного уведомления соответствующая Сторона имеет</w:t>
      </w:r>
    </w:p>
    <w:p>
      <w:pPr>
        <w:pStyle w:val="Normal"/>
        <w:shd w:val="clear" w:color="auto" w:fill="FFFFFF"/>
        <w:tabs>
          <w:tab w:val="clear" w:pos="720"/>
          <w:tab w:val="left" w:pos="1134" w:leader="none"/>
        </w:tabs>
        <w:jc w:val="both"/>
        <w:rPr>
          <w:bCs/>
          <w:color w:val="000000"/>
          <w:sz w:val="24"/>
          <w:szCs w:val="24"/>
        </w:rPr>
      </w:pPr>
      <w:r>
        <w:rPr>
          <w:bCs/>
          <w:color w:val="000000"/>
          <w:sz w:val="24"/>
          <w:szCs w:val="24"/>
        </w:rPr>
        <w:t>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6"/>
        </w:numPr>
        <w:shd w:val="clear" w:color="auto" w:fill="FFFFFF"/>
        <w:tabs>
          <w:tab w:val="clear" w:pos="720"/>
          <w:tab w:val="left" w:pos="1134" w:leader="none"/>
        </w:tabs>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w:t>
      </w:r>
    </w:p>
    <w:p>
      <w:pPr>
        <w:pStyle w:val="Normal"/>
        <w:shd w:val="clear" w:color="auto" w:fill="FFFFFF"/>
        <w:tabs>
          <w:tab w:val="clear" w:pos="720"/>
          <w:tab w:val="left" w:pos="1134" w:leader="none"/>
        </w:tabs>
        <w:jc w:val="both"/>
        <w:rPr>
          <w:bCs/>
          <w:color w:val="000000"/>
          <w:sz w:val="24"/>
          <w:szCs w:val="24"/>
        </w:rPr>
      </w:pPr>
      <w:r>
        <w:rPr>
          <w:bCs/>
          <w:color w:val="000000"/>
          <w:sz w:val="24"/>
          <w:szCs w:val="24"/>
        </w:rPr>
        <w:t xml:space="preserve">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6"/>
        </w:numPr>
        <w:shd w:val="clear" w:color="auto" w:fill="FFFFFF"/>
        <w:tabs>
          <w:tab w:val="clear" w:pos="720"/>
          <w:tab w:val="left" w:pos="1134" w:leader="none"/>
        </w:tabs>
        <w:jc w:val="both"/>
        <w:rPr>
          <w:bCs/>
          <w:color w:val="000000"/>
          <w:sz w:val="24"/>
          <w:szCs w:val="24"/>
        </w:rPr>
      </w:pPr>
      <w:r>
        <w:rPr>
          <w:bCs/>
          <w:color w:val="000000"/>
          <w:sz w:val="24"/>
          <w:szCs w:val="24"/>
        </w:rPr>
        <w:t>В случае подтверждения факта нарушения одной Стороной положений настоя-</w:t>
      </w:r>
    </w:p>
    <w:p>
      <w:pPr>
        <w:pStyle w:val="Normal"/>
        <w:shd w:val="clear" w:color="auto" w:fill="FFFFFF"/>
        <w:tabs>
          <w:tab w:val="clear" w:pos="720"/>
          <w:tab w:val="left" w:pos="1134" w:leader="none"/>
        </w:tabs>
        <w:jc w:val="both"/>
        <w:rPr>
          <w:bCs/>
          <w:color w:val="000000"/>
          <w:sz w:val="24"/>
          <w:szCs w:val="24"/>
        </w:rPr>
      </w:pPr>
      <w:r>
        <w:rPr>
          <w:bCs/>
          <w:color w:val="000000"/>
          <w:sz w:val="24"/>
          <w:szCs w:val="24"/>
        </w:rPr>
        <w:t xml:space="preserve">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numPr>
          <w:ilvl w:val="1"/>
          <w:numId w:val="6"/>
        </w:numPr>
        <w:shd w:val="clear" w:color="auto" w:fill="FFFFFF"/>
        <w:tabs>
          <w:tab w:val="clear" w:pos="720"/>
          <w:tab w:val="left" w:pos="567" w:leader="none"/>
          <w:tab w:val="left" w:pos="1134" w:leader="none"/>
        </w:tabs>
        <w:jc w:val="both"/>
        <w:rPr>
          <w:color w:val="000000"/>
          <w:sz w:val="24"/>
          <w:szCs w:val="24"/>
        </w:rPr>
      </w:pPr>
      <w:r>
        <w:rPr>
          <w:color w:val="000000"/>
          <w:sz w:val="24"/>
          <w:szCs w:val="24"/>
        </w:rPr>
        <w:t xml:space="preserve">Каналы связи Линия доверия Группы РусГидро: </w:t>
      </w:r>
    </w:p>
    <w:p>
      <w:pPr>
        <w:pStyle w:val="ListParagraph"/>
        <w:numPr>
          <w:ilvl w:val="1"/>
          <w:numId w:val="6"/>
        </w:numPr>
        <w:shd w:val="clear" w:color="auto" w:fill="FFFFFF"/>
        <w:tabs>
          <w:tab w:val="clear" w:pos="720"/>
          <w:tab w:val="left" w:pos="567" w:leader="none"/>
          <w:tab w:val="left" w:pos="1134" w:leader="none"/>
        </w:tabs>
        <w:jc w:val="both"/>
        <w:rPr>
          <w:sz w:val="24"/>
          <w:szCs w:val="24"/>
        </w:rPr>
      </w:pPr>
      <w:r>
        <w:rPr>
          <w:sz w:val="24"/>
          <w:szCs w:val="24"/>
        </w:rPr>
        <w:t xml:space="preserve">Электронная почта: </w:t>
      </w:r>
    </w:p>
    <w:p>
      <w:pPr>
        <w:pStyle w:val="ListParagraph"/>
        <w:numPr>
          <w:ilvl w:val="1"/>
          <w:numId w:val="6"/>
        </w:numPr>
        <w:shd w:val="clear" w:color="auto" w:fill="FFFFFF"/>
        <w:tabs>
          <w:tab w:val="clear" w:pos="720"/>
          <w:tab w:val="left" w:pos="567" w:leader="none"/>
          <w:tab w:val="left" w:pos="1134" w:leader="none"/>
        </w:tabs>
        <w:jc w:val="both"/>
        <w:rPr>
          <w:sz w:val="24"/>
          <w:szCs w:val="24"/>
        </w:rPr>
      </w:pPr>
      <w:r>
        <w:rPr>
          <w:sz w:val="24"/>
          <w:szCs w:val="24"/>
        </w:rPr>
        <w:t>Специальная форма «обратной связи», размещенная на официальном сайте</w:t>
      </w:r>
    </w:p>
    <w:p>
      <w:pPr>
        <w:pStyle w:val="Normal"/>
        <w:shd w:val="clear" w:color="auto" w:fill="FFFFFF"/>
        <w:tabs>
          <w:tab w:val="clear" w:pos="720"/>
          <w:tab w:val="left" w:pos="567" w:leader="none"/>
          <w:tab w:val="left" w:pos="1134" w:leader="none"/>
        </w:tabs>
        <w:jc w:val="both"/>
        <w:rPr>
          <w:sz w:val="24"/>
          <w:szCs w:val="24"/>
        </w:rPr>
      </w:pPr>
      <w:r>
        <w:rPr>
          <w:sz w:val="24"/>
          <w:szCs w:val="24"/>
        </w:rPr>
        <w:t>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sz w:val="24"/>
          <w:szCs w:val="24"/>
        </w:rPr>
      </w:pPr>
      <w:r>
        <w:rPr>
          <w:sz w:val="24"/>
          <w:szCs w:val="24"/>
        </w:rPr>
        <w:t xml:space="preserve">Телефонный автоответчик (необходимо позвонить по телефону +7(495) 785-09-37 (круглосуточно), дождаться сигнала о начале записи и оставить устное обращение). </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4" w:name="Par2"/>
      <w:bookmarkEnd w:id="4"/>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pPr>
        <w:pStyle w:val="Normal"/>
        <w:widowControl w:val="false"/>
        <w:numPr>
          <w:ilvl w:val="0"/>
          <w:numId w:val="6"/>
        </w:numPr>
        <w:shd w:val="clear" w:color="auto" w:fill="FFFFFF"/>
        <w:tabs>
          <w:tab w:val="clear" w:pos="720"/>
          <w:tab w:val="left" w:pos="426" w:leader="none"/>
          <w:tab w:val="left" w:pos="5321"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 w:val="left" w:pos="5321"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Договор вступает в силу с даты его подписания Сторонами и действует до «31» декабря 2024г., в части взаиморасчетов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false"/>
        <w:spacing w:before="0" w:after="120"/>
        <w:ind w:left="567" w:hanging="0"/>
        <w:jc w:val="both"/>
        <w:textAlignment w:val="baseline"/>
        <w:rPr>
          <w:b w:val="false"/>
          <w:sz w:val="24"/>
          <w:szCs w:val="24"/>
        </w:rPr>
      </w:pPr>
      <w:r>
        <w:rPr>
          <w:b w:val="false"/>
          <w:sz w:val="24"/>
          <w:szCs w:val="24"/>
        </w:rPr>
        <w:t>- Приложение № 1 – Спецификация.</w:t>
      </w:r>
    </w:p>
    <w:p>
      <w:pPr>
        <w:pStyle w:val="Heading3"/>
        <w:keepNext w:val="false"/>
        <w:tabs>
          <w:tab w:val="clear" w:pos="0"/>
        </w:tabs>
        <w:overflowPunct w:val="false"/>
        <w:spacing w:before="0" w:after="120"/>
        <w:ind w:left="567" w:hanging="0"/>
        <w:jc w:val="both"/>
        <w:textAlignment w:val="baseline"/>
        <w:rPr>
          <w:b w:val="false"/>
          <w:sz w:val="24"/>
          <w:szCs w:val="24"/>
        </w:rPr>
      </w:pPr>
      <w:bookmarkStart w:id="5" w:name="sub_1"/>
      <w:r>
        <w:rPr>
          <w:b w:val="false"/>
          <w:sz w:val="24"/>
          <w:szCs w:val="24"/>
        </w:rPr>
        <w:t xml:space="preserve">- Приложение № 2 – Технические требования. </w:t>
      </w:r>
      <w:bookmarkEnd w:id="5"/>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sz w:val="24"/>
                <w:szCs w:val="24"/>
              </w:rPr>
            </w:pPr>
            <w:r>
              <w:rPr>
                <w:sz w:val="24"/>
                <w:szCs w:val="24"/>
              </w:rPr>
            </w:r>
          </w:p>
          <w:p>
            <w:pPr>
              <w:pStyle w:val="Normal"/>
              <w:widowControl w:val="false"/>
              <w:ind w:right="-108" w:hanging="0"/>
              <w:rPr>
                <w:b/>
                <w:sz w:val="24"/>
                <w:szCs w:val="24"/>
              </w:rPr>
            </w:pPr>
            <w:r>
              <w:rPr>
                <w:b/>
                <w:sz w:val="24"/>
                <w:szCs w:val="24"/>
              </w:rPr>
            </w:r>
          </w:p>
          <w:p>
            <w:pPr>
              <w:pStyle w:val="Normal"/>
              <w:widowControl w:val="false"/>
              <w:ind w:right="-108" w:hanging="0"/>
              <w:rPr>
                <w:sz w:val="24"/>
                <w:szCs w:val="24"/>
                <w:lang w:val="en-US"/>
              </w:rPr>
            </w:pPr>
            <w:r>
              <w:rPr>
                <w:sz w:val="24"/>
                <w:szCs w:val="24"/>
                <w:lang w:val="en-US"/>
              </w:rPr>
            </w:r>
          </w:p>
        </w:tc>
        <w:tc>
          <w:tcPr>
            <w:tcW w:w="4786" w:type="dxa"/>
            <w:tcBorders/>
          </w:tcPr>
          <w:p>
            <w:pPr>
              <w:pStyle w:val="Normal"/>
              <w:widowControl w:val="false"/>
              <w:rPr>
                <w:sz w:val="22"/>
                <w:szCs w:val="22"/>
                <w:lang w:val="en-US"/>
              </w:rPr>
            </w:pPr>
            <w:r>
              <w:rPr>
                <w:sz w:val="22"/>
                <w:szCs w:val="22"/>
                <w:lang w:val="en-US"/>
              </w:rPr>
            </w:r>
          </w:p>
          <w:p>
            <w:pPr>
              <w:pStyle w:val="Normal"/>
              <w:widowControl w:val="false"/>
              <w:rPr>
                <w:sz w:val="24"/>
                <w:szCs w:val="24"/>
              </w:rPr>
            </w:pPr>
            <w:r>
              <w:rPr>
                <w:sz w:val="24"/>
                <w:szCs w:val="24"/>
              </w:rPr>
            </w:r>
          </w:p>
          <w:p>
            <w:pPr>
              <w:pStyle w:val="Normal"/>
              <w:widowControl w:val="false"/>
              <w:rPr>
                <w:sz w:val="22"/>
                <w:szCs w:val="22"/>
              </w:rPr>
            </w:pPr>
            <w:r>
              <w:rPr>
                <w:sz w:val="22"/>
                <w:szCs w:val="22"/>
              </w:rPr>
            </w:r>
          </w:p>
        </w:tc>
      </w:tr>
      <w:tr>
        <w:trPr/>
        <w:tc>
          <w:tcPr>
            <w:tcW w:w="4927" w:type="dxa"/>
            <w:tcBorders/>
          </w:tcPr>
          <w:p>
            <w:pPr>
              <w:pStyle w:val="Normal"/>
              <w:widowControl w:val="false"/>
              <w:ind w:right="-108" w:hanging="0"/>
              <w:rPr>
                <w:sz w:val="24"/>
                <w:szCs w:val="24"/>
              </w:rPr>
            </w:pPr>
            <w:r>
              <w:rPr>
                <w:sz w:val="24"/>
                <w:szCs w:val="24"/>
              </w:rPr>
            </w:r>
          </w:p>
          <w:p>
            <w:pPr>
              <w:pStyle w:val="Normal"/>
              <w:widowControl w:val="false"/>
              <w:rPr>
                <w:sz w:val="24"/>
                <w:szCs w:val="24"/>
              </w:rPr>
            </w:pPr>
            <w:r>
              <w:rPr>
                <w:sz w:val="24"/>
                <w:szCs w:val="24"/>
              </w:rPr>
              <w:t>м.п.</w:t>
            </w:r>
          </w:p>
        </w:tc>
        <w:tc>
          <w:tcPr>
            <w:tcW w:w="4786" w:type="dxa"/>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2"/>
                <w:szCs w:val="22"/>
              </w:rPr>
            </w:pPr>
            <w:r>
              <w:rPr>
                <w:sz w:val="24"/>
                <w:szCs w:val="24"/>
              </w:rPr>
              <w:t>м.п.</w:t>
            </w:r>
          </w:p>
        </w:tc>
      </w:tr>
    </w:tbl>
    <w:p>
      <w:pPr>
        <w:sectPr>
          <w:footerReference w:type="even" r:id="rId5"/>
          <w:footerReference w:type="default" r:id="rId6"/>
          <w:footerReference w:type="first" r:id="rId7"/>
          <w:footnotePr>
            <w:numFmt w:val="decimal"/>
          </w:footnotePr>
          <w:type w:val="nextPage"/>
          <w:pgSz w:w="11906" w:h="16838"/>
          <w:pgMar w:left="1418" w:right="851" w:gutter="0" w:header="0" w:top="1134" w:footer="720" w:bottom="1134"/>
          <w:pgNumType w:fmt="decimal"/>
          <w:formProt w:val="false"/>
          <w:textDirection w:val="lrTb"/>
          <w:docGrid w:type="default" w:linePitch="100" w:charSpace="8192"/>
        </w:sectPr>
      </w:pPr>
    </w:p>
    <w:p>
      <w:pPr>
        <w:pStyle w:val="BodyText"/>
        <w:numPr>
          <w:ilvl w:val="0"/>
          <w:numId w:val="0"/>
        </w:numPr>
        <w:spacing w:before="0" w:after="120"/>
        <w:ind w:left="0" w:firstLine="567"/>
        <w:jc w:val="right"/>
        <w:outlineLvl w:val="0"/>
        <w:rPr>
          <w:b/>
          <w:bCs/>
          <w:sz w:val="24"/>
          <w:szCs w:val="24"/>
        </w:rPr>
      </w:pP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         </w:t>
      </w:r>
    </w:p>
    <w:p>
      <w:pPr>
        <w:pStyle w:val="BodyText"/>
        <w:spacing w:before="0" w:after="120"/>
        <w:ind w:firstLine="567"/>
        <w:jc w:val="right"/>
        <w:rPr>
          <w:bCs/>
          <w:sz w:val="24"/>
          <w:szCs w:val="24"/>
        </w:rPr>
      </w:pPr>
      <w:r>
        <w:rPr>
          <w:bCs/>
          <w:sz w:val="24"/>
          <w:szCs w:val="24"/>
        </w:rPr>
        <w:t xml:space="preserve"> </w:t>
      </w:r>
      <w:r>
        <w:rPr>
          <w:bCs/>
          <w:sz w:val="24"/>
          <w:szCs w:val="24"/>
        </w:rPr>
        <w:t>от «</w:t>
      </w:r>
      <w:r>
        <w:rPr>
          <w:bCs/>
          <w:sz w:val="24"/>
          <w:szCs w:val="24"/>
          <w:lang w:val="en-US"/>
        </w:rPr>
        <w:t xml:space="preserve">   </w:t>
      </w:r>
      <w:r>
        <w:rPr>
          <w:bCs/>
          <w:sz w:val="24"/>
          <w:szCs w:val="24"/>
        </w:rPr>
        <w:t>»                       г.</w:t>
      </w:r>
    </w:p>
    <w:p>
      <w:pPr>
        <w:pStyle w:val="Normal"/>
        <w:numPr>
          <w:ilvl w:val="0"/>
          <w:numId w:val="0"/>
        </w:numPr>
        <w:spacing w:before="0" w:after="120"/>
        <w:ind w:left="0" w:firstLine="567"/>
        <w:jc w:val="center"/>
        <w:outlineLvl w:val="0"/>
        <w:rPr>
          <w:b/>
          <w:sz w:val="24"/>
          <w:szCs w:val="24"/>
        </w:rPr>
      </w:pPr>
      <w:r>
        <w:rPr>
          <w:b/>
          <w:sz w:val="24"/>
          <w:szCs w:val="24"/>
        </w:rPr>
      </w:r>
    </w:p>
    <w:p>
      <w:pPr>
        <w:pStyle w:val="Normal"/>
        <w:numPr>
          <w:ilvl w:val="0"/>
          <w:numId w:val="0"/>
        </w:numPr>
        <w:spacing w:before="0" w:after="120"/>
        <w:ind w:left="0" w:firstLine="567"/>
        <w:jc w:val="center"/>
        <w:outlineLvl w:val="0"/>
        <w:rPr>
          <w:b/>
          <w:sz w:val="24"/>
          <w:szCs w:val="24"/>
        </w:rPr>
      </w:pPr>
      <w:r>
        <w:rPr>
          <w:b/>
          <w:sz w:val="24"/>
          <w:szCs w:val="24"/>
        </w:rPr>
        <w:t>Спецификация №1</w:t>
      </w:r>
    </w:p>
    <w:p>
      <w:pPr>
        <w:pStyle w:val="Normal"/>
        <w:numPr>
          <w:ilvl w:val="0"/>
          <w:numId w:val="0"/>
        </w:numPr>
        <w:spacing w:before="0" w:after="120"/>
        <w:ind w:left="0" w:firstLine="567"/>
        <w:jc w:val="center"/>
        <w:outlineLvl w:val="0"/>
        <w:rPr>
          <w:b/>
          <w:sz w:val="24"/>
          <w:szCs w:val="24"/>
        </w:rPr>
      </w:pPr>
      <w:r>
        <w:rPr>
          <w:b/>
          <w:sz w:val="24"/>
          <w:szCs w:val="24"/>
        </w:rPr>
      </w:r>
    </w:p>
    <w:p>
      <w:pPr>
        <w:pStyle w:val="BodyText"/>
        <w:spacing w:before="0" w:after="120"/>
        <w:ind w:firstLine="567"/>
        <w:rPr>
          <w:b/>
          <w:bCs/>
          <w:sz w:val="24"/>
          <w:szCs w:val="24"/>
        </w:rPr>
      </w:pPr>
      <w:r>
        <w:rPr>
          <w:b/>
          <w:bCs/>
          <w:sz w:val="24"/>
          <w:szCs w:val="24"/>
        </w:rPr>
      </w:r>
    </w:p>
    <w:p>
      <w:pPr>
        <w:pStyle w:val="BodyText"/>
        <w:spacing w:before="0" w:after="120"/>
        <w:ind w:firstLine="567"/>
        <w:rPr>
          <w:b/>
          <w:bCs/>
          <w:sz w:val="24"/>
          <w:szCs w:val="24"/>
        </w:rPr>
      </w:pPr>
      <w:r>
        <w:rPr>
          <w:b/>
          <w:bCs/>
          <w:sz w:val="24"/>
          <w:szCs w:val="24"/>
        </w:rPr>
      </w:r>
    </w:p>
    <w:p>
      <w:pPr>
        <w:pStyle w:val="BodyText"/>
        <w:spacing w:before="0" w:after="120"/>
        <w:ind w:firstLine="567"/>
        <w:rPr>
          <w:b/>
          <w:bCs/>
          <w:sz w:val="24"/>
          <w:szCs w:val="24"/>
        </w:rPr>
      </w:pPr>
      <w:r>
        <w:rPr>
          <w:b/>
          <w:bCs/>
          <w:sz w:val="24"/>
          <w:szCs w:val="24"/>
        </w:rPr>
      </w:r>
    </w:p>
    <w:p>
      <w:pPr>
        <w:pStyle w:val="BodyText"/>
        <w:spacing w:before="0" w:after="120"/>
        <w:ind w:firstLine="567"/>
        <w:rPr>
          <w:b/>
          <w:bCs/>
          <w:sz w:val="24"/>
          <w:szCs w:val="24"/>
        </w:rPr>
      </w:pPr>
      <w:r>
        <w:rPr>
          <w:b/>
          <w:bCs/>
          <w:sz w:val="24"/>
          <w:szCs w:val="24"/>
        </w:rPr>
      </w:r>
    </w:p>
    <w:p>
      <w:pPr>
        <w:pStyle w:val="BodyText"/>
        <w:spacing w:before="0" w:after="120"/>
        <w:ind w:firstLine="567"/>
        <w:rPr>
          <w:b/>
          <w:bCs/>
          <w:sz w:val="24"/>
          <w:szCs w:val="24"/>
        </w:rPr>
      </w:pPr>
      <w:r>
        <w:rPr>
          <w:b/>
          <w:bCs/>
          <w:sz w:val="24"/>
          <w:szCs w:val="24"/>
        </w:rPr>
      </w:r>
    </w:p>
    <w:tbl>
      <w:tblPr>
        <w:tblpPr w:bottomFromText="0" w:horzAnchor="margin" w:leftFromText="180" w:rightFromText="180" w:tblpX="0" w:tblpY="225" w:topFromText="0" w:vertAnchor="text"/>
        <w:tblW w:w="9856"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5069"/>
        <w:gridCol w:w="4786"/>
      </w:tblGrid>
      <w:tr>
        <w:trPr/>
        <w:tc>
          <w:tcPr>
            <w:tcW w:w="5069" w:type="dxa"/>
            <w:tcBorders/>
            <w:shd w:color="auto" w:fill="FFFFFF" w:themeFill="background1" w:val="clear"/>
          </w:tcPr>
          <w:p>
            <w:pPr>
              <w:pStyle w:val="Style18"/>
              <w:widowControl w:val="false"/>
              <w:spacing w:lineRule="auto" w:line="240" w:before="0" w:after="120"/>
              <w:jc w:val="left"/>
              <w:rPr>
                <w:rFonts w:ascii="Times New Roman" w:hAnsi="Times New Roman"/>
                <w:b/>
                <w:sz w:val="24"/>
                <w:szCs w:val="24"/>
                <w:u w:val="single"/>
              </w:rPr>
            </w:pPr>
            <w:r>
              <w:rPr>
                <w:rFonts w:ascii="Times New Roman" w:hAnsi="Times New Roman"/>
                <w:b/>
                <w:sz w:val="24"/>
                <w:szCs w:val="24"/>
                <w:u w:val="single"/>
                <w:lang w:val="ru-RU"/>
              </w:rPr>
              <w:t>Покупатель</w:t>
            </w:r>
            <w:r>
              <w:rPr>
                <w:rFonts w:ascii="Times New Roman" w:hAnsi="Times New Roman"/>
                <w:b/>
                <w:sz w:val="24"/>
                <w:szCs w:val="24"/>
                <w:u w:val="single"/>
              </w:rPr>
              <w:t>:</w:t>
            </w:r>
          </w:p>
        </w:tc>
        <w:tc>
          <w:tcPr>
            <w:tcW w:w="4786" w:type="dxa"/>
            <w:tcBorders/>
            <w:shd w:color="auto" w:fill="FFFFFF" w:themeFill="background1" w:val="clear"/>
          </w:tcPr>
          <w:p>
            <w:pPr>
              <w:pStyle w:val="Style18"/>
              <w:widowControl w:val="false"/>
              <w:spacing w:lineRule="auto" w:line="240" w:before="0" w:after="120"/>
              <w:ind w:firstLine="35"/>
              <w:jc w:val="left"/>
              <w:rPr>
                <w:rFonts w:ascii="Times New Roman" w:hAnsi="Times New Roman"/>
                <w:b/>
                <w:sz w:val="24"/>
                <w:szCs w:val="24"/>
                <w:u w:val="single"/>
              </w:rPr>
            </w:pPr>
            <w:r>
              <w:rPr>
                <w:rFonts w:ascii="Times New Roman" w:hAnsi="Times New Roman"/>
                <w:b/>
                <w:sz w:val="24"/>
                <w:szCs w:val="24"/>
                <w:u w:val="single"/>
                <w:lang w:val="ru-RU"/>
              </w:rPr>
              <w:t>Поставщик</w:t>
            </w:r>
            <w:r>
              <w:rPr>
                <w:rFonts w:ascii="Times New Roman" w:hAnsi="Times New Roman"/>
                <w:b/>
                <w:sz w:val="24"/>
                <w:szCs w:val="24"/>
                <w:u w:val="single"/>
              </w:rPr>
              <w:t>:</w:t>
            </w:r>
          </w:p>
        </w:tc>
      </w:tr>
      <w:tr>
        <w:trPr/>
        <w:tc>
          <w:tcPr>
            <w:tcW w:w="5069" w:type="dxa"/>
            <w:tcBorders/>
            <w:shd w:color="auto" w:fill="FFFFFF" w:themeFill="background1" w:val="clear"/>
          </w:tcPr>
          <w:p>
            <w:pPr>
              <w:pStyle w:val="Normal"/>
              <w:widowControl w:val="false"/>
              <w:ind w:right="-108" w:hanging="0"/>
              <w:rPr>
                <w:sz w:val="24"/>
                <w:szCs w:val="24"/>
              </w:rPr>
            </w:pPr>
            <w:r>
              <w:rPr>
                <w:sz w:val="24"/>
                <w:szCs w:val="24"/>
              </w:rPr>
            </w:r>
          </w:p>
        </w:tc>
        <w:tc>
          <w:tcPr>
            <w:tcW w:w="4786" w:type="dxa"/>
            <w:tcBorders/>
            <w:shd w:color="auto" w:fill="FFFFFF" w:themeFill="background1" w:val="clear"/>
          </w:tcPr>
          <w:p>
            <w:pPr>
              <w:pStyle w:val="Normal"/>
              <w:widowControl w:val="false"/>
              <w:ind w:firstLine="34"/>
              <w:rPr>
                <w:sz w:val="24"/>
                <w:szCs w:val="24"/>
              </w:rPr>
            </w:pPr>
            <w:r>
              <w:rPr>
                <w:sz w:val="24"/>
                <w:szCs w:val="24"/>
              </w:rPr>
            </w:r>
          </w:p>
        </w:tc>
      </w:tr>
    </w:tbl>
    <w:p>
      <w:pPr>
        <w:sectPr>
          <w:headerReference w:type="default" r:id="rId8"/>
          <w:footerReference w:type="even" r:id="rId9"/>
          <w:footerReference w:type="default" r:id="rId10"/>
          <w:footerReference w:type="first" r:id="rId11"/>
          <w:footnotePr>
            <w:numFmt w:val="decimal"/>
          </w:footnotePr>
          <w:type w:val="nextPage"/>
          <w:pgSz w:w="11906" w:h="16838"/>
          <w:pgMar w:left="1134" w:right="707" w:gutter="0" w:header="720" w:top="1134" w:footer="720" w:bottom="1134"/>
          <w:pgNumType w:fmt="decimal"/>
          <w:formProt w:val="false"/>
          <w:textDirection w:val="lrTb"/>
          <w:docGrid w:type="default" w:linePitch="100" w:charSpace="8192"/>
        </w:sectPr>
      </w:pPr>
      <w:r>
        <w:br w:type="page"/>
      </w:r>
    </w:p>
    <w:p>
      <w:pPr>
        <w:pStyle w:val="BodyText"/>
        <w:numPr>
          <w:ilvl w:val="0"/>
          <w:numId w:val="0"/>
        </w:numPr>
        <w:ind w:left="0" w:firstLine="567"/>
        <w:jc w:val="right"/>
        <w:outlineLvl w:val="0"/>
        <w:rPr>
          <w:b/>
          <w:bCs/>
          <w:sz w:val="24"/>
          <w:szCs w:val="24"/>
        </w:rPr>
      </w:pPr>
      <w:bookmarkStart w:id="6" w:name="_GoBack"/>
      <w:bookmarkEnd w:id="6"/>
      <w:r>
        <w:rPr>
          <w:b/>
          <w:bCs/>
          <w:sz w:val="24"/>
          <w:szCs w:val="24"/>
        </w:rPr>
        <w:t>Приложение № 2</w:t>
      </w:r>
    </w:p>
    <w:p>
      <w:pPr>
        <w:pStyle w:val="BodyText"/>
        <w:spacing w:before="0" w:after="120"/>
        <w:ind w:firstLine="567"/>
        <w:jc w:val="right"/>
        <w:rPr>
          <w:bCs/>
          <w:sz w:val="24"/>
          <w:szCs w:val="24"/>
        </w:rPr>
      </w:pPr>
      <w:r>
        <w:rPr>
          <w:bCs/>
          <w:sz w:val="24"/>
          <w:szCs w:val="24"/>
        </w:rPr>
        <w:t xml:space="preserve">к Договору поставки №    </w:t>
      </w:r>
    </w:p>
    <w:p>
      <w:pPr>
        <w:pStyle w:val="BodyText"/>
        <w:spacing w:before="0" w:after="120"/>
        <w:ind w:firstLine="567"/>
        <w:jc w:val="right"/>
        <w:rPr>
          <w:bCs/>
          <w:sz w:val="24"/>
          <w:szCs w:val="24"/>
        </w:rPr>
      </w:pPr>
      <w:r>
        <w:rPr>
          <w:bCs/>
          <w:sz w:val="24"/>
          <w:szCs w:val="24"/>
        </w:rPr>
        <w:t xml:space="preserve"> </w:t>
      </w:r>
      <w:r>
        <w:rPr>
          <w:bCs/>
          <w:sz w:val="24"/>
          <w:szCs w:val="24"/>
        </w:rPr>
        <w:t>от «</w:t>
      </w:r>
      <w:r>
        <w:rPr>
          <w:bCs/>
          <w:sz w:val="24"/>
          <w:szCs w:val="24"/>
          <w:lang w:val="en-US"/>
        </w:rPr>
        <w:t xml:space="preserve">         </w:t>
      </w:r>
      <w:r>
        <w:rPr>
          <w:bCs/>
          <w:sz w:val="24"/>
          <w:szCs w:val="24"/>
        </w:rPr>
        <w:t>» г.</w:t>
      </w:r>
    </w:p>
    <w:p>
      <w:pPr>
        <w:pStyle w:val="BodyText"/>
        <w:spacing w:lineRule="auto" w:line="240" w:before="0" w:after="120"/>
        <w:ind w:hanging="0"/>
        <w:jc w:val="center"/>
        <w:rPr>
          <w:rFonts w:eastAsia="Calibri"/>
          <w:b/>
          <w:sz w:val="26"/>
          <w:szCs w:val="26"/>
        </w:rPr>
      </w:pPr>
      <w:r>
        <w:rPr/>
      </w:r>
    </w:p>
    <w:sectPr>
      <w:headerReference w:type="default" r:id="rId12"/>
      <w:headerReference w:type="first" r:id="rId13"/>
      <w:footerReference w:type="default" r:id="rId14"/>
      <w:footerReference w:type="first" r:id="rId15"/>
      <w:footnotePr>
        <w:numFmt w:val="decimal"/>
      </w:footnotePr>
      <w:type w:val="nextPage"/>
      <w:pgSz w:w="11906" w:h="16838"/>
      <w:pgMar w:left="1701" w:right="849"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3">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15</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71.7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15</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3">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15</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71.7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15</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8">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16</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93.1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16</w:t>
                    </w:r>
                    <w:r>
                      <w:rPr>
                        <w:rStyle w:val="Pagenumber"/>
                        <w:color w:val="000000"/>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8">
              <wp:simplePos x="0" y="0"/>
              <wp:positionH relativeFrom="margin">
                <wp:align>right</wp:align>
              </wp:positionH>
              <wp:positionV relativeFrom="paragraph">
                <wp:posOffset>635</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16</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93.1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16</w:t>
                    </w:r>
                    <w:r>
                      <w:rPr>
                        <w:rStyle w:val="Pagenumber"/>
                        <w:color w:val="000000"/>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5">
              <wp:simplePos x="0" y="0"/>
              <wp:positionH relativeFrom="margin">
                <wp:align>right</wp:align>
              </wp:positionH>
              <wp:positionV relativeFrom="paragraph">
                <wp:posOffset>635</wp:posOffset>
              </wp:positionV>
              <wp:extent cx="127635" cy="145415"/>
              <wp:effectExtent l="0" t="0" r="0" b="0"/>
              <wp:wrapSquare wrapText="bothSides"/>
              <wp:docPr id="13" name="Врезка5"/>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5"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9"/>
        </w:rPr>
        <w:footnoteRef/>
      </w:r>
      <w:r>
        <w:rPr/>
        <w:t xml:space="preserve"> </w:t>
      </w:r>
      <w:r>
        <w:rPr/>
        <w:t>Соглашению и т.п.</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lvl>
    <w:lvl w:ilvl="1">
      <w:start w:val="1"/>
      <w:numFmt w:val="decimal"/>
      <w:lvlText w:val="%1.%2."/>
      <w:lvlJc w:val="left"/>
      <w:pPr>
        <w:tabs>
          <w:tab w:val="num" w:pos="999"/>
        </w:tabs>
        <w:ind w:left="999"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embedSystemFonts/>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a560b3"/>
    <w:rPr/>
  </w:style>
  <w:style w:type="character" w:styleId="1" w:customStyle="1">
    <w:name w:val="Стиль1 Знак"/>
    <w:link w:val="12"/>
    <w:qFormat/>
    <w:rsid w:val="00913a09"/>
    <w:rPr>
      <w:b/>
      <w:bCs/>
      <w:sz w:val="24"/>
      <w:szCs w:val="24"/>
    </w:rPr>
  </w:style>
  <w:style w:type="character" w:styleId="21" w:customStyle="1">
    <w:name w:val="Стиль2 Знак"/>
    <w:link w:val="22"/>
    <w:qFormat/>
    <w:rsid w:val="00913a09"/>
    <w:rPr>
      <w:sz w:val="24"/>
      <w:szCs w:val="24"/>
    </w:rPr>
  </w:style>
  <w:style w:type="character" w:styleId="X-phmenubutton" w:customStyle="1">
    <w:name w:val="x-ph__menu__button"/>
    <w:qFormat/>
    <w:rsid w:val="007d3396"/>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Стиль1"/>
    <w:basedOn w:val="Normal"/>
    <w:link w:val="1"/>
    <w:qFormat/>
    <w:rsid w:val="00913a09"/>
    <w:pPr>
      <w:widowControl w:val="false"/>
      <w:spacing w:lineRule="auto" w:line="360" w:before="200" w:after="0"/>
      <w:ind w:left="1440" w:hanging="1440"/>
      <w:jc w:val="both"/>
      <w:outlineLvl w:val="2"/>
    </w:pPr>
    <w:rPr>
      <w:b/>
      <w:bCs/>
      <w:sz w:val="24"/>
      <w:szCs w:val="24"/>
    </w:rPr>
  </w:style>
  <w:style w:type="paragraph" w:styleId="22" w:customStyle="1">
    <w:name w:val="Стиль2"/>
    <w:basedOn w:val="Normal"/>
    <w:link w:val="21"/>
    <w:qFormat/>
    <w:rsid w:val="00913a09"/>
    <w:pPr>
      <w:widowControl w:val="false"/>
      <w:spacing w:before="0" w:after="0"/>
      <w:ind w:firstLine="567"/>
      <w:contextualSpacing/>
      <w:jc w:val="both"/>
    </w:pPr>
    <w:rPr>
      <w:sz w:val="24"/>
      <w:szCs w:val="24"/>
    </w:rPr>
  </w:style>
  <w:style w:type="paragraph" w:styleId="NoSpacing">
    <w:name w:val="No Spacing"/>
    <w:uiPriority w:val="1"/>
    <w:qFormat/>
    <w:rsid w:val="00913a09"/>
    <w:pPr>
      <w:widowControl/>
      <w:suppressAutoHyphens w:val="true"/>
      <w:bidi w:val="0"/>
      <w:spacing w:before="0" w:after="0"/>
      <w:jc w:val="left"/>
    </w:pPr>
    <w:rPr>
      <w:rFonts w:ascii="Calibri" w:hAnsi="Calibri" w:eastAsia="Calibri" w:cs="Times New Roman"/>
      <w:color w:val="auto"/>
      <w:kern w:val="0"/>
      <w:sz w:val="22"/>
      <w:szCs w:val="22"/>
      <w:lang w:val="ru-RU" w:eastAsia="en-US" w:bidi="ar-SA"/>
    </w:rPr>
  </w:style>
  <w:style w:type="paragraph" w:styleId="TOC1">
    <w:name w:val="TOC 1"/>
    <w:basedOn w:val="Normal"/>
    <w:next w:val="Normal"/>
    <w:autoRedefine/>
    <w:uiPriority w:val="39"/>
    <w:rsid w:val="00a54200"/>
    <w:pPr>
      <w:suppressAutoHyphens w:val="true"/>
      <w:spacing w:before="120" w:after="0"/>
    </w:pPr>
    <w:rPr>
      <w:rFonts w:cs="Calibri Light (Заголовки)"/>
      <w:b/>
      <w:bCs/>
      <w:sz w:val="24"/>
      <w:szCs w:val="24"/>
    </w:rPr>
  </w:style>
  <w:style w:type="paragraph" w:styleId="TOC3">
    <w:name w:val="TOC 3"/>
    <w:basedOn w:val="Normal"/>
    <w:next w:val="Normal"/>
    <w:autoRedefine/>
    <w:uiPriority w:val="39"/>
    <w:rsid w:val="00a54200"/>
    <w:pPr>
      <w:tabs>
        <w:tab w:val="clear" w:pos="720"/>
        <w:tab w:val="left" w:pos="1120" w:leader="none"/>
        <w:tab w:val="right" w:pos="9911" w:leader="dot"/>
      </w:tabs>
      <w:suppressAutoHyphens w:val="true"/>
      <w:ind w:left="280" w:firstLine="287"/>
    </w:pPr>
    <w:rPr>
      <w:rFonts w:cs="Calibri" w:cstheme="minorHAnsi"/>
    </w:rPr>
  </w:style>
  <w:style w:type="paragraph" w:styleId="TOC4">
    <w:name w:val="TOC 4"/>
    <w:basedOn w:val="Normal"/>
    <w:next w:val="Normal"/>
    <w:autoRedefine/>
    <w:uiPriority w:val="39"/>
    <w:rsid w:val="00a54200"/>
    <w:pPr>
      <w:suppressAutoHyphens w:val="true"/>
      <w:ind w:left="560" w:hanging="0"/>
    </w:pPr>
    <w:rPr>
      <w:rFonts w:cs="Calibri" w:cstheme="minorHAnsi"/>
    </w:rPr>
  </w:style>
  <w:style w:type="paragraph" w:styleId="Style21">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uiPriority w:val="39"/>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1.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BC976-FEBF-426A-BABF-B9BB81885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Application>AlterOffice/3.4.0.9$Linux_X86_64 LibreOffice_project/b8daf9e823b1a5463a2f48435ddc2e8696e7d4fc</Application>
  <AppVersion>15.0000</AppVersion>
  <Pages>17</Pages>
  <Words>5562</Words>
  <Characters>39093</Characters>
  <CharactersWithSpaces>44480</CharactersWithSpaces>
  <Paragraphs>241</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2022-12-13T05:15:00Z</dcterms:created>
  <dc:creator>Света &amp; Алла (Twix)</dc:creator>
  <dc:description/>
  <dc:language>ru-RU</dc:language>
  <cp:lastModifiedBy>repevaey@corp.gidroogk.com</cp:lastModifiedBy>
  <cp:lastPrinted>2023-12-04T07:04:00Z</cp:lastPrinted>
  <dcterms:modified xsi:type="dcterms:W3CDTF">2025-07-28T08:06:37Z</dcterms:modified>
  <cp:revision>15</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