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>
      <w:pPr>
        <w:pStyle w:val="Normal"/>
        <w:ind w:firstLine="708"/>
        <w:jc w:val="center"/>
        <w:rPr>
          <w:rFonts w:eastAsia="ISOCPEUR"/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на выполнение работ с обеспечением работ оборудованием и материалами по оснащению муниципальной системы оповещения населения Дзержинского муниципального округа </w:t>
      </w:r>
      <w:r>
        <w:rPr>
          <w:rFonts w:eastAsia="ISOCPEUR"/>
          <w:b/>
          <w:sz w:val="22"/>
          <w:szCs w:val="22"/>
        </w:rPr>
        <w:t>Калужской области техническими средствами оповещения в д. Карцово на здании сельского ДК по адресу: д. Карцово, ул. Центральная, д. 3</w:t>
      </w:r>
    </w:p>
    <w:p>
      <w:pPr>
        <w:pStyle w:val="Normal"/>
        <w:ind w:firstLine="708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ind w:hanging="0" w:start="0"/>
        <w:jc w:val="center"/>
        <w:rPr>
          <w:b/>
          <w:sz w:val="22"/>
          <w:szCs w:val="22"/>
        </w:rPr>
      </w:pPr>
      <w:bookmarkStart w:id="0" w:name="_Toc522265772"/>
      <w:bookmarkStart w:id="1" w:name="_Toc517277252"/>
      <w:bookmarkStart w:id="2" w:name="_Toc288745486"/>
      <w:r>
        <w:rPr>
          <w:b/>
          <w:sz w:val="22"/>
          <w:szCs w:val="22"/>
        </w:rPr>
        <w:t>Общие сведения</w:t>
      </w:r>
    </w:p>
    <w:p>
      <w:pPr>
        <w:pStyle w:val="Normal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1.1. Предмет Договора: </w:t>
      </w:r>
      <w:r>
        <w:rPr>
          <w:rFonts w:eastAsia="ISOCPEUR"/>
          <w:sz w:val="22"/>
          <w:szCs w:val="22"/>
        </w:rPr>
        <w:t>выполнение работ с обеспечением работ оборудованием и материалами по оснащению муниципальной системы оповещения населения Дзержинского муниципального округа Калужской области техническими средствами оповещения в д. Карцово на здании сельского ДК по адресу: д. Карцово, ул. Центральная, д. 3.</w:t>
      </w:r>
    </w:p>
    <w:p>
      <w:pPr>
        <w:pStyle w:val="Normal"/>
        <w:ind w:firstLine="426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1.2. Перечень используемых сокращений: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</w:r>
    </w:p>
    <w:tbl>
      <w:tblPr>
        <w:tblW w:w="1001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127"/>
        <w:gridCol w:w="7888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Сокращение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оборона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ЕДДС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дежурно-диспетчерская служба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бесперебойного питания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КПУ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Командный пульт управления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МСОН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система оповещения населения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Программное обеспечение</w:t>
            </w:r>
          </w:p>
        </w:tc>
      </w:tr>
      <w:tr>
        <w:trPr>
          <w:trHeight w:val="181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Пульт управления</w:t>
            </w: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РСОН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система оповещения населения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РСЧС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государственная система предупреждения и ликвидации чрезвычайных ситуаций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ЦУКС</w:t>
            </w:r>
          </w:p>
        </w:tc>
        <w:tc>
          <w:tcPr>
            <w:tcW w:w="7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управления кризисными ситуациями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1.3. Основание: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Федеральный закон от 21.12.1994 г. № 68-ФЗ «О защите населения и территорий от чрезвычайных ситуаций природного и техногенного характера»;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Федеральный закон от 12.02.1998 г. № 28-ФЗ «О гражданской обороне»;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«Положение о системах оповещения населения» утвержденное совместным приказом МЧС России № 578, Минкомсвязи России № 365 от 31.07.2020;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Закон Калужской области от 22.12.1997 № 21-ОЗ «О защите населения и территорий Калужской области от чрезвычайных ситуаций природного и техногенного характера»;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Закон Калужской области от 23.10.2019 № 516-ОЗ "О гражданской обороне в Калужской области»;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Постановление Правительства РФ от 17.05.2023 № 769 «О порядке создания, реконструкции и поддержания в состоянии постоянной готовности к использованию систем оповещения населения».</w:t>
      </w:r>
    </w:p>
    <w:p>
      <w:pPr>
        <w:pStyle w:val="Normal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1.4. Заказчик: </w:t>
      </w:r>
      <w:r>
        <w:rPr>
          <w:sz w:val="22"/>
          <w:szCs w:val="22"/>
        </w:rPr>
        <w:t>ПАО «Ростелеком»</w:t>
      </w:r>
    </w:p>
    <w:p>
      <w:pPr>
        <w:pStyle w:val="Normal"/>
        <w:ind w:firstLine="426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Муниципальный заказчик:</w:t>
      </w:r>
      <w:r>
        <w:rPr>
          <w:sz w:val="22"/>
          <w:szCs w:val="22"/>
        </w:rPr>
        <w:t xml:space="preserve"> Администрация Дзержинского муниципального округа Калужской области.</w:t>
      </w:r>
    </w:p>
    <w:p>
      <w:pPr>
        <w:pStyle w:val="Normal"/>
        <w:shd w:val="clear" w:color="auto" w:fill="FFFFFF"/>
        <w:ind w:firstLine="426"/>
        <w:jc w:val="both"/>
        <w:rPr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1.5. Срок выполнения работ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с даты заключения Договора по 31 октября 2026 года</w:t>
      </w:r>
      <w:r>
        <w:rPr>
          <w:bCs/>
          <w:spacing w:val="-2"/>
          <w:sz w:val="22"/>
          <w:szCs w:val="22"/>
        </w:rPr>
        <w:t>.</w:t>
      </w:r>
    </w:p>
    <w:p>
      <w:pPr>
        <w:pStyle w:val="Normal"/>
        <w:shd w:val="clear" w:color="auto" w:fill="FFFFFF"/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ind w:hanging="0" w:star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Общие требования</w:t>
      </w:r>
    </w:p>
    <w:p>
      <w:pPr>
        <w:pStyle w:val="Normal"/>
        <w:widowControl w:val="false"/>
        <w:shd w:val="clear" w:color="auto" w:fill="FFFFFF"/>
        <w:suppressAutoHyphens w:val="false"/>
        <w:ind w:firstLine="426"/>
        <w:jc w:val="both"/>
        <w:rPr>
          <w:b/>
          <w:sz w:val="22"/>
          <w:szCs w:val="22"/>
          <w:lang w:eastAsia="ru-RU"/>
        </w:rPr>
      </w:pPr>
      <w:bookmarkStart w:id="3" w:name="_Toc288745486"/>
      <w:r>
        <w:rPr>
          <w:b/>
          <w:sz w:val="22"/>
          <w:szCs w:val="22"/>
          <w:lang w:eastAsia="ru-RU"/>
        </w:rPr>
        <w:t xml:space="preserve">2.1. Цель </w:t>
      </w:r>
      <w:bookmarkEnd w:id="3"/>
      <w:r>
        <w:rPr>
          <w:b/>
          <w:sz w:val="22"/>
          <w:szCs w:val="22"/>
          <w:lang w:eastAsia="ru-RU"/>
        </w:rPr>
        <w:t>выполнения работ: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установка новых технических средств оповещения в рамках развития </w:t>
      </w:r>
      <w:r>
        <w:rPr>
          <w:bCs/>
          <w:sz w:val="22"/>
          <w:szCs w:val="22"/>
        </w:rPr>
        <w:t xml:space="preserve">муниципальной системы оповещения населения </w:t>
      </w:r>
      <w:r>
        <w:rPr>
          <w:sz w:val="22"/>
          <w:szCs w:val="22"/>
          <w:lang w:eastAsia="ru-RU"/>
        </w:rPr>
        <w:t>(далее – МСОН) Дзержинского муниципального округа;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своевременное и гарантированное оповещение</w:t>
      </w:r>
      <w:r>
        <w:rPr>
          <w:color w:val="00000A"/>
          <w:kern w:val="2"/>
          <w:sz w:val="22"/>
          <w:szCs w:val="22"/>
          <w:lang w:eastAsia="zh-CN"/>
        </w:rPr>
        <w:t>населения об опасностях, возникающих при военных конфликтах или вследствие этих конфликтов, при чрезвычайных ситуациях природного и техногенного характера</w:t>
      </w:r>
      <w:r>
        <w:rPr>
          <w:sz w:val="22"/>
          <w:szCs w:val="22"/>
          <w:lang w:eastAsia="ru-RU"/>
        </w:rPr>
        <w:t>;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увеличение зоны охвата населения Дзержинского муниципального округа техническими средствами оповещения.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2.2. Место выполнения работ: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Работы должны быть выполнены по </w:t>
      </w:r>
      <w:bookmarkStart w:id="4" w:name="_Hlk74293302"/>
      <w:r>
        <w:rPr>
          <w:sz w:val="22"/>
          <w:szCs w:val="22"/>
          <w:lang w:eastAsia="ru-RU"/>
        </w:rPr>
        <w:t xml:space="preserve">следующему адресу: </w:t>
      </w:r>
      <w:bookmarkEnd w:id="4"/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Российская Федерация, обл. Калужская, м.о. Дзержинский, д. Карцово, ул. Центральная, д.3.</w:t>
      </w:r>
    </w:p>
    <w:p>
      <w:pPr>
        <w:pStyle w:val="Normal"/>
        <w:widowControl w:val="false"/>
        <w:suppressAutoHyphens w:val="false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2.3. Характеристика действующей муниципальной системы оповещения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МСОН </w:t>
      </w:r>
      <w:r>
        <w:rPr>
          <w:sz w:val="22"/>
          <w:szCs w:val="22"/>
          <w:lang w:eastAsia="ru-RU"/>
        </w:rPr>
        <w:t>Дзержинского муниципального округа</w:t>
      </w:r>
      <w:r>
        <w:rPr>
          <w:sz w:val="22"/>
          <w:szCs w:val="22"/>
        </w:rPr>
        <w:t xml:space="preserve"> входит в состав РСОН Калужской области и построена на базе аппаратуры П-166М и П-166 с использованием каналов сети связи и передачи данных, предоставляемых оператором связи в соответствии с действующими контрактами на 2026 год.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состав МСОН входит: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пульт управления муниципального уровня П-166М КПУ установленный в ЕДДС муниципального района «Дзержинский район» по адресу: </w:t>
      </w:r>
      <w:r>
        <w:rPr>
          <w:iCs/>
          <w:sz w:val="22"/>
          <w:szCs w:val="22"/>
          <w:lang w:eastAsia="ru-RU"/>
        </w:rPr>
        <w:t>г. Кондрово, ул. Чапаева д.36</w:t>
      </w:r>
      <w:r>
        <w:rPr>
          <w:sz w:val="22"/>
          <w:szCs w:val="22"/>
        </w:rPr>
        <w:t>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телекоммуникационный сервер П-166М ТКС установленный в ЕДДС муниципального района «Дзержинский район» по адресу: г. Кондрово, ул. Чапаева д.36;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усилительно-коммутационный блок УКБ СГС-22-МЕ400Н установленный по адресу: Дзержинский район, д. Жилетово, ул. Садовая, д.6а;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усилительно-коммутационный блок УКБ СГС-22-МЕ400Н установленный по адресу: Дзержинский район, с. Дворцы, ул. Федорова, д. 14;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усилительное электронной сирены УУЭС-300Р установленный по адресу: д</w:t>
      </w:r>
      <w:r>
        <w:rPr>
          <w:iCs/>
          <w:color w:val="000000"/>
          <w:sz w:val="22"/>
          <w:szCs w:val="22"/>
          <w:lang w:eastAsia="ru-RU"/>
        </w:rPr>
        <w:t xml:space="preserve">. Галкино, ул. Ярославская, </w:t>
      </w:r>
      <w:r>
        <w:rPr>
          <w:sz w:val="22"/>
          <w:szCs w:val="22"/>
        </w:rPr>
        <w:t>д. 17;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усилительное электронной сирены УУЭС-300Р установленный по адресу: д. Лужная, ул. Семидворка, д. 7;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блок коммутации сообщений П-166БКС установленный по адресу: г. Кондрово, ул. Ленина, д. 36 (Ростелеком);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блок оповещения универсальный П-166БОУ установленный по адресу: г. Кондрово, ул. Ленина, д. 36 (Ростелеком);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блоки индивидуальных комплектов П-166БИК в количестве 4 шт. установленные по адресу: г. Кондрово, ул. Ленина, д. 36 (Ростелеком);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оконечное пусковое П-164АМ в комплекте с электросиреной С-40 установленный по адресу: г. Кондрово, ул. Некрасово д.8;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оконечное пусковое П-164АМ в комплекте с электросиреной С-40 установленный по адресу: г. Кондрово, ул. Красный Октябрь, д. 1 (Пед. Училище);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блок оповещения универсальный П-166БОУ, устройство оконечное пусковое П-164АМ в комплекте с электросиреной С-40 установленные по адресу: п. Полотняный Завод, ул. Московская, д. 6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оконечное пусковое П-166М БУС в комплекте с электросиреной С-40 установленный по адресу: пос. Полотняный Завод, ул.Слободка, д.115б (ООО НПФ "ЭТЕК ЛТД");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усилительно-коммутационный блок СГС-22-МЕ500 в комплекте с 4 громкоговорителями ГР-100 установленный по адресу: г. Кондрово, ул. Ленина, д. 36 (Ростелеком);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оконечное пусковое П-164АМ в комплекте с электросиреной С-40 установленный по адресу: г. Кондрово, ул. Маяковского, д.1 (ТБФ);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устройство оконечное пусковое П-164АМ в комплекте с электросиреной С-40 установленный по адресу: г. Кондрово, ул. Красный перекоп, д. 7 (Водоканал);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блок оповещения универсальный П-166БОУ, устройство оконечное пусковое П-164АМ в комплекте с электросиреной С-40 установленные по адресу: пос. Товарково, ул. Ленина, д. 24 (Узел связи);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блок оповещения универсальный П-166БОУ, устройство оконечное пусковое П-164АМ в комплекте с электросиреной С-40 установленные по адресу: пос. Льва Толстое, ул. Полевая, д. 5а (Узел связи).</w:t>
      </w:r>
    </w:p>
    <w:p>
      <w:pPr>
        <w:pStyle w:val="NoSpacing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ind w:hanging="0" w:start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eastAsia="ru-RU"/>
        </w:rPr>
        <w:t>Т</w:t>
      </w:r>
      <w:r>
        <w:rPr>
          <w:b/>
          <w:bCs/>
          <w:color w:val="000000"/>
          <w:sz w:val="22"/>
          <w:szCs w:val="22"/>
          <w:lang w:eastAsia="ru-RU"/>
        </w:rPr>
        <w:t>ребования к выполняемым работам</w:t>
      </w:r>
    </w:p>
    <w:p>
      <w:pPr>
        <w:pStyle w:val="Normal"/>
        <w:suppressAutoHyphens w:val="false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3.1 Порядок и требования к выполняемым работам.</w:t>
      </w:r>
    </w:p>
    <w:p>
      <w:pPr>
        <w:pStyle w:val="Normal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Перечень устанавливаемых технических средств оповещения указан в Приложении №1 к Техническому заданию.</w:t>
      </w:r>
    </w:p>
    <w:p>
      <w:pPr>
        <w:pStyle w:val="Normal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Устанавливаемые ТСО должны соответствовать требованиям, указанным в </w:t>
      </w:r>
      <w:r>
        <w:rPr>
          <w:rFonts w:eastAsia="Arial Unicode MS"/>
          <w:sz w:val="22"/>
          <w:szCs w:val="22"/>
        </w:rPr>
        <w:t>Приложение №2 к Техническому заданию.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 целью оповещения населения населённого пункта д. Карцово, на здании дома культуры по адресу: Дзержинский муниципальный округ, д. Карцово, ул. Центральная, д.3 требуется установить усилительно-коммутационный блок в комплекте с четырьмя громкоговорителями. Усилительно-коммутационный блок должен быть установлен внутри здания. Громкоговорители устанавливаются непосредственно на фронтонах здания или на пристенную мачту (по согласованию и результатам обследования).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устанавливаемым техническим средством оповещения населения должно производится от оборудования </w:t>
      </w:r>
      <w:r>
        <w:rPr>
          <w:sz w:val="22"/>
          <w:szCs w:val="22"/>
          <w:lang w:eastAsia="ru-RU"/>
        </w:rPr>
        <w:t xml:space="preserve">П-166М КПУ (версия ПО: </w:t>
      </w:r>
      <w:r>
        <w:rPr>
          <w:sz w:val="22"/>
          <w:szCs w:val="22"/>
        </w:rPr>
        <w:t>598.519.411</w:t>
      </w:r>
      <w:r>
        <w:rPr>
          <w:sz w:val="22"/>
          <w:szCs w:val="22"/>
          <w:lang w:eastAsia="ru-RU"/>
        </w:rPr>
        <w:t xml:space="preserve">) установленного в ЕДДС Дзержинского муниципального округа по адресу: </w:t>
      </w:r>
      <w:r>
        <w:rPr>
          <w:iCs/>
          <w:color w:val="000000"/>
          <w:sz w:val="22"/>
          <w:szCs w:val="22"/>
          <w:lang w:eastAsia="ru-RU"/>
        </w:rPr>
        <w:t xml:space="preserve">г. Кондрово, ул. Чапаева, д. 36, </w:t>
      </w:r>
      <w:r>
        <w:rPr>
          <w:sz w:val="22"/>
          <w:szCs w:val="22"/>
          <w:lang w:eastAsia="ru-RU"/>
        </w:rPr>
        <w:t xml:space="preserve">П-166М КПУ (версия ПО: </w:t>
      </w:r>
      <w:r>
        <w:rPr>
          <w:sz w:val="22"/>
          <w:szCs w:val="22"/>
        </w:rPr>
        <w:t>677.067.518)</w:t>
      </w:r>
      <w:r>
        <w:rPr>
          <w:sz w:val="22"/>
          <w:szCs w:val="22"/>
          <w:lang w:eastAsia="ru-RU"/>
        </w:rPr>
        <w:t xml:space="preserve"> установленного в ЦУКС Главного управления МЧС России по Калужской области по адресу: г. Калуга, ул. Кирова, д. 9а (пульт управления регионального уровня), П-166М КПУ (версия ПО: </w:t>
      </w:r>
      <w:r>
        <w:rPr>
          <w:sz w:val="22"/>
          <w:szCs w:val="22"/>
        </w:rPr>
        <w:t>632.135.478)</w:t>
      </w:r>
      <w:r>
        <w:rPr>
          <w:sz w:val="22"/>
          <w:szCs w:val="22"/>
          <w:lang w:eastAsia="ru-RU"/>
        </w:rPr>
        <w:t xml:space="preserve"> установленного на объекте «Дом Быта» (резервный пульт управления регионального уровня) </w:t>
      </w:r>
      <w:r>
        <w:rPr>
          <w:iCs/>
          <w:color w:val="000000"/>
          <w:sz w:val="22"/>
          <w:szCs w:val="22"/>
          <w:lang w:eastAsia="ru-RU"/>
        </w:rPr>
        <w:t xml:space="preserve">и </w:t>
      </w:r>
      <w:r>
        <w:rPr>
          <w:sz w:val="22"/>
          <w:szCs w:val="22"/>
        </w:rPr>
        <w:t>должно быть обеспечено по проводному цифровому каналу связи (услуга предоставляется по отдельному контракту) в сети оповещения населения Калужской области.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При монтаже усилительно-коммутационного блока, прокладку линии электропитания от точки подключения в здании выполнить кабелем ВВГнг(А)-FRLS-0,66 3x2,5 в коробе. Прокладку линии заземления выполнить проводом ПуГВнг-LSж.з. 1х6 от существующего контура заземления в коробе. Прокладку линии управления от точки предоставления услуг выполнить кабелем UTPкат.5Е в коробе. Прокладку линии радиофидера от устанавливаемого оборудования к громкоговорителям выполнить кабелем ПРППм2х1,2 в трубе ПВХ гофрированной.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Подключение вновь устанавливаемого оборудования к сети электропитания объекта установки осуществляется Подрядчиком, при этом точку подключения определяет Муниципальный заказчик.</w:t>
      </w:r>
    </w:p>
    <w:p>
      <w:pPr>
        <w:pStyle w:val="Normal"/>
        <w:suppressAutoHyphens w:val="false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Установка оборудования, пуско-наладочные работы и ввод оборудования в эксплуатацию должны осуществляться без снижения готовности МСОН Дзержинского муниципального округа.</w:t>
      </w:r>
    </w:p>
    <w:p>
      <w:pPr>
        <w:pStyle w:val="Normal"/>
        <w:suppressAutoHyphens w:val="false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3.2 Требования к техническим средствам оповещения.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Поставляемое оборудование должно быть новым (оборудование, которое не было в употреблении, в ремонте, в том числе, которое не было восстановлено, у которого не была осуществлена замена составных частей, не были восстановлены потребительские свойства), не имеющ</w:t>
      </w:r>
      <w:bookmarkStart w:id="5" w:name="_GoBack"/>
      <w:bookmarkEnd w:id="5"/>
      <w:r>
        <w:rPr>
          <w:sz w:val="22"/>
          <w:szCs w:val="22"/>
        </w:rPr>
        <w:t>им внешних признаков повреждений, связанных с транспортировкой, погрузо-разгрузочными работами.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оборудование должно быть новым, не бывшим в употреблении и удовлетворять требованиям ГОСТ Р 42.3.01-2021 «Гражданская оборона. Технические средства оповещения населения. Классификация. Общие технические требования», а также быть разработанным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прошедшее в установленном порядке приемочные испытания и принято к серийному производству на территории Российской Федерации.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ru-RU"/>
        </w:rPr>
        <w:t xml:space="preserve">3.3 Требования к каналам связи  </w:t>
      </w:r>
    </w:p>
    <w:p>
      <w:pPr>
        <w:pStyle w:val="Normal"/>
        <w:tabs>
          <w:tab w:val="clear" w:pos="708"/>
          <w:tab w:val="left" w:pos="405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 xml:space="preserve">С целью проведения приёмо-сдаточных испытаний и последующего управления поставляемым оборудованием Заказчик организовывает VPN канал передачи данных в сети оповещения населения Калужской области от пульта управления П-166М КПУ (версия ПО: 635.497.465) установленного в ЕДДС Дзержинского муниципального округа по адресу: г. Кондрово, ул. Чапаева д.36 имеющего IP-адрес: </w:t>
      </w:r>
      <w:r>
        <w:rPr>
          <w:iCs/>
          <w:sz w:val="22"/>
          <w:szCs w:val="22"/>
          <w:lang w:eastAsia="ru-RU"/>
        </w:rPr>
        <w:t>10.140.26.100</w:t>
      </w:r>
      <w:r>
        <w:rPr>
          <w:sz w:val="22"/>
          <w:szCs w:val="22"/>
        </w:rPr>
        <w:t>, до усилительно-коммутационного блока устанавливаемого по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адресу: </w:t>
      </w:r>
      <w:r>
        <w:rPr>
          <w:sz w:val="22"/>
          <w:szCs w:val="22"/>
          <w:lang w:eastAsia="ru-RU"/>
        </w:rPr>
        <w:t>Дзержинский муниципальный округ, д. Карцово, ул. Центральная, д.3</w:t>
      </w:r>
      <w:r>
        <w:rPr>
          <w:sz w:val="22"/>
          <w:szCs w:val="22"/>
        </w:rPr>
        <w:t xml:space="preserve"> с присваиваемым IP-адресом: </w:t>
      </w:r>
      <w:r>
        <w:rPr>
          <w:iCs/>
          <w:sz w:val="22"/>
          <w:szCs w:val="22"/>
          <w:lang w:eastAsia="ru-RU"/>
        </w:rPr>
        <w:t>10.140.26.6</w:t>
      </w:r>
      <w:r>
        <w:rPr>
          <w:sz w:val="22"/>
          <w:szCs w:val="22"/>
        </w:rPr>
        <w:t>, со следующими требованиями:</w:t>
      </w:r>
    </w:p>
    <w:p>
      <w:pPr>
        <w:pStyle w:val="Normal"/>
        <w:tabs>
          <w:tab w:val="clear" w:pos="708"/>
          <w:tab w:val="left" w:pos="405" w:leader="none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проводной VPN канал точка-точка.</w:t>
      </w:r>
    </w:p>
    <w:p>
      <w:pPr>
        <w:pStyle w:val="Normal"/>
        <w:tabs>
          <w:tab w:val="clear" w:pos="708"/>
          <w:tab w:val="left" w:pos="405" w:leader="none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пропускная способность канала 128 кбит/сек или выше.</w:t>
      </w:r>
    </w:p>
    <w:p>
      <w:pPr>
        <w:pStyle w:val="Normal"/>
        <w:tabs>
          <w:tab w:val="clear" w:pos="708"/>
          <w:tab w:val="left" w:pos="405" w:leader="none"/>
        </w:tabs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 свободное прохождение в обе стороны мультикаст рассылки</w:t>
      </w:r>
      <w:r>
        <w:rPr>
          <w:sz w:val="22"/>
          <w:szCs w:val="22"/>
          <w:lang w:eastAsia="ru-RU"/>
        </w:rPr>
        <w:t xml:space="preserve"> и ICMP пакетов (ping) ко всем точкам подключения с задержкой не более 10 мс.</w:t>
      </w:r>
    </w:p>
    <w:p>
      <w:pPr>
        <w:pStyle w:val="Normal"/>
        <w:tabs>
          <w:tab w:val="clear" w:pos="708"/>
          <w:tab w:val="left" w:pos="405" w:leader="none"/>
        </w:tabs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en-US"/>
        </w:rPr>
        <w:t>3.4. Требования по безотказности и сроку эксплуатации оборудования (ГОСТ Р 42.3.01-2021 «Гражданская оборона. Технические средства оповещения населения. Классификация. Общие технические требования» п. 5.1.2).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средняя наработка на отказ - не менее 30000 ч.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средний срок службы до списания – не менее 12 лет;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достоверность воспроизводимой информации: для слоговой разборчивости – не менее 86 %; для словесной разборчивости (разборчивость слов при передаче речевых сообщений) – не менее 95 % (ГОСТ 16600-72);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электромагнитная совместимость должна соответствовать ГОСТ 30804.4.3-2013;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д) устойчивость к микросекундным импульсным помехам большой энергии должна соответствовать ГОСТ Р 51317.4.5-99.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е) защитные покрытия должны соответствовать ГОСТ 9.303-84;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ж) полная работоспособность после внешних воздействий механических нагрузок с параметрами и их значениями по ГОСТ 30631-99;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з) возможность круглосуточной работы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3.5. Требования по электробезопасности (Приложение №1 к Положению о системах оповещения п.8).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Технические средства системы оповещения населения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Токоведущие составные части технических средств системы оповещения населения должны быть надежно изолированы и не допускать электрического замыкания на корпус, их корпуса должны быть заземлены в соответствии ‎с указаниями, изложенными в эксплуатационной документации на технические средства оповещения;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Электропитание технических средств оповещения должно осуществляться от сети гарантированного электропитания, в том числе от источников автономного питания (для электромеханических сирен источники автономного питания не предусматриваются).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Сохранность информации в системе оповещения населения должна обеспечиваться при отключении электропитания (в том числе аварийном), отказах отдельных элементов технических средств оповещения и авариях ‎на сетях связи. 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3.6. Конструктивные требования, требования по стандартизации и унификации.</w:t>
      </w:r>
    </w:p>
    <w:p>
      <w:pPr>
        <w:pStyle w:val="Normal"/>
        <w:widowControl w:val="false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оборудовании должны быть применены стандартные детали, заимствованные, освоенные производством (детали базовых конструкций).</w:t>
      </w:r>
    </w:p>
    <w:p>
      <w:pPr>
        <w:pStyle w:val="Normal"/>
        <w:widowControl w:val="false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3.7. Требования к программно-техническому сопряжению ТСО.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ТСО должны программно и технически сопрягаться.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3.8. Требования по эксплуатации, техобслуживанию и ремонту.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Используемые Подрядчиком </w:t>
      </w:r>
      <w:r>
        <w:rPr>
          <w:rFonts w:eastAsia="Calibri"/>
          <w:sz w:val="22"/>
          <w:szCs w:val="22"/>
        </w:rPr>
        <w:t xml:space="preserve">оборудование (материалы) </w:t>
      </w:r>
      <w:r>
        <w:rPr>
          <w:sz w:val="22"/>
          <w:szCs w:val="22"/>
        </w:rPr>
        <w:t>должны быть новыми, ранее не использованными.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Оборудование должно обеспечить круглосуточную работу и постоянную готовность к использованию.</w:t>
      </w:r>
    </w:p>
    <w:p>
      <w:pPr>
        <w:pStyle w:val="NoSpacing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3.9. Требования по эргономике и технической эстетике.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Компоновка элементов схемы выполняется с учетом требований эргономики по ГОСТ 12.2.049-80.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Конструктивное исполнение системы должно обеспечивать доступ обслуживающего персонала к внутренним элементам.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3.10. Требования по транспортабельности.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Оборудование должно быть устойчиво к транспортированию автомобильным, железнодорожным, водным и авиационным транспортом согласно ГОСТ Р 51908-2002.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3.11. Требования к документации.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комплекте с оборудованием должна передаваться эксплуатационная документация, состоящая из документов в текстовой форме.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комплект документации, передаваемой с оборудованием, должны входить: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руководства по эксплуатации;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формуляры (паспорта).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Эксплуатационная документация должна быть на русском языке. 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3.12. Гарантийные обязательства.</w:t>
      </w:r>
    </w:p>
    <w:p>
      <w:pPr>
        <w:pStyle w:val="Normal"/>
        <w:ind w:firstLine="426"/>
        <w:jc w:val="both"/>
        <w:rPr>
          <w:sz w:val="22"/>
          <w:szCs w:val="22"/>
        </w:rPr>
      </w:pPr>
      <w:bookmarkStart w:id="6" w:name="_Toc522265772"/>
      <w:bookmarkStart w:id="7" w:name="_Toc517277252"/>
      <w:r>
        <w:rPr>
          <w:sz w:val="22"/>
          <w:szCs w:val="22"/>
        </w:rPr>
        <w:t>Расходы на гарантийный ремонт оборудования (в течение срока действия гарантии) осуществляются за счет средств Подрядчика. Объем предоставления гарантии качества оборудования распространяется на весь объем передаваемого оборудования. В случае необходимости доставки оборудования в сервисный центр Подрядчика, эту доставку обеспечивает Подрядчик, а также оплачивает все транспортные расходы.</w:t>
      </w:r>
      <w:bookmarkEnd w:id="6"/>
      <w:bookmarkEnd w:id="7"/>
    </w:p>
    <w:p>
      <w:pPr>
        <w:pStyle w:val="Normal"/>
        <w:widowControl w:val="false"/>
        <w:suppressAutoHyphens w:val="false"/>
        <w:ind w:firstLine="7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sectPr>
          <w:type w:val="nextPage"/>
          <w:pgSz w:w="11906" w:h="16838"/>
          <w:pgMar w:left="1134" w:right="566" w:gutter="0" w:header="0" w:top="709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uppressAutoHyphens w:val="false"/>
        <w:ind w:firstLine="7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pStyle w:val="Normal"/>
        <w:jc w:val="end"/>
        <w:rPr>
          <w:rFonts w:eastAsia="Sylfaen"/>
          <w:sz w:val="22"/>
          <w:szCs w:val="22"/>
        </w:rPr>
      </w:pPr>
      <w:r>
        <w:rPr>
          <w:rFonts w:eastAsia="Sylfaen"/>
          <w:sz w:val="22"/>
          <w:szCs w:val="22"/>
        </w:rPr>
        <w:t>Приложение №1</w:t>
      </w:r>
    </w:p>
    <w:p>
      <w:pPr>
        <w:pStyle w:val="Normal"/>
        <w:jc w:val="end"/>
        <w:rPr>
          <w:rFonts w:eastAsia="Sylfaen"/>
          <w:sz w:val="22"/>
          <w:szCs w:val="22"/>
        </w:rPr>
      </w:pPr>
      <w:r>
        <w:rPr>
          <w:rFonts w:eastAsia="Sylfaen"/>
          <w:sz w:val="22"/>
          <w:szCs w:val="22"/>
        </w:rPr>
        <w:t>к Техническому заданию</w:t>
      </w:r>
    </w:p>
    <w:p>
      <w:pPr>
        <w:pStyle w:val="Normal"/>
        <w:jc w:val="end"/>
        <w:rPr>
          <w:rFonts w:eastAsia="Sylfaen"/>
          <w:sz w:val="22"/>
          <w:szCs w:val="22"/>
        </w:rPr>
      </w:pPr>
      <w:r>
        <w:rPr>
          <w:rFonts w:eastAsia="Sylfaen"/>
          <w:sz w:val="22"/>
          <w:szCs w:val="22"/>
        </w:rPr>
      </w:r>
    </w:p>
    <w:p>
      <w:pPr>
        <w:pStyle w:val="Normal"/>
        <w:suppressAutoHyphens w:val="false"/>
        <w:ind w:firstLine="708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Состав поставляемого оборудования</w:t>
      </w:r>
    </w:p>
    <w:p>
      <w:pPr>
        <w:pStyle w:val="Normal"/>
        <w:suppressAutoHyphens w:val="false"/>
        <w:spacing w:before="0" w:after="120"/>
        <w:jc w:val="end"/>
        <w:rPr>
          <w:sz w:val="22"/>
          <w:szCs w:val="22"/>
        </w:rPr>
      </w:pPr>
      <w:r>
        <w:rPr>
          <w:sz w:val="22"/>
          <w:szCs w:val="22"/>
        </w:rPr>
        <w:t>Таблица № 1</w:t>
      </w:r>
    </w:p>
    <w:tbl>
      <w:tblPr>
        <w:tblW w:w="10314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772"/>
        <w:gridCol w:w="2695"/>
        <w:gridCol w:w="5463"/>
        <w:gridCol w:w="1383"/>
      </w:tblGrid>
      <w:tr>
        <w:trPr/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№ 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Наименование оборудования</w:t>
            </w:r>
          </w:p>
        </w:tc>
        <w:tc>
          <w:tcPr>
            <w:tcW w:w="5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Адрес</w:t>
            </w:r>
          </w:p>
        </w:tc>
        <w:tc>
          <w:tcPr>
            <w:tcW w:w="1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Кол-во,</w:t>
            </w:r>
          </w:p>
          <w:p>
            <w:pPr>
              <w:pStyle w:val="Normal"/>
              <w:widowControl w:val="false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шт.</w:t>
            </w:r>
          </w:p>
        </w:tc>
      </w:tr>
      <w:tr>
        <w:trPr/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Усилительно-коммутационный блок мощностью 400 Вт</w:t>
            </w:r>
          </w:p>
        </w:tc>
        <w:tc>
          <w:tcPr>
            <w:tcW w:w="5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Дзержинский муниципальный округ, д. Карцово, ул. Центральная, д.3</w:t>
            </w:r>
          </w:p>
        </w:tc>
        <w:tc>
          <w:tcPr>
            <w:tcW w:w="1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suppressAutoHyphens w:val="false"/>
        <w:ind w:firstLine="7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sectPr>
          <w:type w:val="nextPage"/>
          <w:pgSz w:w="11906" w:h="16838"/>
          <w:pgMar w:left="1134" w:right="566" w:gutter="0" w:header="0" w:top="709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uppressAutoHyphens w:val="false"/>
        <w:ind w:firstLine="7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pStyle w:val="Normal"/>
        <w:jc w:val="end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№2 </w:t>
      </w:r>
    </w:p>
    <w:p>
      <w:pPr>
        <w:pStyle w:val="Normal"/>
        <w:jc w:val="end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к Техническому заданию</w:t>
      </w:r>
    </w:p>
    <w:p>
      <w:pPr>
        <w:pStyle w:val="Normal"/>
        <w:widowControl w:val="false"/>
        <w:suppressAutoHyphens w:val="false"/>
        <w:ind w:firstLine="7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pStyle w:val="Normal"/>
        <w:jc w:val="center"/>
        <w:rPr>
          <w:rFonts w:eastAsia="Symbol"/>
          <w:b/>
          <w:sz w:val="22"/>
          <w:szCs w:val="22"/>
        </w:rPr>
      </w:pPr>
      <w:r>
        <w:rPr>
          <w:rFonts w:eastAsia="Symbol"/>
          <w:b/>
          <w:sz w:val="22"/>
          <w:szCs w:val="22"/>
        </w:rPr>
        <w:t>Технические характеристики используемых товаров (материалов)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863"/>
        <w:gridCol w:w="4858"/>
        <w:gridCol w:w="4485"/>
      </w:tblGrid>
      <w:tr>
        <w:trPr>
          <w:trHeight w:val="45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№ 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>п/п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Liberation Serif;Times New Roma"/>
                <w:b/>
              </w:rPr>
            </w:pPr>
            <w:r>
              <w:rPr>
                <w:rFonts w:eastAsia="Liberation Serif;Times New Roma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Liberation Serif;Times New Roma"/>
                <w:b/>
              </w:rPr>
            </w:pPr>
            <w:r>
              <w:rPr>
                <w:rFonts w:eastAsia="Liberation Serif;Times New Roma"/>
                <w:b/>
                <w:sz w:val="22"/>
                <w:szCs w:val="22"/>
              </w:rPr>
              <w:t>Значение показателя</w:t>
            </w:r>
          </w:p>
        </w:tc>
      </w:tr>
      <w:tr>
        <w:trPr>
          <w:trHeight w:val="30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9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Sylfaen"/>
                <w:b/>
              </w:rPr>
            </w:pPr>
            <w:r>
              <w:rPr>
                <w:rFonts w:eastAsia="Sylfaen"/>
                <w:b/>
                <w:sz w:val="22"/>
                <w:szCs w:val="22"/>
              </w:rPr>
              <w:t>Усилительно-коммутационный блок</w:t>
            </w:r>
          </w:p>
        </w:tc>
      </w:tr>
      <w:tr>
        <w:trPr>
          <w:trHeight w:val="237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sz w:val="22"/>
                <w:szCs w:val="22"/>
                <w:lang w:eastAsia="hi-IN" w:bidi="hi-IN"/>
              </w:rPr>
              <w:t>Управление по сети Ethernet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iCs/>
                <w:sz w:val="22"/>
                <w:szCs w:val="22"/>
              </w:rPr>
              <w:t>Наличие</w:t>
            </w:r>
          </w:p>
        </w:tc>
      </w:tr>
      <w:tr>
        <w:trPr>
          <w:trHeight w:val="729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1.2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</w:rPr>
            </w:pPr>
            <w:r>
              <w:rPr>
                <w:rFonts w:eastAsia="Sylfaen"/>
                <w:sz w:val="22"/>
                <w:szCs w:val="22"/>
              </w:rPr>
              <w:t>Приём сигналов управления и передача ответного сигнала подтверждения по цифровым сетям передачи данных с пакетной коммутацией 10Base-T (IEEЕ 802.3i) и 100Base-TX (IEEE 802.3u) с гарантированной пропускной способностью «точка-точка», Кбит/с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sz w:val="22"/>
                <w:szCs w:val="22"/>
              </w:rPr>
              <w:t>не менее</w:t>
            </w:r>
            <w:r>
              <w:rPr>
                <w:rFonts w:eastAsia="Sylfaen"/>
                <w:sz w:val="22"/>
                <w:szCs w:val="22"/>
              </w:rPr>
              <w:t xml:space="preserve"> 32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Вид климатического исполнения по ГОСТ 15150-69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bCs/>
                <w:iCs/>
                <w:sz w:val="22"/>
                <w:szCs w:val="22"/>
              </w:rPr>
              <w:t>УХЛ 4.2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Степень защиты от воздействия окружающей среды (исполнение) по ГОСТ 14254-2015 (IEC 60529:2013)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iCs/>
                <w:sz w:val="22"/>
                <w:szCs w:val="22"/>
              </w:rPr>
              <w:t>Не ниже IP54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  <w:bCs/>
              </w:rPr>
            </w:pPr>
            <w:r>
              <w:rPr>
                <w:rFonts w:eastAsia="Sylfaen"/>
                <w:sz w:val="22"/>
                <w:szCs w:val="22"/>
              </w:rPr>
              <w:t>Электропитание изделия от сети переменного тока частотой (50 ± 2%) Гц напряжением, В в диапазоне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sz w:val="22"/>
                <w:szCs w:val="22"/>
              </w:rPr>
              <w:t xml:space="preserve">От 195,5 </w:t>
            </w:r>
            <w:r>
              <w:rPr>
                <w:rFonts w:eastAsia="Sylfaen"/>
                <w:iCs/>
                <w:sz w:val="22"/>
                <w:szCs w:val="22"/>
              </w:rPr>
              <w:t xml:space="preserve">до </w:t>
            </w:r>
            <w:r>
              <w:rPr>
                <w:rFonts w:eastAsia="Sylfaen"/>
                <w:sz w:val="22"/>
                <w:szCs w:val="22"/>
              </w:rPr>
              <w:t>253</w:t>
            </w:r>
          </w:p>
        </w:tc>
      </w:tr>
      <w:tr>
        <w:trPr>
          <w:trHeight w:val="70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1.6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</w:rPr>
            </w:pPr>
            <w:r>
              <w:rPr>
                <w:rFonts w:eastAsia="Sylfaen"/>
                <w:sz w:val="22"/>
                <w:szCs w:val="22"/>
              </w:rPr>
              <w:t>Диапазон воспроизводимых частот звукового тракта, Гц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sz w:val="22"/>
                <w:szCs w:val="22"/>
              </w:rPr>
              <w:t>От 100</w:t>
            </w:r>
            <w:r>
              <w:rPr>
                <w:rFonts w:eastAsia="Sylfaen"/>
                <w:iCs/>
                <w:sz w:val="22"/>
                <w:szCs w:val="22"/>
              </w:rPr>
              <w:t xml:space="preserve"> до </w:t>
            </w:r>
            <w:r>
              <w:rPr>
                <w:rFonts w:eastAsia="Sylfaen"/>
                <w:sz w:val="22"/>
                <w:szCs w:val="22"/>
              </w:rPr>
              <w:t>1000</w:t>
            </w:r>
          </w:p>
        </w:tc>
      </w:tr>
      <w:tr>
        <w:trPr>
          <w:trHeight w:val="70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1.7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</w:rPr>
            </w:pPr>
            <w:r>
              <w:rPr>
                <w:rFonts w:eastAsia="Sylfaen"/>
                <w:sz w:val="22"/>
                <w:szCs w:val="22"/>
              </w:rPr>
              <w:t>Номинальная выходная мощность, Вт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Sylfaen"/>
              </w:rPr>
            </w:pPr>
            <w:r>
              <w:rPr>
                <w:rFonts w:eastAsia="Sylfaen"/>
                <w:iCs/>
                <w:sz w:val="22"/>
                <w:szCs w:val="22"/>
              </w:rPr>
              <w:t xml:space="preserve"> </w:t>
            </w:r>
            <w:r>
              <w:rPr>
                <w:rFonts w:eastAsia="Sylfaen"/>
                <w:iCs/>
                <w:sz w:val="22"/>
                <w:szCs w:val="22"/>
              </w:rPr>
              <w:t xml:space="preserve">Не менее </w:t>
            </w:r>
            <w:r>
              <w:rPr>
                <w:rFonts w:eastAsia="Sylfaen"/>
                <w:iCs/>
                <w:sz w:val="22"/>
                <w:szCs w:val="22"/>
                <w:lang w:val="en-US"/>
              </w:rPr>
              <w:t>4</w:t>
            </w:r>
            <w:r>
              <w:rPr>
                <w:rFonts w:eastAsia="Sylfaen"/>
                <w:iCs/>
                <w:sz w:val="22"/>
                <w:szCs w:val="22"/>
              </w:rPr>
              <w:t>00</w:t>
            </w:r>
          </w:p>
        </w:tc>
      </w:tr>
      <w:tr>
        <w:trPr>
          <w:trHeight w:val="70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1.8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</w:rPr>
            </w:pPr>
            <w:r>
              <w:rPr>
                <w:rFonts w:eastAsia="Sylfaen"/>
                <w:sz w:val="22"/>
                <w:szCs w:val="22"/>
              </w:rPr>
              <w:t>Количество выходов для подключения линий радио-фидера, шт.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 xml:space="preserve">От </w:t>
            </w:r>
            <w:r>
              <w:rPr>
                <w:rFonts w:eastAsia="Sylfaen"/>
                <w:sz w:val="22"/>
                <w:szCs w:val="22"/>
              </w:rPr>
              <w:t>4 до 16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1.9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Мощность, потребляемая от сети переменного тока 220 В 50 Гц, в дежурном режиме, Вт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ylfaen"/>
                <w:iCs/>
                <w:sz w:val="22"/>
                <w:szCs w:val="22"/>
              </w:rPr>
              <w:t>Не более</w:t>
            </w:r>
            <w:r>
              <w:rPr>
                <w:rFonts w:eastAsia="Sylfaen"/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40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1.10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Мощность, потребляемая от сети переменного тока 220 В 50 Гц, в режиме оповещения, Вт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ylfaen"/>
                <w:iCs/>
                <w:sz w:val="22"/>
                <w:szCs w:val="22"/>
              </w:rPr>
              <w:t>Не более</w:t>
            </w:r>
            <w:r>
              <w:rPr>
                <w:rFonts w:eastAsia="Sylfaen"/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140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1.11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</w:rPr>
            </w:pPr>
            <w:r>
              <w:rPr>
                <w:rFonts w:eastAsia="Sylfaen"/>
                <w:sz w:val="22"/>
                <w:szCs w:val="22"/>
              </w:rPr>
              <w:t>Мощность каждого выхода для подключения линий радио-фидера, Вт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 xml:space="preserve">Не менее </w:t>
            </w:r>
            <w:r>
              <w:rPr>
                <w:rFonts w:eastAsia="Sylfaen"/>
                <w:sz w:val="22"/>
                <w:szCs w:val="22"/>
              </w:rPr>
              <w:t>25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1.12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</w:rPr>
            </w:pPr>
            <w:r>
              <w:rPr>
                <w:rFonts w:eastAsia="Sylfaen"/>
                <w:sz w:val="22"/>
                <w:szCs w:val="22"/>
              </w:rPr>
              <w:t>Номинальное напряжение выходов для подключения линий радио-фидера, В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sz w:val="22"/>
                <w:szCs w:val="22"/>
              </w:rPr>
              <w:t>Не менее 120</w:t>
            </w:r>
          </w:p>
        </w:tc>
      </w:tr>
      <w:tr>
        <w:trPr>
          <w:trHeight w:val="70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1.13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Выполнение указанных функций: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управление от оборудования П-166М (КПУ);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управление от пультов управления ПУ СГС-22-МЕ по Ethernet;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воспроизведение сигналов электронных сирен и речевых сообщений, записанных в УКБ, в выходные линии с требуемой мощностью при соответствующих командах ПУ;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усиление сигнала до необходимой мощности при передаче звуковой информации со всех источников программ;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световая индикация режимов работы оборудования;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отключение неисправной линии до устранения неисправности;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наличие индикации неисправности выходных линий;</w:t>
            </w:r>
          </w:p>
          <w:p>
            <w:pPr>
              <w:pStyle w:val="Normal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- наличие индикации срабатывания защиты при неисправности или перегреве усилителя;</w:t>
            </w:r>
          </w:p>
          <w:p>
            <w:pPr>
              <w:pStyle w:val="Normal"/>
              <w:widowControl w:val="false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ylfaen"/>
                <w:iCs/>
                <w:sz w:val="22"/>
                <w:szCs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rPr>
                <w:rFonts w:eastAsia="Sylfaen"/>
                <w:iCs/>
              </w:rPr>
            </w:pPr>
            <w:r>
              <w:rPr>
                <w:iCs/>
                <w:sz w:val="22"/>
                <w:szCs w:val="22"/>
              </w:rPr>
              <w:t>Наличие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1.14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Liberation Serif;Times New Roma"/>
              </w:rPr>
            </w:pPr>
            <w:r>
              <w:rPr>
                <w:rFonts w:eastAsia="Liberation Serif;Times New Roma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Liberation Serif;Times New Roma"/>
              </w:rPr>
            </w:pPr>
            <w:r>
              <w:rPr>
                <w:rFonts w:eastAsia="Liberation Serif;Times New Roma"/>
                <w:sz w:val="22"/>
                <w:szCs w:val="22"/>
              </w:rPr>
              <w:t>Аккумуляторная батарея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1.15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Liberation Serif;Times New Roma"/>
              </w:rPr>
            </w:pPr>
            <w:r>
              <w:rPr>
                <w:rFonts w:eastAsia="Liberation Serif;Times New Roma"/>
                <w:sz w:val="22"/>
                <w:szCs w:val="22"/>
              </w:rPr>
              <w:t>Напряжение питания</w:t>
            </w:r>
            <w:r>
              <w:rPr>
                <w:rFonts w:eastAsia="Liberation Serif;Times New Roma" w:cs="Liberation Serif;Times New Roma" w:ascii="Liberation Serif;Times New Roma" w:hAnsi="Liberation Serif;Times New Roma"/>
              </w:rPr>
              <w:t xml:space="preserve"> </w:t>
            </w:r>
            <w:r>
              <w:rPr>
                <w:rFonts w:eastAsia="Liberation Serif;Times New Roma"/>
                <w:sz w:val="22"/>
                <w:szCs w:val="22"/>
              </w:rPr>
              <w:t>аккумуляторной батареи, В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Liberation Serif;Times New Roma"/>
              </w:rPr>
            </w:pPr>
            <w:r>
              <w:rPr>
                <w:rFonts w:eastAsia="Liberation Serif;Times New Roma"/>
                <w:sz w:val="22"/>
                <w:szCs w:val="22"/>
              </w:rPr>
              <w:t>не менее 12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1.16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Время работы от резервного источника питания в режиме передачи информации, час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Не менее 3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1.17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Время работы от резервного источника питания в дежурном режиме, час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rFonts w:eastAsia="Sylfaen"/>
                <w:iCs/>
                <w:sz w:val="22"/>
                <w:szCs w:val="22"/>
              </w:rPr>
              <w:t>Не менее 24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1.18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ylfaen"/>
                <w:bCs/>
              </w:rPr>
            </w:pPr>
            <w:r>
              <w:rPr>
                <w:rFonts w:eastAsia="Sylfaen"/>
                <w:sz w:val="22"/>
                <w:szCs w:val="22"/>
              </w:rPr>
              <w:t>Габаритные размеры изделия (ВхШхГ), мм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rFonts w:eastAsia="Sylfaen"/>
                <w:sz w:val="22"/>
                <w:szCs w:val="22"/>
              </w:rPr>
              <w:t>650×</w:t>
            </w:r>
            <w:r>
              <w:rPr>
                <w:rFonts w:eastAsia="Sylfaen"/>
                <w:sz w:val="22"/>
                <w:szCs w:val="22"/>
                <w:lang w:val="en-US"/>
              </w:rPr>
              <w:t>4</w:t>
            </w:r>
            <w:r>
              <w:rPr>
                <w:rFonts w:eastAsia="Sylfaen"/>
                <w:sz w:val="22"/>
                <w:szCs w:val="22"/>
              </w:rPr>
              <w:t>00×260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1.19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val="en-US"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Масса комплекта нетто, кг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rFonts w:eastAsia="Sylfaen"/>
                <w:iCs/>
                <w:sz w:val="22"/>
                <w:szCs w:val="22"/>
              </w:rPr>
              <w:t>48</w:t>
            </w:r>
          </w:p>
        </w:tc>
      </w:tr>
      <w:tr>
        <w:trPr>
          <w:trHeight w:val="383" w:hRule="atLeast"/>
        </w:trPr>
        <w:tc>
          <w:tcPr>
            <w:tcW w:w="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1.20</w:t>
            </w:r>
          </w:p>
        </w:tc>
        <w:tc>
          <w:tcPr>
            <w:tcW w:w="4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SimSun"/>
                <w:bCs/>
                <w:iCs/>
                <w:color w:val="000000"/>
                <w:kern w:val="2"/>
                <w:lang w:eastAsia="hi-IN" w:bidi="hi-IN"/>
              </w:rPr>
            </w:pP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Громкоговоритель рупорный мощность 100 Вт/ напряжение 120 В, в количестве</w:t>
            </w:r>
            <w:r>
              <w:rPr>
                <w:rFonts w:eastAsia="Sylfaen"/>
                <w:iCs/>
                <w:sz w:val="22"/>
                <w:szCs w:val="22"/>
              </w:rPr>
              <w:t xml:space="preserve"> 4</w:t>
            </w:r>
            <w:r>
              <w:rPr>
                <w:rFonts w:eastAsia="SimSun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 xml:space="preserve"> шт.</w:t>
            </w:r>
          </w:p>
        </w:tc>
        <w:tc>
          <w:tcPr>
            <w:tcW w:w="4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620" w:leader="none"/>
              </w:tabs>
              <w:jc w:val="center"/>
              <w:rPr>
                <w:rFonts w:eastAsia="Sylfaen"/>
                <w:iCs/>
              </w:rPr>
            </w:pPr>
            <w:r>
              <w:rPr>
                <w:iCs/>
                <w:sz w:val="22"/>
                <w:szCs w:val="22"/>
              </w:rPr>
              <w:t>Наличие</w:t>
            </w:r>
          </w:p>
        </w:tc>
      </w:tr>
    </w:tbl>
    <w:p>
      <w:pPr>
        <w:pStyle w:val="Normal"/>
        <w:widowControl w:val="false"/>
        <w:suppressAutoHyphens w:val="false"/>
        <w:ind w:firstLine="7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sectPr>
      <w:type w:val="nextPage"/>
      <w:pgSz w:w="11906" w:h="16838"/>
      <w:pgMar w:left="1134" w:right="566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204" w:hanging="360"/>
      </w:pPr>
      <w:rPr/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1571" w:hanging="720"/>
      </w:pPr>
      <w:rPr>
        <w:b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57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931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931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291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651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651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011" w:hanging="21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07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a07cb"/>
    <w:pPr>
      <w:keepNext w:val="true"/>
      <w:tabs>
        <w:tab w:val="clear" w:pos="708"/>
        <w:tab w:val="left" w:pos="0" w:leader="none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f2682"/>
    <w:pPr>
      <w:keepNext w:val="true"/>
      <w:tabs>
        <w:tab w:val="clear" w:pos="708"/>
        <w:tab w:val="left" w:pos="0" w:leader="none"/>
      </w:tabs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f2682"/>
    <w:pPr>
      <w:keepNext w:val="true"/>
      <w:tabs>
        <w:tab w:val="clear" w:pos="708"/>
        <w:tab w:val="left" w:pos="0" w:leader="none"/>
      </w:tabs>
      <w:spacing w:before="240" w:after="60"/>
      <w:outlineLvl w:val="2"/>
    </w:pPr>
    <w:rPr>
      <w:rFonts w:ascii="Arial" w:hAnsi="Arial"/>
      <w:sz w:val="26"/>
      <w:szCs w:val="26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3f2682"/>
    <w:pPr>
      <w:keepNext w:val="true"/>
      <w:spacing w:before="240" w:after="60"/>
      <w:outlineLvl w:val="3"/>
    </w:pPr>
    <w:rPr>
      <w:rFonts w:ascii="Calibri" w:hAnsi="Calibri"/>
      <w:sz w:val="28"/>
      <w:szCs w:val="28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810cf"/>
    <w:pPr>
      <w:keepNext w:val="true"/>
      <w:keepLines/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a07cb"/>
    <w:rPr>
      <w:rFonts w:ascii="Arial" w:hAnsi="Arial" w:eastAsia="Times New Roman" w:cs="Arial"/>
      <w:b/>
      <w:bCs/>
      <w:kern w:val="2"/>
      <w:sz w:val="32"/>
      <w:szCs w:val="32"/>
      <w:lang w:eastAsia="ar-SA"/>
    </w:rPr>
  </w:style>
  <w:style w:type="character" w:styleId="2" w:customStyle="1">
    <w:name w:val="Заголовок 2 Знак"/>
    <w:basedOn w:val="DefaultParagraphFont"/>
    <w:semiHidden/>
    <w:qFormat/>
    <w:rsid w:val="003f2682"/>
    <w:rPr>
      <w:rFonts w:ascii="Arial" w:hAnsi="Arial" w:eastAsia="Times New Roman" w:cs="Times New Roman"/>
      <w:i/>
      <w:iCs/>
      <w:sz w:val="28"/>
      <w:szCs w:val="28"/>
      <w:lang w:eastAsia="ar-SA"/>
    </w:rPr>
  </w:style>
  <w:style w:type="character" w:styleId="3" w:customStyle="1">
    <w:name w:val="Заголовок 3 Знак"/>
    <w:basedOn w:val="DefaultParagraphFont"/>
    <w:semiHidden/>
    <w:qFormat/>
    <w:rsid w:val="003f2682"/>
    <w:rPr>
      <w:rFonts w:ascii="Arial" w:hAnsi="Arial" w:eastAsia="Times New Roman" w:cs="Times New Roman"/>
      <w:sz w:val="26"/>
      <w:szCs w:val="26"/>
      <w:lang w:eastAsia="ar-SA"/>
    </w:rPr>
  </w:style>
  <w:style w:type="character" w:styleId="4" w:customStyle="1">
    <w:name w:val="Заголовок 4 Знак"/>
    <w:basedOn w:val="DefaultParagraphFont"/>
    <w:semiHidden/>
    <w:qFormat/>
    <w:rsid w:val="003f2682"/>
    <w:rPr>
      <w:rFonts w:ascii="Calibri" w:hAnsi="Calibri" w:eastAsia="Times New Roman" w:cs="Times New Roman"/>
      <w:sz w:val="28"/>
      <w:szCs w:val="28"/>
      <w:lang w:eastAsia="ar-SA"/>
    </w:rPr>
  </w:style>
  <w:style w:type="character" w:styleId="Hyperlink">
    <w:name w:val="Hyperlink"/>
    <w:semiHidden/>
    <w:unhideWhenUsed/>
    <w:rsid w:val="003f2682"/>
    <w:rPr>
      <w:color w:val="0000FF"/>
      <w:u w:val="single"/>
    </w:rPr>
  </w:style>
  <w:style w:type="character" w:styleId="Style9" w:customStyle="1">
    <w:name w:val="Абзац списка Знак"/>
    <w:link w:val="ListParagraph"/>
    <w:uiPriority w:val="34"/>
    <w:qFormat/>
    <w:locked/>
    <w:rsid w:val="003f2682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31" w:customStyle="1">
    <w:name w:val="абзац 3 Знак"/>
    <w:link w:val="32"/>
    <w:qFormat/>
    <w:locked/>
    <w:rsid w:val="003f2682"/>
    <w:rPr>
      <w:rFonts w:eastAsia="Calibri"/>
      <w:sz w:val="28"/>
      <w:szCs w:val="28"/>
    </w:rPr>
  </w:style>
  <w:style w:type="character" w:styleId="214pt" w:customStyle="1">
    <w:name w:val="Основной текст (2) + 14 pt"/>
    <w:qFormat/>
    <w:rsid w:val="003f2682"/>
    <w:rPr>
      <w:b/>
      <w:bCs/>
      <w:sz w:val="28"/>
      <w:szCs w:val="28"/>
      <w:shd w:fill="FFFFFF" w:val="clear"/>
    </w:rPr>
  </w:style>
  <w:style w:type="character" w:styleId="Style10" w:customStyle="1">
    <w:name w:val="Без интервала Знак"/>
    <w:link w:val="NoSpacing"/>
    <w:qFormat/>
    <w:locked/>
    <w:rsid w:val="003838a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192e9c"/>
    <w:rPr>
      <w:b/>
      <w:bCs/>
    </w:rPr>
  </w:style>
  <w:style w:type="character" w:styleId="7" w:customStyle="1">
    <w:name w:val="Заголовок 7 Знак"/>
    <w:basedOn w:val="DefaultParagraphFont"/>
    <w:uiPriority w:val="9"/>
    <w:qFormat/>
    <w:rsid w:val="00c810cf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4"/>
      <w:szCs w:val="24"/>
      <w:lang w:eastAsia="ar-SA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uiPriority w:val="99"/>
    <w:semiHidden/>
    <w:unhideWhenUsed/>
    <w:rsid w:val="003f2682"/>
    <w:pPr>
      <w:spacing w:before="0" w:after="0"/>
      <w:ind w:hanging="283" w:star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9"/>
    <w:uiPriority w:val="34"/>
    <w:qFormat/>
    <w:rsid w:val="00d851fa"/>
    <w:pPr>
      <w:spacing w:before="0" w:after="0"/>
      <w:ind w:start="720"/>
      <w:contextualSpacing/>
    </w:pPr>
    <w:rPr/>
  </w:style>
  <w:style w:type="paragraph" w:styleId="NoSpacing">
    <w:name w:val="No Spacing"/>
    <w:link w:val="Style10"/>
    <w:qFormat/>
    <w:rsid w:val="003f268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32" w:customStyle="1">
    <w:name w:val="абзац 3"/>
    <w:basedOn w:val="Normal"/>
    <w:link w:val="31"/>
    <w:qFormat/>
    <w:rsid w:val="003f2682"/>
    <w:pPr>
      <w:numPr>
        <w:ilvl w:val="2"/>
        <w:numId w:val="1"/>
      </w:numPr>
      <w:suppressAutoHyphens w:val="false"/>
      <w:spacing w:lineRule="auto" w:line="276" w:before="120" w:after="120"/>
      <w:jc w:val="both"/>
    </w:pPr>
    <w:rPr>
      <w:rFonts w:ascii="Calibri" w:hAnsi="Calibri" w:eastAsia="Calibri" w:cs="" w:asciiTheme="minorHAnsi" w:cstheme="minorBidi" w:hAnsiTheme="minorHAnsi"/>
      <w:sz w:val="28"/>
      <w:szCs w:val="28"/>
      <w:lang w:eastAsia="en-US"/>
    </w:rPr>
  </w:style>
  <w:style w:type="paragraph" w:styleId="41" w:customStyle="1">
    <w:name w:val="абзац 4"/>
    <w:basedOn w:val="32"/>
    <w:qFormat/>
    <w:rsid w:val="003f2682"/>
    <w:pPr>
      <w:tabs>
        <w:tab w:val="clear" w:pos="708"/>
        <w:tab w:val="left" w:pos="360" w:leader="none"/>
      </w:tabs>
      <w:ind w:hanging="0" w:start="0"/>
    </w:pPr>
    <w:rPr/>
  </w:style>
  <w:style w:type="paragraph" w:styleId="11" w:customStyle="1">
    <w:name w:val="Маркированный список1"/>
    <w:basedOn w:val="List"/>
    <w:qFormat/>
    <w:rsid w:val="003f2682"/>
    <w:pPr>
      <w:numPr>
        <w:ilvl w:val="0"/>
        <w:numId w:val="2"/>
      </w:numPr>
      <w:tabs>
        <w:tab w:val="clear" w:pos="708"/>
        <w:tab w:val="left" w:pos="360" w:leader="none"/>
      </w:tabs>
      <w:spacing w:before="0" w:after="140"/>
      <w:ind w:hanging="283" w:start="283"/>
      <w:contextualSpacing w:val="false"/>
      <w:jc w:val="both"/>
    </w:pPr>
    <w:rPr>
      <w:spacing w:val="-5"/>
      <w:szCs w:val="20"/>
    </w:rPr>
  </w:style>
  <w:style w:type="paragraph" w:styleId="ConsPlusNormal" w:customStyle="1">
    <w:name w:val="ConsPlusNormal"/>
    <w:qFormat/>
    <w:rsid w:val="00cc2c55"/>
    <w:pPr>
      <w:widowControl w:val="false"/>
      <w:bidi w:val="0"/>
      <w:spacing w:lineRule="auto" w:line="240" w:before="0" w:after="0"/>
      <w:jc w:val="star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5A4A-316E-4DCA-B2BB-E11F7411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LibreOffice/25.8.0.4$Linux_X86_64 LibreOffice_project/48f00303701489684e67c38c28aff00cd5929e67</Application>
  <AppVersion>15.0000</AppVersion>
  <Pages>7</Pages>
  <Words>2091</Words>
  <Characters>14537</Characters>
  <CharactersWithSpaces>16434</CharactersWithSpaces>
  <Paragraphs>208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2026-04-20T11:41:00Z</dcterms:created>
  <dc:creator>tscom-project</dc:creator>
  <dc:description/>
  <dc:language>ru-RU</dc:language>
  <cp:lastModifiedBy/>
  <dcterms:modified xsi:type="dcterms:W3CDTF">2026-06-17T11:56:57Z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