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«ОКПД 2: 45.20.11.212 Оказание услуг по ремонту двигателя автомобиля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TOYOTA LAND CRUISER 150 для нужд Дагестанского транспортного участка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Южного филиала АО "ТК РусГидро"»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 6081-ТО ПРОД-2026-ТК_Южный_фил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31837045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46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47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48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49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83705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51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83705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5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5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83705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5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* Объем услуг является ориентировочным, Заказчик не несет ответственности за неполную выборку услуг на общую сумму договора.  В стоимость работ входят расходные материалы и запасные части Исполнителя.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57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83705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59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83706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_Toc231837060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18370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_Toc231837061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Соблюдение положений и иной обязательной для исполнения документации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055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83706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hyperlink w:anchor="_Toc231837063"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instrText xml:space="preserve">PAGEREF _Toc231837063 \h</w:instrText>
              </w:r>
              <w:r>
                <w:rPr>
                  <w:webHidden/>
                </w:rPr>
                <w:fldChar w:fldCharType="separate"/>
              </w:r>
              <w:r>
                <w:rPr>
                  <w:rStyle w:val="Style14"/>
                  <w:vanish w:val="false"/>
                </w:rPr>
                <w:tab/>
                <w:t>6</w:t>
              </w:r>
              <w:r>
                <w:rPr>
                  <w:webHidden/>
                </w:rPr>
                <w:fldChar w:fldCharType="end"/>
              </w:r>
            </w:hyperlink>
            <w:r>
              <w:rPr>
                <w:rStyle w:val="Style14"/>
                <w:vanish w:val="false"/>
              </w:rPr>
              <w:fldChar w:fldCharType="end"/>
            </w:r>
          </w:hyperlink>
        </w:p>
      </w:sdtContent>
    </w:sdt>
    <w:p>
      <w:pPr>
        <w:pStyle w:val="TOC4"/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231837045"/>
      <w:r>
        <w:rPr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3" w:name="_Toc46743505"/>
      <w:bookmarkStart w:id="4" w:name="_Toc231837046"/>
      <w:r>
        <w:rPr/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 внутреннего сгорания</w:t>
            </w:r>
          </w:p>
        </w:tc>
      </w:tr>
    </w:tbl>
    <w:p>
      <w:pPr>
        <w:pStyle w:val="Heading4"/>
        <w:numPr>
          <w:ilvl w:val="1"/>
          <w:numId w:val="3"/>
        </w:numPr>
        <w:ind w:left="1224" w:hanging="432"/>
        <w:rPr/>
      </w:pPr>
      <w:bookmarkStart w:id="5" w:name="_Toc46743506"/>
      <w:bookmarkStart w:id="6" w:name="_Toc231837047"/>
      <w:r>
        <w:rPr/>
        <w:t>Наименование закупаемой продукции</w:t>
      </w:r>
      <w:bookmarkEnd w:id="5"/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 2: 45.20.11.212 Оказание услуг по ремонту двигателя автомобиля TOYOTA LAND CRUISER 150 для нужд Дагестанского транспортного участка Южного филиала АО "ТК РусГидро"»</w:t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7" w:name="_Toc231837048"/>
      <w:bookmarkStart w:id="8" w:name="_Toc46743507"/>
      <w:r>
        <w:rPr/>
        <w:t xml:space="preserve">Цель </w:t>
      </w:r>
      <w:bookmarkEnd w:id="8"/>
      <w:r>
        <w:rPr>
          <w:lang w:val="ru-RU"/>
        </w:rPr>
        <w:t>оказания услуг</w:t>
      </w:r>
      <w:bookmarkEnd w:id="7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rStyle w:val="Style8"/>
          <w:b w:val="false"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Содержание автотранспорта Дагестанского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обслуживания, и ремонта.</w:t>
      </w:r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9" w:name="_Toc46743508"/>
      <w:bookmarkStart w:id="10" w:name="_Toc231837049"/>
      <w:r>
        <w:rPr/>
        <w:t>Существующее положение</w:t>
      </w:r>
      <w:bookmarkEnd w:id="9"/>
      <w:bookmarkEnd w:id="10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транспортных средств в соответствии с Перечнем объектов заказчика (Таблица 1).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23183705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1"/>
    </w:p>
    <w:tbl>
      <w:tblPr>
        <w:tblW w:w="1006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2"/>
        <w:gridCol w:w="2413"/>
        <w:gridCol w:w="1843"/>
        <w:gridCol w:w="3822"/>
        <w:gridCol w:w="1420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Расположение объекта </w:t>
              <w:br/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капитальному ремонту ДВС автомобиля Дагестанского транспортного участка.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 г. Каспийск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TOYOTA LAND CRUISER 150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Heading4"/>
        <w:numPr>
          <w:ilvl w:val="1"/>
          <w:numId w:val="3"/>
        </w:numPr>
        <w:ind w:left="1224" w:hanging="432"/>
        <w:rPr/>
      </w:pPr>
      <w:bookmarkStart w:id="12" w:name="_Toc46743509"/>
      <w:bookmarkStart w:id="13" w:name="_Hlk49857604"/>
      <w:bookmarkStart w:id="14" w:name="_Toc231837051"/>
      <w:r>
        <w:rPr/>
        <w:t xml:space="preserve">Информация в отношении исполнения договора, </w:t>
      </w:r>
      <w:bookmarkStart w:id="15" w:name="_Hlk46492347"/>
      <w:r>
        <w:rPr/>
        <w:t xml:space="preserve">которая должна быть учтена при подготовке заявки </w:t>
      </w:r>
      <w:bookmarkEnd w:id="1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2"/>
      <w:bookmarkEnd w:id="13"/>
      <w:bookmarkEnd w:id="14"/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1.5.1. Ремонт ДВС проводится с учетом имеющегося пробега и эксплуатационного износа.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1.5.2.  Капитальный ремонт ДВС заключается в устранении возникших в процессе эксплуатации ТС неисправностей путем замены и ремонта отдельных деталей агрегата.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1.5.3.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1.5.4. Ремонт ДВС включает разборочно-сборочные, слесарные и другие работы: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диагностические работы (дефектовка);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ремонт агрегатов ТС и их замена (при необходимости);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1.5.7. Местом оказания услуг являются специализированные сервисные центры Исполнителя: 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Республика Дагестан г. Махачкала, г. Каспийск.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</w:rPr>
      </w:pPr>
      <w:bookmarkStart w:id="16" w:name="_Hlk48209761"/>
      <w:r>
        <w:rPr>
          <w:rFonts w:eastAsia="Calibri"/>
          <w:sz w:val="24"/>
          <w:szCs w:val="24"/>
        </w:rPr>
        <w:t>1.5.8. Все расходные материалы, замененные в процессе проведения ремонта транспортных средств Заказчика, переходят в собственность Исполнителя и утилизируются его силами.</w:t>
      </w:r>
      <w:bookmarkStart w:id="17" w:name="_Toc46743510"/>
      <w:bookmarkStart w:id="18" w:name="_Toc50125126"/>
      <w:bookmarkEnd w:id="16"/>
    </w:p>
    <w:p>
      <w:pPr>
        <w:pStyle w:val="Heading1"/>
        <w:keepLines/>
        <w:numPr>
          <w:ilvl w:val="0"/>
          <w:numId w:val="3"/>
        </w:numPr>
        <w:ind w:left="357" w:hanging="357"/>
        <w:rPr>
          <w:iCs/>
          <w:caps/>
          <w:lang w:val="ru-RU"/>
        </w:rPr>
      </w:pPr>
      <w:bookmarkStart w:id="19" w:name="_Toc51339693"/>
      <w:bookmarkStart w:id="20" w:name="_Toc23183705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9"/>
      <w:bookmarkEnd w:id="20"/>
    </w:p>
    <w:p>
      <w:pPr>
        <w:pStyle w:val="Heading4"/>
        <w:numPr>
          <w:ilvl w:val="1"/>
          <w:numId w:val="3"/>
        </w:numPr>
        <w:ind w:left="1224" w:hanging="432"/>
        <w:rPr/>
      </w:pPr>
      <w:bookmarkStart w:id="21" w:name="_Toc23183705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1"/>
    </w:p>
    <w:p>
      <w:pPr>
        <w:pStyle w:val="Heading3"/>
        <w:numPr>
          <w:ilvl w:val="2"/>
          <w:numId w:val="3"/>
        </w:numPr>
        <w:ind w:left="1224" w:hanging="504"/>
        <w:rPr/>
      </w:pPr>
      <w:bookmarkStart w:id="22" w:name="_Toc231837054"/>
      <w:r>
        <w:rPr>
          <w:lang w:val="ru-RU"/>
        </w:rPr>
        <w:t>Требования к перечню и объему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231837055"/>
      <w:bookmarkStart w:id="2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оказываемых услуг</w:t>
      </w:r>
      <w:bookmarkEnd w:id="23"/>
    </w:p>
    <w:tbl>
      <w:tblPr>
        <w:tblStyle w:val="2e"/>
        <w:tblW w:w="1020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7088"/>
        <w:gridCol w:w="1419"/>
        <w:gridCol w:w="1132"/>
      </w:tblGrid>
      <w:tr>
        <w:trPr>
          <w:trHeight w:val="413" w:hRule="atLeast"/>
        </w:trPr>
        <w:tc>
          <w:tcPr>
            <w:tcW w:w="56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eastAsia="Calibri" w:cs="Times New Roman" w:ascii="Calibri" w:hAnsi="Calibri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№ </w:t>
            </w:r>
            <w:r>
              <w:rPr>
                <w:rFonts w:eastAsia="Calibri" w:cs="Times New Roman" w:ascii="Calibri" w:hAnsi="Calibri"/>
                <w:b/>
                <w:bCs/>
                <w:kern w:val="0"/>
                <w:sz w:val="22"/>
                <w:szCs w:val="22"/>
                <w:lang w:val="en-GB" w:eastAsia="en-US" w:bidi="ar-SA"/>
              </w:rPr>
              <w:t>п/п</w:t>
            </w:r>
          </w:p>
        </w:tc>
        <w:tc>
          <w:tcPr>
            <w:tcW w:w="70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услуг / этапа услуг</w:t>
            </w:r>
          </w:p>
        </w:tc>
        <w:tc>
          <w:tcPr>
            <w:tcW w:w="141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Единица  измерения</w:t>
            </w:r>
          </w:p>
        </w:tc>
        <w:tc>
          <w:tcPr>
            <w:tcW w:w="113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56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708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Капитальный ремонт ДВС </w:t>
            </w:r>
            <w:r>
              <w:rPr>
                <w:rFonts w:eastAsia="Calibri" w:cs="Times New Roman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TOYOTA</w:t>
            </w:r>
            <w:r>
              <w:rPr>
                <w:rFonts w:eastAsia="Calibri" w:cs="Times New Roman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LAND</w:t>
            </w:r>
            <w:r>
              <w:rPr>
                <w:rFonts w:eastAsia="Calibri" w:cs="Times New Roman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CRUISER</w:t>
            </w:r>
            <w:r>
              <w:rPr>
                <w:rFonts w:eastAsia="Calibri" w:cs="Times New Roman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150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Усл. Ед.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капитальному ремонту ДВС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2.1.1. Автомобили марки </w:t>
      </w:r>
      <w:r>
        <w:rPr>
          <w:b/>
          <w:sz w:val="24"/>
          <w:szCs w:val="24"/>
          <w:lang w:val="en-GB"/>
        </w:rPr>
        <w:t>TOYOTA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GB"/>
        </w:rPr>
        <w:t>LAND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GB"/>
        </w:rPr>
        <w:t>CRUISER</w:t>
      </w:r>
      <w:r>
        <w:rPr>
          <w:b/>
          <w:sz w:val="24"/>
          <w:szCs w:val="24"/>
        </w:rPr>
        <w:t xml:space="preserve"> 150</w:t>
      </w:r>
    </w:p>
    <w:tbl>
      <w:tblPr>
        <w:tblW w:w="100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9"/>
        <w:gridCol w:w="8765"/>
        <w:gridCol w:w="851"/>
      </w:tblGrid>
      <w:tr>
        <w:trPr>
          <w:trHeight w:val="222" w:hRule="atLeast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Услуга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Двигатель - снять/установить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Технический контроль – осмотр (дефектовка деталей двигателя)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Двигатель - разобрать/собрать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Блок двигателя - отремонтировать (гильзовка)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Головка блока - шлифовка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Головка блока цилиндров в сборе - опрессовка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Головка блока цилиндров с клапанами - ремонт с заменой втулок и сёдел клапанов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Вал коленчатый  - шлифовка, полировка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Подготовка привалочных поверхностей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Замена установка цепи ГРМ и роликов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Двигатель - замена масла и масляного фильтра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>
        <w:trPr>
          <w:trHeight w:val="222" w:hRule="atLeast"/>
        </w:trPr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Запуск, настройка, регулировка двигателя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ind w:left="0" w:hanging="0"/>
        <w:rPr>
          <w:b w:val="false"/>
          <w:sz w:val="20"/>
          <w:szCs w:val="20"/>
          <w:lang w:val="ru-RU"/>
        </w:rPr>
      </w:pPr>
      <w:bookmarkStart w:id="25" w:name="_Toc231837056"/>
      <w:r>
        <w:rPr>
          <w:b w:val="false"/>
          <w:sz w:val="20"/>
          <w:szCs w:val="20"/>
          <w:lang w:val="ru-RU"/>
        </w:rPr>
        <w:t>* Объем услуг является ориентировочным, Заказчик не несет ответственности за неполную выборку услуг на общую сумму договора.  В стоимость работ входят расходные материалы и запасные части Исполнителя.</w:t>
      </w:r>
      <w:bookmarkEnd w:id="25"/>
    </w:p>
    <w:p>
      <w:pPr>
        <w:pStyle w:val="Heading3"/>
        <w:numPr>
          <w:ilvl w:val="2"/>
          <w:numId w:val="3"/>
        </w:numPr>
        <w:ind w:left="1224" w:hanging="504"/>
        <w:rPr>
          <w:lang w:val="ru-RU"/>
        </w:rPr>
      </w:pPr>
      <w:bookmarkStart w:id="26" w:name="_Toc231837057"/>
      <w:r>
        <w:rPr>
          <w:lang w:val="ru-RU"/>
        </w:rPr>
        <w:t>Требования к срокам оказания услуг</w:t>
      </w:r>
      <w:bookmarkEnd w:id="26"/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2.1.2.1. Сроки выполнения услуг:</w:t>
      </w:r>
    </w:p>
    <w:p>
      <w:pPr>
        <w:pStyle w:val="Normal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- капитальный ремонт двигателя – в течении 45 (сорока пяти) календарных дней с даты направления заявки;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Срок выполнения работ включает в себя срок доставки запасных частей, используемых при выполнении работ.</w:t>
      </w:r>
    </w:p>
    <w:p>
      <w:pPr>
        <w:pStyle w:val="Heading1"/>
        <w:keepLines/>
        <w:numPr>
          <w:ilvl w:val="0"/>
          <w:numId w:val="0"/>
        </w:numPr>
        <w:spacing w:before="0" w:after="60"/>
        <w:ind w:left="0" w:hanging="0"/>
        <w:rPr>
          <w:sz w:val="24"/>
          <w:szCs w:val="24"/>
          <w:lang w:val="ru-RU"/>
        </w:rPr>
      </w:pPr>
      <w:bookmarkStart w:id="27" w:name="_Toc231837058"/>
      <w:bookmarkStart w:id="28" w:name="_Toc50125127"/>
      <w:bookmarkStart w:id="29" w:name="_Toc51339697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8"/>
      <w:bookmarkEnd w:id="29"/>
      <w:bookmarkEnd w:id="30"/>
      <w:r>
        <w:rPr>
          <w:sz w:val="24"/>
          <w:szCs w:val="24"/>
          <w:lang w:val="ru-RU"/>
        </w:rPr>
        <w:t>оказания услуг</w:t>
      </w:r>
      <w:bookmarkEnd w:id="27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3401"/>
        <w:gridCol w:w="2694"/>
        <w:gridCol w:w="3402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bookmarkEnd w:id="17"/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Капитальный ремонт ДВС автомобиля Дагестанского транспортного участка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 г.</w:t>
            </w:r>
          </w:p>
        </w:tc>
      </w:tr>
    </w:tbl>
    <w:p>
      <w:pPr>
        <w:pStyle w:val="Heading4"/>
        <w:numPr>
          <w:ilvl w:val="1"/>
          <w:numId w:val="3"/>
        </w:numPr>
        <w:ind w:left="1224" w:hanging="432"/>
        <w:rPr/>
      </w:pPr>
      <w:bookmarkStart w:id="31" w:name="_Toc231837059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продукции</w:t>
      </w:r>
      <w:bookmarkEnd w:id="31"/>
    </w:p>
    <w:p>
      <w:pPr>
        <w:pStyle w:val="Heading1"/>
        <w:keepLines/>
        <w:numPr>
          <w:ilvl w:val="0"/>
          <w:numId w:val="0"/>
        </w:numPr>
        <w:spacing w:before="0" w:after="60"/>
        <w:ind w:left="0" w:hanging="0"/>
        <w:rPr>
          <w:sz w:val="24"/>
          <w:szCs w:val="24"/>
          <w:lang w:val="ru-RU"/>
        </w:rPr>
      </w:pPr>
      <w:bookmarkStart w:id="33" w:name="_Toc23183706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33"/>
    </w:p>
    <w:p>
      <w:pPr>
        <w:pStyle w:val="Normal"/>
        <w:rPr/>
      </w:pPr>
      <w:r>
        <w:rPr>
          <w:b/>
          <w:bCs/>
          <w:sz w:val="24"/>
          <w:szCs w:val="24"/>
        </w:rPr>
        <w:t xml:space="preserve">Наименование услуг/этапа услуг (позиция № </w:t>
      </w:r>
      <w:r>
        <w:rPr>
          <w:b/>
          <w:bCs/>
          <w:sz w:val="24"/>
          <w:szCs w:val="24"/>
          <w:u w:val="single"/>
        </w:rPr>
        <w:t xml:space="preserve">1 </w:t>
      </w:r>
      <w:r>
        <w:rPr>
          <w:b/>
          <w:bCs/>
          <w:sz w:val="24"/>
          <w:szCs w:val="24"/>
        </w:rPr>
        <w:t>Таблицы 2):</w:t>
      </w:r>
      <w:r>
        <w:rPr/>
        <w:t xml:space="preserve"> </w:t>
      </w:r>
      <w:r>
        <w:rPr>
          <w:bCs/>
          <w:sz w:val="24"/>
          <w:szCs w:val="24"/>
        </w:rPr>
        <w:t>Капитальный ремонт ДВС TOYOTA LAND CRUISER 150</w:t>
      </w:r>
    </w:p>
    <w:tbl>
      <w:tblPr>
        <w:tblStyle w:val="af"/>
        <w:tblW w:w="1049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1553"/>
        <w:gridCol w:w="3077"/>
        <w:gridCol w:w="2742"/>
        <w:gridCol w:w="2410"/>
      </w:tblGrid>
      <w:tr>
        <w:trPr/>
        <w:tc>
          <w:tcPr>
            <w:tcW w:w="7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5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7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1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5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0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7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4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4"/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0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742" w:type="dxa"/>
            <w:vMerge w:val="restart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 xml:space="preserve">требованиям, по форме Технического предложения. 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46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742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ru-RU" w:bidi="ar-SA"/>
              </w:rPr>
              <w:t>Оказание услуг исполнителем</w:t>
            </w:r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Ремонт ДВС проводится с учетом имеющегося пробега и эксплуатационного износа.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742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Ремонт ДВС включает разборочно-сборочные, слесарные и другие работы: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- диагностические работы (дефектовка);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- ремонт агрегатов ТС и их замена (при необходимости); Замене подлежат все основные элементы: поршневая группа, вкладыши, маслосъемные колпачки, прокладки, сальники и детали ГРМ. Сборка и регулировка агрегата должны соответствовать заводским мануалам автопроизводителя.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742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При оказании услуги по капитальному ремонту двигателя (ДВС) должны применятся только оригинальные детали или сертифицированные аналоги, одобренные производителем.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742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742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Капитальный ремонт двигателя (ДВС) должен восстановить его ресурс до значений, близких к заводским.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742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bookmarkStart w:id="35" w:name="_Toc230623319"/>
            <w:bookmarkStart w:id="36" w:name="_Toc231303626"/>
            <w:bookmarkStart w:id="37" w:name="_Toc23183706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Соблюдение положений и иной обязательной для исполнения документации</w:t>
            </w:r>
            <w:bookmarkEnd w:id="35"/>
            <w:bookmarkEnd w:id="36"/>
            <w:bookmarkEnd w:id="37"/>
          </w:p>
        </w:tc>
        <w:tc>
          <w:tcPr>
            <w:tcW w:w="30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Услуги должны выполняться Исполнителем в соответствии с нормативно-техническими требованиями заводов изготовителей.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6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742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Гарантия Исполнителя</w:t>
            </w:r>
          </w:p>
        </w:tc>
        <w:tc>
          <w:tcPr>
            <w:tcW w:w="30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представить гарантию на оказанные услуги не менее 6 (шести) месяцев со дня их принятия или 20 000 км.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2131" w:leader="none"/>
        </w:tabs>
        <w:rPr>
          <w:iCs/>
          <w:caps/>
        </w:rPr>
      </w:pPr>
      <w:r>
        <w:rPr>
          <w:iCs/>
          <w:caps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8" w:name="_Toc54281228"/>
      <w:bookmarkStart w:id="39" w:name="_Toc231837062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8"/>
      <w:bookmarkEnd w:id="39"/>
    </w:p>
    <w:p>
      <w:pPr>
        <w:pStyle w:val="Heading4"/>
        <w:numPr>
          <w:ilvl w:val="0"/>
          <w:numId w:val="0"/>
        </w:numPr>
        <w:ind w:left="0" w:hanging="0"/>
        <w:rPr>
          <w:b w:val="false"/>
          <w:lang w:val="ru-RU"/>
        </w:rPr>
      </w:pPr>
      <w:bookmarkStart w:id="40" w:name="_Toc231837063"/>
      <w:bookmarkStart w:id="41" w:name="_Toc230438641"/>
      <w:bookmarkStart w:id="42" w:name="_Toc143179422"/>
      <w:bookmarkStart w:id="43" w:name="_Toc142933451"/>
      <w:bookmarkStart w:id="44" w:name="_Toc142635738"/>
      <w:bookmarkStart w:id="45" w:name="_Toc142635591"/>
      <w:bookmarkStart w:id="46" w:name="_Toc142635471"/>
      <w:bookmarkStart w:id="47" w:name="_Toc135933382"/>
      <w:bookmarkStart w:id="48" w:name="_Toc135932812"/>
      <w:bookmarkStart w:id="49" w:name="_Toc142635868"/>
      <w:r>
        <w:rPr>
          <w:b w:val="false"/>
        </w:rPr>
        <w:t xml:space="preserve">3.1.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b w:val="fals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в приложении №2</w:t>
      </w:r>
      <w:r>
        <w:rPr>
          <w:b w:val="false"/>
          <w:lang w:val="ru-RU"/>
        </w:rPr>
        <w:t xml:space="preserve"> к настоящим Техническим требованиям.</w:t>
      </w:r>
      <w:bookmarkEnd w:id="40"/>
    </w:p>
    <w:p>
      <w:pPr>
        <w:pStyle w:val="Heading4"/>
        <w:numPr>
          <w:ilvl w:val="0"/>
          <w:numId w:val="0"/>
        </w:numPr>
        <w:ind w:left="0" w:hanging="0"/>
        <w:rPr>
          <w:lang w:val="ru-RU"/>
        </w:rPr>
      </w:pPr>
      <w:bookmarkStart w:id="50" w:name="_Toc231837064"/>
      <w:r>
        <w:rPr>
          <w:b w:val="false"/>
          <w:lang w:val="ru-RU"/>
        </w:rPr>
        <w:t>3.2. Дополнительные документы по ценообразованию (сметная документация) в состав заявки Участника не включаются.</w:t>
      </w:r>
      <w:bookmarkEnd w:id="50"/>
      <w:r>
        <w:rPr>
          <w:b w:val="false"/>
          <w:lang w:val="ru-RU"/>
        </w:rPr>
        <w:t xml:space="preserve"> 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rPr>
          <w:lang w:eastAsia="x-none"/>
        </w:rPr>
      </w:pPr>
      <w:r>
        <w:rPr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№1 </w:t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 Техническим требованиям: Форма заказ- наряда</w:t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99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61"/>
        <w:gridCol w:w="1284"/>
        <w:gridCol w:w="511"/>
        <w:gridCol w:w="1163"/>
        <w:gridCol w:w="320"/>
        <w:gridCol w:w="759"/>
        <w:gridCol w:w="988"/>
        <w:gridCol w:w="685"/>
        <w:gridCol w:w="1040"/>
      </w:tblGrid>
      <w:tr>
        <w:trPr>
          <w:trHeight w:val="300" w:hRule="atLeast"/>
        </w:trPr>
        <w:tc>
          <w:tcPr>
            <w:tcW w:w="9911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ЗАКАЗ-НАРЯД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ТР автомобиля_________________________________________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eastAsia="Calibri"/>
                <w:color w:val="000000"/>
                <w:sz w:val="10"/>
                <w:szCs w:val="10"/>
              </w:rPr>
            </w:pPr>
            <w:r>
              <w:rPr>
                <w:rFonts w:eastAsia="Calibri"/>
                <w:color w:val="000000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color w:val="000000"/>
                <w:sz w:val="10"/>
                <w:szCs w:val="10"/>
              </w:rPr>
              <w:t>(Марка транспортного средства, государственный регистрационный знак)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</w:r>
          </w:p>
        </w:tc>
      </w:tr>
      <w:tr>
        <w:trPr>
          <w:trHeight w:val="636" w:hRule="atLeast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ТР пробег_______________ км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Кол-во н/ч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Стоимость н/ч, руб. без НДС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Стоимость, 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руб. без НДС</w:t>
            </w:r>
          </w:p>
        </w:tc>
      </w:tr>
      <w:tr>
        <w:trPr>
          <w:trHeight w:val="300" w:hRule="atLeast"/>
        </w:trPr>
        <w:tc>
          <w:tcPr>
            <w:tcW w:w="99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Работы</w:t>
            </w:r>
          </w:p>
        </w:tc>
      </w:tr>
      <w:tr>
        <w:trPr>
          <w:trHeight w:val="300" w:hRule="atLeast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>
          <w:trHeight w:val="300" w:hRule="atLeast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>
          <w:trHeight w:val="300" w:hRule="atLeast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655" w:leader="none"/>
                <w:tab w:val="left" w:pos="7797" w:leader="none"/>
              </w:tabs>
              <w:suppressAutoHyphens w:val="true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>
          <w:trHeight w:val="300" w:hRule="atLeast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655" w:leader="none"/>
                <w:tab w:val="left" w:pos="7797" w:leader="none"/>
              </w:tabs>
              <w:suppressAutoHyphens w:val="true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>
          <w:trHeight w:val="300" w:hRule="atLeast"/>
        </w:trPr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655" w:leader="none"/>
                <w:tab w:val="left" w:pos="7797" w:leader="none"/>
              </w:tabs>
              <w:suppressAutoHyphens w:val="true"/>
              <w:rPr>
                <w:sz w:val="16"/>
                <w:szCs w:val="16"/>
                <w:lang w:eastAsia="x-none"/>
              </w:rPr>
            </w:pPr>
            <w:r>
              <w:rPr>
                <w:sz w:val="16"/>
                <w:szCs w:val="16"/>
                <w:lang w:eastAsia="x-none"/>
              </w:rPr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</w:r>
          </w:p>
        </w:tc>
      </w:tr>
      <w:tr>
        <w:trPr>
          <w:trHeight w:val="300" w:hRule="atLeast"/>
        </w:trPr>
        <w:tc>
          <w:tcPr>
            <w:tcW w:w="8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Итого стоимость работ, без НДС:</w:t>
            </w:r>
          </w:p>
        </w:tc>
        <w:tc>
          <w:tcPr>
            <w:tcW w:w="17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</w:tr>
      <w:tr>
        <w:trPr>
          <w:trHeight w:val="300" w:hRule="atLeast"/>
        </w:trPr>
        <w:tc>
          <w:tcPr>
            <w:tcW w:w="99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Расходные материалы и запасные части</w:t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Марка производителя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 xml:space="preserve">Каталожный 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Цена, руб. без НДС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Стоимость, руб. без НДС</w:t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64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8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Итого стоимость расходных материалов и запасных частей, руб. без НДС: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88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  <w:t>Итого стоимость ТР с запасными частями, руб. без НДС: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№2 </w:t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 Техническим требованиям: Форма КП</w:t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3795" w:leader="none"/>
        </w:tabs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Прикладывается в отдельном файле.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707" w:gutter="0" w:header="680" w:top="851" w:footer="737" w:bottom="79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 xml:space="preserve">Приложение №1 к Запросу ТКП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8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ind w:left="1224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0432f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B319F-EDFE-4392-BDF1-30ADF929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AlterOffice/3.4.0.9$Linux_X86_64 LibreOffice_project/b8daf9e823b1a5463a2f48435ddc2e8696e7d4fc</Application>
  <AppVersion>15.0000</AppVersion>
  <Pages>7</Pages>
  <Words>1316</Words>
  <Characters>8587</Characters>
  <CharactersWithSpaces>9881</CharactersWithSpaces>
  <Paragraphs>242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2026-05-25T14:14:00Z</dcterms:created>
  <dc:creator>Быстров Олег Геннадьевич</dc:creator>
  <dc:description/>
  <dc:language>ru-RU</dc:language>
  <cp:lastModifiedBy>shlychkovaiv@corp.gidroogk.com</cp:lastModifiedBy>
  <cp:lastPrinted>2006-07-26T14:04:00Z</cp:lastPrinted>
  <dcterms:modified xsi:type="dcterms:W3CDTF">2026-06-17T15:59:08Z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