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13.xml" ContentType="application/vnd.openxmlformats-officedocument.wordprocessingml.header+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footer1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15.xml" ContentType="application/vnd.openxmlformats-officedocument.wordprocessingml.header+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theme/theme1.xml" ContentType="application/vnd.openxmlformats-officedocument.theme+xml"/>
  <Override PartName="/word/header7.xml" ContentType="application/vnd.openxmlformats-officedocument.wordprocessingml.header+xml"/>
  <Override PartName="/word/header10.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8"/>
        <w:keepNext w:val="true"/>
        <w:spacing w:before="120" w:after="0"/>
        <w:ind w:left="4536" w:hanging="0"/>
        <w:jc w:val="right"/>
        <w:rPr/>
      </w:pPr>
      <w:r>
        <w:rPr/>
      </w:r>
    </w:p>
    <w:p>
      <w:pPr>
        <w:pStyle w:val="Style28"/>
        <w:ind w:hanging="0"/>
        <w:jc w:val="left"/>
        <w:rPr/>
      </w:pPr>
      <w:r>
        <w:rPr/>
        <w:drawing>
          <wp:inline distT="0" distB="0" distL="0" distR="0">
            <wp:extent cx="6261100" cy="10058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261100" cy="1005840"/>
                    </a:xfrm>
                    <a:prstGeom prst="rect">
                      <a:avLst/>
                    </a:prstGeom>
                  </pic:spPr>
                </pic:pic>
              </a:graphicData>
            </a:graphic>
          </wp:inline>
        </w:drawing>
      </w:r>
    </w:p>
    <w:p>
      <w:pPr>
        <w:pStyle w:val="Style28"/>
        <w:ind w:left="4536" w:hanging="0"/>
        <w:jc w:val="left"/>
        <w:rPr/>
      </w:pPr>
      <w:r>
        <w:rPr/>
      </w:r>
    </w:p>
    <w:p>
      <w:pPr>
        <w:pStyle w:val="Style28"/>
        <w:ind w:left="4536" w:hanging="0"/>
        <w:jc w:val="right"/>
        <w:rPr/>
      </w:pPr>
      <w:r>
        <w:rPr/>
      </w:r>
    </w:p>
    <w:p>
      <w:pPr>
        <w:pStyle w:val="Style28"/>
        <w:ind w:left="4536" w:hanging="0"/>
        <w:jc w:val="right"/>
        <w:rPr/>
      </w:pPr>
      <w:r>
        <w:rPr/>
      </w:r>
    </w:p>
    <w:p>
      <w:pPr>
        <w:pStyle w:val="Style28"/>
        <w:ind w:left="4536" w:hanging="0"/>
        <w:jc w:val="right"/>
        <w:rPr/>
      </w:pPr>
      <w:r>
        <w:rPr/>
      </w:r>
    </w:p>
    <w:p>
      <w:pPr>
        <w:pStyle w:val="Style28"/>
        <w:rPr/>
      </w:pPr>
      <w:r>
        <w:rPr/>
      </w:r>
    </w:p>
    <w:p>
      <w:pPr>
        <w:pStyle w:val="Style28"/>
        <w:rPr/>
      </w:pPr>
      <w:r>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keepNext w:val="true"/>
        <w:spacing w:before="240" w:after="0"/>
        <w:jc w:val="center"/>
        <w:rPr>
          <w:rStyle w:val="Style10"/>
        </w:rPr>
      </w:pPr>
      <w:r>
        <w:rPr/>
        <w:t>Состязательный отбор в электронной форме, участниками которого могут быть только субъекты МСП на право заключения договора на </w:t>
      </w:r>
    </w:p>
    <w:p>
      <w:pPr>
        <w:pStyle w:val="Normal"/>
        <w:widowControl w:val="false"/>
        <w:spacing w:lineRule="auto" w:line="240" w:before="60" w:after="60"/>
        <w:ind w:left="-108" w:right="-108" w:hanging="0"/>
        <w:jc w:val="center"/>
        <w:rPr/>
      </w:pPr>
      <w:r>
        <w:rPr>
          <w:rStyle w:val="Style10"/>
          <w:rFonts w:eastAsia="Calibri" w:cs="" w:cstheme="minorBidi" w:eastAsiaTheme="minorHAnsi"/>
          <w:i w:val="false"/>
          <w:iCs w:val="false"/>
          <w:color w:val="000000"/>
          <w:kern w:val="0"/>
          <w:sz w:val="26"/>
          <w:szCs w:val="22"/>
          <w:shd w:fill="auto" w:val="clear"/>
          <w:lang w:val="ru-RU" w:eastAsia="en-US" w:bidi="ar-SA"/>
        </w:rPr>
        <w:t>«ОКПД2 47.41.10.000 Поставка расходных материалов для ПК и оргтехники»</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keepNext w:val="true"/>
        <w:spacing w:before="240" w:after="0"/>
        <w:jc w:val="center"/>
        <w:rPr/>
      </w:pPr>
      <w:r>
        <w:rPr/>
        <w:t xml:space="preserve">(Лот № </w:t>
      </w:r>
      <w:r>
        <w:rPr>
          <w:i w:val="false"/>
          <w:iCs w:val="false"/>
          <w:sz w:val="26"/>
          <w:szCs w:val="26"/>
          <w:lang w:val="en-US" w:eastAsia="en-US"/>
        </w:rPr>
        <w:t>21-ЭКСПДИТ-</w:t>
      </w:r>
      <w:r>
        <w:rPr>
          <w:i w:val="false"/>
          <w:iCs w:val="false"/>
          <w:sz w:val="26"/>
          <w:szCs w:val="26"/>
          <w:lang w:eastAsia="en-US"/>
        </w:rPr>
        <w:t>2026-БурГЭС</w:t>
      </w:r>
      <w:r>
        <w:rPr/>
        <w:t>)</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8"/>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Подраздел,2,[РГ] Подраздел,2,[РГ] Подраздел,2,[РГ] Подраздел,2,[РГ] Подраздел,2,[РГ] Подраздел,2,[РГ] Пункт,3,[РГ] Пункт,3,[РГ] Пункт,3,[РГ] Пункт,3,[РГ] Пункт,3,[РГ] Подпункт,4,[РГ] Подпункт,4,[РГ] Подпункт,4,[РГ] Подпункт,4,[РГ] Подпункт,4,[РГ] Перечисление,5,[РГ] Перечисление,5,[РГ] Перечисление,5,[РГ] Перечисление,5,[РГ] Перечисление,5" \h</w:instrText>
          </w:r>
          <w:r>
            <w:rPr>
              <w:webHidden/>
              <w:rStyle w:val="Style18"/>
              <w:vanish w:val="false"/>
            </w:rPr>
            <w:fldChar w:fldCharType="separate"/>
          </w:r>
          <w:hyperlink w:anchor="_Toc186224270">
            <w:r>
              <w:rPr>
                <w:webHidden/>
              </w:rPr>
              <w:fldChar w:fldCharType="begin"/>
            </w:r>
            <w:r>
              <w:rPr>
                <w:webHidden/>
              </w:rPr>
              <w:instrText xml:space="preserve">PAGEREF _Toc186224270 \h</w:instrText>
            </w:r>
            <w:r>
              <w:rPr>
                <w:webHidden/>
              </w:rPr>
              <w:fldChar w:fldCharType="separate"/>
            </w:r>
            <w:r>
              <w:rPr>
                <w:webHidden/>
                <w:rStyle w:val="Style18"/>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Pr>
              <w:fldChar w:fldCharType="begin"/>
            </w:r>
            <w:r>
              <w:rPr>
                <w:webHidden/>
              </w:rPr>
              <w:instrText xml:space="preserve">PAGEREF _Toc186224271 \h</w:instrText>
            </w:r>
            <w:r>
              <w:rPr>
                <w:webHidden/>
              </w:rPr>
              <w:fldChar w:fldCharType="separate"/>
            </w:r>
            <w:r>
              <w:rPr>
                <w:webHidden/>
                <w:rStyle w:val="Style18"/>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18"/>
                <w:vanish w:val="false"/>
              </w:rPr>
              <w:t>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Основные сведения о закупке</w:t>
            </w:r>
            <w:r>
              <w:rPr>
                <w:webHidden/>
              </w:rPr>
              <w:fldChar w:fldCharType="begin"/>
            </w:r>
            <w:r>
              <w:rPr>
                <w:webHidden/>
              </w:rPr>
              <w:instrText xml:space="preserve">PAGEREF _Toc186224272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18"/>
                <w:vanish w:val="false"/>
              </w:rPr>
              <w:t>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Статус настоящего раздела</w:t>
            </w:r>
            <w:r>
              <w:rPr>
                <w:webHidden/>
              </w:rPr>
              <w:fldChar w:fldCharType="begin"/>
            </w:r>
            <w:r>
              <w:rPr>
                <w:webHidden/>
              </w:rPr>
              <w:instrText xml:space="preserve">PAGEREF _Toc186224273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8"/>
                <w:vanish w:val="false"/>
              </w:rPr>
              <w:t>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Информация о проводимой закупке</w:t>
            </w:r>
            <w:r>
              <w:rPr>
                <w:webHidden/>
              </w:rPr>
              <w:fldChar w:fldCharType="begin"/>
            </w:r>
            <w:r>
              <w:rPr>
                <w:webHidden/>
              </w:rPr>
              <w:instrText xml:space="preserve">PAGEREF _Toc186224274 \h</w:instrText>
            </w:r>
            <w:r>
              <w:rPr>
                <w:webHidden/>
              </w:rPr>
              <w:fldChar w:fldCharType="separate"/>
            </w:r>
            <w:r>
              <w:rPr>
                <w:rStyle w:val="Style18"/>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18"/>
                <w:vanish w:val="false"/>
              </w:rPr>
              <w:t>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_Toc186224275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8"/>
                <w:vanish w:val="false"/>
              </w:rPr>
              <w:t>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сведения о закупке</w:t>
            </w:r>
            <w:r>
              <w:rPr>
                <w:webHidden/>
              </w:rPr>
              <w:fldChar w:fldCharType="begin"/>
            </w:r>
            <w:r>
              <w:rPr>
                <w:webHidden/>
              </w:rPr>
              <w:instrText xml:space="preserve">PAGEREF _Toc186224276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8"/>
                <w:vanish w:val="false"/>
              </w:rPr>
              <w:t>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Правовой статус документов</w:t>
            </w:r>
            <w:r>
              <w:rPr>
                <w:webHidden/>
              </w:rPr>
              <w:fldChar w:fldCharType="begin"/>
            </w:r>
            <w:r>
              <w:rPr>
                <w:webHidden/>
              </w:rPr>
              <w:instrText xml:space="preserve">PAGEREF _Toc186224277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8"/>
                <w:vanish w:val="false"/>
              </w:rPr>
              <w:t>2.3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Обжалование</w:t>
            </w:r>
            <w:r>
              <w:rPr>
                <w:webHidden/>
              </w:rPr>
              <w:fldChar w:fldCharType="begin"/>
            </w:r>
            <w:r>
              <w:rPr>
                <w:webHidden/>
              </w:rPr>
              <w:instrText xml:space="preserve">PAGEREF _Toc186224278 \h</w:instrText>
            </w:r>
            <w:r>
              <w:rPr>
                <w:webHidden/>
              </w:rPr>
              <w:fldChar w:fldCharType="separate"/>
            </w:r>
            <w:r>
              <w:rPr>
                <w:rStyle w:val="Style18"/>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18"/>
                <w:vanish w:val="false"/>
              </w:rPr>
              <w:t>2.4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Особые положения при проведении закупки с использованием ЭП</w:t>
            </w:r>
            <w:r>
              <w:rPr>
                <w:webHidden/>
              </w:rPr>
              <w:fldChar w:fldCharType="begin"/>
            </w:r>
            <w:r>
              <w:rPr>
                <w:webHidden/>
              </w:rPr>
              <w:instrText xml:space="preserve">PAGEREF _Toc186224279 \h</w:instrText>
            </w:r>
            <w:r>
              <w:rPr>
                <w:webHidden/>
              </w:rPr>
              <w:fldChar w:fldCharType="separate"/>
            </w:r>
            <w:r>
              <w:rPr>
                <w:rStyle w:val="Style18"/>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8"/>
                <w:vanish w:val="false"/>
              </w:rPr>
              <w:t>2.5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Прочие положения</w:t>
            </w:r>
            <w:r>
              <w:rPr>
                <w:webHidden/>
              </w:rPr>
              <w:fldChar w:fldCharType="begin"/>
            </w:r>
            <w:r>
              <w:rPr>
                <w:webHidden/>
              </w:rPr>
              <w:instrText xml:space="preserve">PAGEREF _Toc186224280 \h</w:instrText>
            </w:r>
            <w:r>
              <w:rPr>
                <w:webHidden/>
              </w:rPr>
              <w:fldChar w:fldCharType="separate"/>
            </w:r>
            <w:r>
              <w:rPr>
                <w:rStyle w:val="Style18"/>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8"/>
                <w:vanish w:val="false"/>
              </w:rPr>
              <w:t>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Требования к Участникам</w:t>
            </w:r>
            <w:r>
              <w:rPr>
                <w:webHidden/>
              </w:rPr>
              <w:fldChar w:fldCharType="begin"/>
            </w:r>
            <w:r>
              <w:rPr>
                <w:webHidden/>
              </w:rPr>
              <w:instrText xml:space="preserve">PAGEREF _Toc186224281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8"/>
                <w:vanish w:val="false"/>
              </w:rPr>
              <w:t>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требования к Участникам</w:t>
            </w:r>
            <w:r>
              <w:rPr>
                <w:webHidden/>
              </w:rPr>
              <w:fldChar w:fldCharType="begin"/>
            </w:r>
            <w:r>
              <w:rPr>
                <w:webHidden/>
              </w:rPr>
              <w:instrText xml:space="preserve">PAGEREF _Toc186224282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8"/>
                <w:vanish w:val="false"/>
              </w:rPr>
              <w:t>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Коллективные участники</w:t>
            </w:r>
            <w:r>
              <w:rPr>
                <w:webHidden/>
              </w:rPr>
              <w:fldChar w:fldCharType="begin"/>
            </w:r>
            <w:r>
              <w:rPr>
                <w:webHidden/>
              </w:rPr>
              <w:instrText xml:space="preserve">PAGEREF _Toc186224283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8"/>
                <w:vanish w:val="false"/>
              </w:rPr>
              <w:t>3.3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Генеральные подрядчики</w:t>
            </w:r>
            <w:r>
              <w:rPr>
                <w:webHidden/>
              </w:rPr>
              <w:fldChar w:fldCharType="begin"/>
            </w:r>
            <w:r>
              <w:rPr>
                <w:webHidden/>
              </w:rPr>
              <w:instrText xml:space="preserve">PAGEREF _Toc186224284 \h</w:instrText>
            </w:r>
            <w:r>
              <w:rPr>
                <w:webHidden/>
              </w:rPr>
              <w:fldChar w:fldCharType="separate"/>
            </w:r>
            <w:r>
              <w:rPr>
                <w:rStyle w:val="Style18"/>
                <w:vanish w:val="false"/>
              </w:rPr>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8"/>
                <w:vanish w:val="false"/>
              </w:rPr>
              <w:t>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проведения закупки</w:t>
            </w:r>
            <w:r>
              <w:rPr>
                <w:webHidden/>
              </w:rPr>
              <w:fldChar w:fldCharType="begin"/>
            </w:r>
            <w:r>
              <w:rPr>
                <w:webHidden/>
              </w:rPr>
              <w:instrText xml:space="preserve">PAGEREF _Toc186224285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8"/>
                <w:vanish w:val="false"/>
              </w:rPr>
              <w:t>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Общий порядок проведения закупки</w:t>
            </w:r>
            <w:r>
              <w:rPr>
                <w:webHidden/>
              </w:rPr>
              <w:fldChar w:fldCharType="begin"/>
            </w:r>
            <w:r>
              <w:rPr>
                <w:webHidden/>
              </w:rPr>
              <w:instrText xml:space="preserve">PAGEREF _Toc186224286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18"/>
                <w:vanish w:val="false"/>
              </w:rPr>
              <w:t>4.2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Официальное размещение Извещения и Документации о закупке</w:t>
            </w:r>
            <w:r>
              <w:rPr>
                <w:webHidden/>
              </w:rPr>
              <w:fldChar w:fldCharType="begin"/>
            </w:r>
            <w:r>
              <w:rPr>
                <w:webHidden/>
              </w:rPr>
              <w:instrText xml:space="preserve">PAGEREF _Toc186224287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8"/>
                <w:vanish w:val="false"/>
              </w:rPr>
              <w:t>4.3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Подготовка заявки</w:t>
            </w:r>
            <w:r>
              <w:rPr>
                <w:webHidden/>
              </w:rPr>
              <w:fldChar w:fldCharType="begin"/>
            </w:r>
            <w:r>
              <w:rPr>
                <w:webHidden/>
              </w:rPr>
              <w:instrText xml:space="preserve">PAGEREF _Toc186224288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8"/>
                <w:vanish w:val="false"/>
              </w:rPr>
              <w:t>4.4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Разъяснение Документации о закупке</w:t>
            </w:r>
            <w:r>
              <w:rPr>
                <w:webHidden/>
              </w:rPr>
              <w:fldChar w:fldCharType="begin"/>
            </w:r>
            <w:r>
              <w:rPr>
                <w:webHidden/>
              </w:rPr>
              <w:instrText xml:space="preserve">PAGEREF _Toc186224289 \h</w:instrText>
            </w:r>
            <w:r>
              <w:rPr>
                <w:webHidden/>
              </w:rPr>
              <w:fldChar w:fldCharType="separate"/>
            </w:r>
            <w:r>
              <w:rPr>
                <w:rStyle w:val="Style18"/>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8"/>
                <w:vanish w:val="false"/>
              </w:rPr>
              <w:t>4.5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Изменения Извещения и (или) Документации о закупке</w:t>
            </w:r>
            <w:r>
              <w:rPr>
                <w:webHidden/>
              </w:rPr>
              <w:fldChar w:fldCharType="begin"/>
            </w:r>
            <w:r>
              <w:rPr>
                <w:webHidden/>
              </w:rPr>
              <w:instrText xml:space="preserve">PAGEREF _Toc186224290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8"/>
                <w:vanish w:val="false"/>
              </w:rPr>
              <w:t>4.6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Подача заявок и их прием</w:t>
            </w:r>
            <w:r>
              <w:rPr>
                <w:webHidden/>
              </w:rPr>
              <w:fldChar w:fldCharType="begin"/>
            </w:r>
            <w:r>
              <w:rPr>
                <w:webHidden/>
              </w:rPr>
              <w:instrText xml:space="preserve">PAGEREF _Toc186224291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8"/>
                <w:vanish w:val="false"/>
              </w:rPr>
              <w:t>4.7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Изменение и отзыв заявок</w:t>
            </w:r>
            <w:r>
              <w:rPr>
                <w:webHidden/>
              </w:rPr>
              <w:fldChar w:fldCharType="begin"/>
            </w:r>
            <w:r>
              <w:rPr>
                <w:webHidden/>
              </w:rPr>
              <w:instrText xml:space="preserve">PAGEREF _Toc186224292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18"/>
                <w:vanish w:val="false"/>
              </w:rPr>
              <w:t>4.8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Открытие доступа к заявкам</w:t>
            </w:r>
            <w:r>
              <w:rPr>
                <w:webHidden/>
              </w:rPr>
              <w:fldChar w:fldCharType="begin"/>
            </w:r>
            <w:r>
              <w:rPr>
                <w:webHidden/>
              </w:rPr>
              <w:instrText xml:space="preserve">PAGEREF _Toc186224293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8"/>
                <w:vanish w:val="false"/>
              </w:rPr>
              <w:t>4.9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Рассмотрение заявок (отборочная стадия), в том числе (при необходимости) проведение аккредитации</w:t>
            </w:r>
            <w:r>
              <w:rPr>
                <w:webHidden/>
              </w:rPr>
              <w:fldChar w:fldCharType="begin"/>
            </w:r>
            <w:r>
              <w:rPr>
                <w:webHidden/>
              </w:rPr>
              <w:instrText xml:space="preserve">PAGEREF _Toc186224294 \h</w:instrText>
            </w:r>
            <w:r>
              <w:rPr>
                <w:webHidden/>
              </w:rPr>
              <w:fldChar w:fldCharType="separate"/>
            </w:r>
            <w:r>
              <w:rPr>
                <w:rStyle w:val="Style18"/>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18"/>
                <w:vanish w:val="false"/>
              </w:rPr>
              <w:t>4.10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запросы разъяснений заявок</w:t>
            </w:r>
            <w:r>
              <w:rPr>
                <w:webHidden/>
              </w:rPr>
              <w:fldChar w:fldCharType="begin"/>
            </w:r>
            <w:r>
              <w:rPr>
                <w:webHidden/>
              </w:rPr>
              <w:instrText xml:space="preserve">PAGEREF _Toc186224295 \h</w:instrText>
            </w:r>
            <w:r>
              <w:rPr>
                <w:webHidden/>
              </w:rPr>
              <w:fldChar w:fldCharType="separate"/>
            </w:r>
            <w:r>
              <w:rPr>
                <w:rStyle w:val="Style18"/>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8"/>
                <w:vanish w:val="false"/>
              </w:rPr>
              <w:t>4.11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Переторжка</w:t>
            </w:r>
            <w:r>
              <w:rPr>
                <w:webHidden/>
              </w:rPr>
              <w:fldChar w:fldCharType="begin"/>
            </w:r>
            <w:r>
              <w:rPr>
                <w:webHidden/>
              </w:rPr>
              <w:instrText xml:space="preserve">PAGEREF _Toc186224296 \h</w:instrText>
            </w:r>
            <w:r>
              <w:rPr>
                <w:webHidden/>
              </w:rPr>
              <w:fldChar w:fldCharType="separate"/>
            </w:r>
            <w:r>
              <w:rPr>
                <w:rStyle w:val="Style18"/>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18"/>
                <w:vanish w:val="false"/>
              </w:rPr>
              <w:t>4.12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Оценка и сопоставление заявок</w:t>
            </w:r>
            <w:r>
              <w:rPr>
                <w:webHidden/>
              </w:rPr>
              <w:fldChar w:fldCharType="begin"/>
            </w:r>
            <w:r>
              <w:rPr>
                <w:webHidden/>
              </w:rPr>
              <w:instrText xml:space="preserve">PAGEREF _Toc186224297 \h</w:instrText>
            </w:r>
            <w:r>
              <w:rPr>
                <w:webHidden/>
              </w:rPr>
              <w:fldChar w:fldCharType="separate"/>
            </w:r>
            <w:r>
              <w:rPr>
                <w:rStyle w:val="Style18"/>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8"/>
                <w:vanish w:val="false"/>
              </w:rPr>
              <w:t>4.13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Применение законодательства о национальном режиме</w:t>
            </w:r>
            <w:r>
              <w:rPr>
                <w:webHidden/>
              </w:rPr>
              <w:fldChar w:fldCharType="begin"/>
            </w:r>
            <w:r>
              <w:rPr>
                <w:webHidden/>
              </w:rPr>
              <w:instrText xml:space="preserve">PAGEREF _Toc186224298 \h</w:instrText>
            </w:r>
            <w:r>
              <w:rPr>
                <w:webHidden/>
              </w:rPr>
              <w:fldChar w:fldCharType="separate"/>
            </w:r>
            <w:r>
              <w:rPr>
                <w:rStyle w:val="Style18"/>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18"/>
                <w:vanish w:val="false"/>
              </w:rPr>
              <w:t>4.14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Подведение итогов закупки (определение Победителя)</w:t>
            </w:r>
            <w:r>
              <w:rPr>
                <w:webHidden/>
              </w:rPr>
              <w:fldChar w:fldCharType="begin"/>
            </w:r>
            <w:r>
              <w:rPr>
                <w:webHidden/>
              </w:rPr>
              <w:instrText xml:space="preserve">PAGEREF _Toc186224299 \h</w:instrText>
            </w:r>
            <w:r>
              <w:rPr>
                <w:webHidden/>
              </w:rPr>
              <w:fldChar w:fldCharType="separate"/>
            </w:r>
            <w:r>
              <w:rPr>
                <w:rStyle w:val="Style18"/>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18"/>
                <w:vanish w:val="false"/>
              </w:rPr>
              <w:t>4.15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Признание закупки несостоявшейся</w:t>
            </w:r>
            <w:r>
              <w:rPr>
                <w:webHidden/>
              </w:rPr>
              <w:fldChar w:fldCharType="begin"/>
            </w:r>
            <w:r>
              <w:rPr>
                <w:webHidden/>
              </w:rPr>
              <w:instrText xml:space="preserve">PAGEREF _Toc186224300 \h</w:instrText>
            </w:r>
            <w:r>
              <w:rPr>
                <w:webHidden/>
              </w:rPr>
              <w:fldChar w:fldCharType="separate"/>
            </w:r>
            <w:r>
              <w:rPr>
                <w:rStyle w:val="Style18"/>
                <w:vanish w:val="false"/>
              </w:rPr>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18"/>
                <w:vanish w:val="false"/>
              </w:rPr>
              <w:t>4.16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Отказ от проведения закупки (отмена закупки)</w:t>
            </w:r>
            <w:r>
              <w:rPr>
                <w:webHidden/>
              </w:rPr>
              <w:fldChar w:fldCharType="begin"/>
            </w:r>
            <w:r>
              <w:rPr>
                <w:webHidden/>
              </w:rPr>
              <w:instrText xml:space="preserve">PAGEREF _Toc186224301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18"/>
                <w:vanish w:val="false"/>
              </w:rPr>
              <w:t>4.17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необходимостью обеспечения заявки</w:t>
            </w:r>
            <w:r>
              <w:rPr>
                <w:webHidden/>
              </w:rPr>
              <w:fldChar w:fldCharType="begin"/>
            </w:r>
            <w:r>
              <w:rPr>
                <w:webHidden/>
              </w:rPr>
              <w:instrText xml:space="preserve">PAGEREF _Toc186224302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18"/>
                <w:vanish w:val="false"/>
              </w:rPr>
              <w:t>4.18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многолотовой закупки</w:t>
            </w:r>
            <w:r>
              <w:rPr>
                <w:webHidden/>
              </w:rPr>
              <w:fldChar w:fldCharType="begin"/>
            </w:r>
            <w:r>
              <w:rPr>
                <w:webHidden/>
              </w:rPr>
              <w:instrText xml:space="preserve">PAGEREF _Toc186224303 \h</w:instrText>
            </w:r>
            <w:r>
              <w:rPr>
                <w:webHidden/>
              </w:rPr>
              <w:fldChar w:fldCharType="separate"/>
            </w:r>
            <w:r>
              <w:rPr>
                <w:rStyle w:val="Style18"/>
                <w:vanish w:val="false"/>
              </w:rPr>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18"/>
                <w:vanish w:val="false"/>
              </w:rPr>
              <w:t>4.19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возможностью подачи альтернативных предложений</w:t>
            </w:r>
            <w:r>
              <w:rPr>
                <w:webHidden/>
              </w:rPr>
              <w:fldChar w:fldCharType="begin"/>
            </w:r>
            <w:r>
              <w:rPr>
                <w:webHidden/>
              </w:rPr>
              <w:instrText xml:space="preserve">PAGEREF _Toc186224304 \h</w:instrText>
            </w:r>
            <w:r>
              <w:rPr>
                <w:webHidden/>
              </w:rPr>
              <w:fldChar w:fldCharType="separate"/>
            </w:r>
            <w:r>
              <w:rPr>
                <w:rStyle w:val="Style18"/>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18"/>
                <w:vanish w:val="false"/>
              </w:rPr>
              <w:t>4.20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выбором нескольких победителей</w:t>
            </w:r>
            <w:r>
              <w:rPr>
                <w:webHidden/>
              </w:rPr>
              <w:fldChar w:fldCharType="begin"/>
            </w:r>
            <w:r>
              <w:rPr>
                <w:webHidden/>
              </w:rPr>
              <w:instrText xml:space="preserve">PAGEREF _Toc186224305 \h</w:instrText>
            </w:r>
            <w:r>
              <w:rPr>
                <w:webHidden/>
              </w:rPr>
              <w:fldChar w:fldCharType="separate"/>
            </w:r>
            <w:r>
              <w:rPr>
                <w:rStyle w:val="Style18"/>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18"/>
                <w:vanish w:val="false"/>
              </w:rPr>
              <w:t>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заключения Договора</w:t>
            </w:r>
            <w:r>
              <w:rPr>
                <w:webHidden/>
              </w:rPr>
              <w:fldChar w:fldCharType="begin"/>
            </w:r>
            <w:r>
              <w:rPr>
                <w:webHidden/>
              </w:rPr>
              <w:instrText xml:space="preserve">PAGEREF _Toc186224306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18"/>
                <w:vanish w:val="false"/>
              </w:rPr>
              <w:t>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_Toc186224307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18"/>
                <w:vanish w:val="false"/>
              </w:rPr>
              <w:t>5.2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Заключение Договора</w:t>
            </w:r>
            <w:r>
              <w:rPr>
                <w:webHidden/>
              </w:rPr>
              <w:fldChar w:fldCharType="begin"/>
            </w:r>
            <w:r>
              <w:rPr>
                <w:webHidden/>
              </w:rPr>
              <w:instrText xml:space="preserve">PAGEREF _Toc186224308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18"/>
                <w:vanish w:val="false"/>
              </w:rPr>
              <w:t>5.3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Преддоговорные переговоры</w:t>
            </w:r>
            <w:r>
              <w:rPr>
                <w:webHidden/>
              </w:rPr>
              <w:fldChar w:fldCharType="begin"/>
            </w:r>
            <w:r>
              <w:rPr>
                <w:webHidden/>
              </w:rPr>
              <w:instrText xml:space="preserve">PAGEREF _Toc186224309 \h</w:instrText>
            </w:r>
            <w:r>
              <w:rPr>
                <w:webHidden/>
              </w:rPr>
              <w:fldChar w:fldCharType="separate"/>
            </w:r>
            <w:r>
              <w:rPr>
                <w:rStyle w:val="Style18"/>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18"/>
                <w:vanish w:val="false"/>
              </w:rPr>
              <w:t>5.4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Уклонение Победителя от заключения Договора</w:t>
            </w:r>
            <w:r>
              <w:rPr>
                <w:webHidden/>
              </w:rPr>
              <w:fldChar w:fldCharType="begin"/>
            </w:r>
            <w:r>
              <w:rPr>
                <w:webHidden/>
              </w:rPr>
              <w:instrText xml:space="preserve">PAGEREF _Toc186224310 \h</w:instrText>
            </w:r>
            <w:r>
              <w:rPr>
                <w:webHidden/>
              </w:rPr>
              <w:fldChar w:fldCharType="separate"/>
            </w:r>
            <w:r>
              <w:rPr>
                <w:rStyle w:val="Style18"/>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18"/>
                <w:vanish w:val="false"/>
              </w:rPr>
              <w:t>6.</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 – Технические требования</w:t>
            </w:r>
            <w:r>
              <w:rPr>
                <w:webHidden/>
              </w:rPr>
              <w:fldChar w:fldCharType="begin"/>
            </w:r>
            <w:r>
              <w:rPr>
                <w:webHidden/>
              </w:rPr>
              <w:instrText xml:space="preserve">PAGEREF _Toc186224311 \h</w:instrText>
            </w:r>
            <w:r>
              <w:rPr>
                <w:webHidden/>
              </w:rPr>
              <w:fldChar w:fldCharType="separate"/>
            </w:r>
            <w:r>
              <w:rPr>
                <w:rStyle w:val="Style18"/>
                <w:vanish w:val="false"/>
              </w:rPr>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18"/>
                <w:vanish w:val="false"/>
              </w:rPr>
              <w:t>6.1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Техническим требованиям</w:t>
            </w:r>
            <w:r>
              <w:rPr>
                <w:webHidden/>
              </w:rPr>
              <w:fldChar w:fldCharType="begin"/>
            </w:r>
            <w:r>
              <w:rPr>
                <w:webHidden/>
              </w:rPr>
              <w:instrText xml:space="preserve">PAGEREF _Toc186224312 \h</w:instrText>
            </w:r>
            <w:r>
              <w:rPr>
                <w:webHidden/>
              </w:rPr>
              <w:fldChar w:fldCharType="separate"/>
            </w:r>
            <w:r>
              <w:rPr>
                <w:rStyle w:val="Style18"/>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18"/>
                <w:vanish w:val="false"/>
              </w:rPr>
              <w:t>7.</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2 – Проект договора</w:t>
            </w:r>
            <w:r>
              <w:rPr>
                <w:webHidden/>
              </w:rPr>
              <w:fldChar w:fldCharType="begin"/>
            </w:r>
            <w:r>
              <w:rPr>
                <w:webHidden/>
              </w:rPr>
              <w:instrText xml:space="preserve">PAGEREF _Toc186224313 \h</w:instrText>
            </w:r>
            <w:r>
              <w:rPr>
                <w:webHidden/>
              </w:rPr>
              <w:fldChar w:fldCharType="separate"/>
            </w:r>
            <w:r>
              <w:rPr>
                <w:rStyle w:val="Style18"/>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18"/>
                <w:vanish w:val="false"/>
              </w:rPr>
              <w:t>7.1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Проекту договора</w:t>
            </w:r>
            <w:r>
              <w:rPr>
                <w:webHidden/>
              </w:rPr>
              <w:fldChar w:fldCharType="begin"/>
            </w:r>
            <w:r>
              <w:rPr>
                <w:webHidden/>
              </w:rPr>
              <w:instrText xml:space="preserve">PAGEREF _Toc186224314 \h</w:instrText>
            </w:r>
            <w:r>
              <w:rPr>
                <w:webHidden/>
              </w:rPr>
              <w:fldChar w:fldCharType="separate"/>
            </w:r>
            <w:r>
              <w:rPr>
                <w:rStyle w:val="Style18"/>
                <w:vanish w:val="false"/>
              </w:rPr>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18"/>
                <w:vanish w:val="false"/>
              </w:rPr>
              <w:t>8.</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3 – Требования к Участникам</w:t>
            </w:r>
            <w:r>
              <w:rPr>
                <w:webHidden/>
              </w:rPr>
              <w:fldChar w:fldCharType="begin"/>
            </w:r>
            <w:r>
              <w:rPr>
                <w:webHidden/>
              </w:rPr>
              <w:instrText xml:space="preserve">PAGEREF _Toc186224315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18"/>
                <w:vanish w:val="false"/>
              </w:rPr>
              <w:t>8.1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требованиям к Участникам</w:t>
            </w:r>
            <w:r>
              <w:rPr>
                <w:webHidden/>
              </w:rPr>
              <w:fldChar w:fldCharType="begin"/>
            </w:r>
            <w:r>
              <w:rPr>
                <w:webHidden/>
              </w:rPr>
              <w:instrText xml:space="preserve">PAGEREF _Toc186224316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18"/>
                <w:vanish w:val="false"/>
              </w:rPr>
              <w:t>8.2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Обязательные требования</w:t>
            </w:r>
            <w:r>
              <w:rPr>
                <w:webHidden/>
              </w:rPr>
              <w:fldChar w:fldCharType="begin"/>
            </w:r>
            <w:r>
              <w:rPr>
                <w:webHidden/>
              </w:rPr>
              <w:instrText xml:space="preserve">PAGEREF _Toc186224317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18"/>
                <w:vanish w:val="false"/>
              </w:rPr>
              <w:t>8.3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Специальные требования</w:t>
            </w:r>
            <w:r>
              <w:rPr>
                <w:webHidden/>
              </w:rPr>
              <w:fldChar w:fldCharType="begin"/>
            </w:r>
            <w:r>
              <w:rPr>
                <w:webHidden/>
              </w:rPr>
              <w:instrText xml:space="preserve">PAGEREF _Toc186224318 \h</w:instrText>
            </w:r>
            <w:r>
              <w:rPr>
                <w:webHidden/>
              </w:rPr>
              <w:fldChar w:fldCharType="separate"/>
            </w:r>
            <w:r>
              <w:rPr>
                <w:rStyle w:val="Style18"/>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18"/>
                <w:vanish w:val="false"/>
              </w:rPr>
              <w:t>8.4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Квалификационные требования</w:t>
            </w:r>
            <w:r>
              <w:rPr>
                <w:webHidden/>
              </w:rPr>
              <w:fldChar w:fldCharType="begin"/>
            </w:r>
            <w:r>
              <w:rPr>
                <w:webHidden/>
              </w:rPr>
              <w:instrText xml:space="preserve">PAGEREF _Toc186224319 \h</w:instrText>
            </w:r>
            <w:r>
              <w:rPr>
                <w:webHidden/>
              </w:rPr>
              <w:fldChar w:fldCharType="separate"/>
            </w:r>
            <w:r>
              <w:rPr>
                <w:rStyle w:val="Style18"/>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18"/>
                <w:vanish w:val="false"/>
              </w:rPr>
              <w:t>8.5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Коллективным участникам</w:t>
            </w:r>
            <w:r>
              <w:rPr>
                <w:webHidden/>
              </w:rPr>
              <w:fldChar w:fldCharType="begin"/>
            </w:r>
            <w:r>
              <w:rPr>
                <w:webHidden/>
              </w:rPr>
              <w:instrText xml:space="preserve">PAGEREF _Toc186224320 \h</w:instrText>
            </w:r>
            <w:r>
              <w:rPr>
                <w:webHidden/>
              </w:rPr>
              <w:fldChar w:fldCharType="separate"/>
            </w:r>
            <w:r>
              <w:rPr>
                <w:rStyle w:val="Style18"/>
                <w:vanish w:val="false"/>
              </w:rPr>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18"/>
                <w:vanish w:val="false"/>
              </w:rPr>
              <w:t>8.6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Генеральным подрядчикам</w:t>
            </w:r>
            <w:r>
              <w:rPr>
                <w:webHidden/>
              </w:rPr>
              <w:fldChar w:fldCharType="begin"/>
            </w:r>
            <w:r>
              <w:rPr>
                <w:webHidden/>
              </w:rPr>
              <w:instrText xml:space="preserve">PAGEREF _Toc186224321 \h</w:instrText>
            </w:r>
            <w:r>
              <w:rPr>
                <w:webHidden/>
              </w:rPr>
              <w:fldChar w:fldCharType="separate"/>
            </w:r>
            <w:r>
              <w:rPr>
                <w:rStyle w:val="Style18"/>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18"/>
                <w:vanish w:val="false"/>
              </w:rPr>
              <w:t>9.</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4 – Образцы форм документов, включаемых в состав заявки</w:t>
            </w:r>
            <w:r>
              <w:rPr>
                <w:webHidden/>
              </w:rPr>
              <w:fldChar w:fldCharType="begin"/>
            </w:r>
            <w:r>
              <w:rPr>
                <w:webHidden/>
              </w:rPr>
              <w:instrText xml:space="preserve">PAGEREF _Toc186224322 \h</w:instrText>
            </w:r>
            <w:r>
              <w:rPr>
                <w:webHidden/>
              </w:rPr>
              <w:fldChar w:fldCharType="separate"/>
            </w:r>
            <w:r>
              <w:rPr>
                <w:rStyle w:val="Style18"/>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18"/>
                <w:vanish w:val="false"/>
              </w:rPr>
              <w:t>9.1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включаемых в состав заявки</w:t>
            </w:r>
            <w:r>
              <w:rPr>
                <w:webHidden/>
              </w:rPr>
              <w:fldChar w:fldCharType="begin"/>
            </w:r>
            <w:r>
              <w:rPr>
                <w:webHidden/>
              </w:rPr>
              <w:instrText xml:space="preserve">PAGEREF _Toc186224323 \h</w:instrText>
            </w:r>
            <w:r>
              <w:rPr>
                <w:webHidden/>
              </w:rPr>
              <w:fldChar w:fldCharType="separate"/>
            </w:r>
            <w:r>
              <w:rPr>
                <w:rStyle w:val="Style18"/>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18"/>
                <w:vanish w:val="false"/>
              </w:rPr>
              <w:t>10.</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5 – Образцы форм документов, предоставляемых Победителем</w:t>
            </w:r>
            <w:r>
              <w:rPr>
                <w:webHidden/>
              </w:rPr>
              <w:fldChar w:fldCharType="begin"/>
            </w:r>
            <w:r>
              <w:rPr>
                <w:webHidden/>
              </w:rPr>
              <w:instrText xml:space="preserve">PAGEREF _Toc186224324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18"/>
                <w:vanish w:val="false"/>
              </w:rPr>
              <w:t>10.1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предоставляемых Победителем</w:t>
            </w:r>
            <w:r>
              <w:rPr>
                <w:webHidden/>
              </w:rPr>
              <w:fldChar w:fldCharType="begin"/>
            </w:r>
            <w:r>
              <w:rPr>
                <w:webHidden/>
              </w:rPr>
              <w:instrText xml:space="preserve">PAGEREF _Toc186224325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18"/>
                <w:vanish w:val="false"/>
              </w:rPr>
              <w:t>10.2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_Toc186224326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18"/>
                <w:vanish w:val="false"/>
              </w:rPr>
              <w:t>10.3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«Заверение об обстоятельствах»</w:t>
            </w:r>
            <w:r>
              <w:rPr>
                <w:webHidden/>
              </w:rPr>
              <w:fldChar w:fldCharType="begin"/>
            </w:r>
            <w:r>
              <w:rPr>
                <w:webHidden/>
              </w:rPr>
              <w:instrText xml:space="preserve">PAGEREF _Toc186224327 \h</w:instrText>
            </w:r>
            <w:r>
              <w:rPr>
                <w:webHidden/>
              </w:rPr>
              <w:fldChar w:fldCharType="separate"/>
            </w:r>
            <w:r>
              <w:rPr>
                <w:rStyle w:val="Style18"/>
                <w:vanish w:val="false"/>
              </w:rPr>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18"/>
                <w:vanish w:val="false"/>
              </w:rPr>
              <w:t>11.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6 – Состав заявки</w:t>
            </w:r>
            <w:r>
              <w:rPr>
                <w:webHidden/>
              </w:rPr>
              <w:fldChar w:fldCharType="begin"/>
            </w:r>
            <w:r>
              <w:rPr>
                <w:webHidden/>
              </w:rPr>
              <w:instrText xml:space="preserve">PAGEREF _Toc186224328 \h</w:instrText>
            </w:r>
            <w:r>
              <w:rPr>
                <w:webHidden/>
              </w:rPr>
              <w:fldChar w:fldCharType="separate"/>
            </w:r>
            <w:r>
              <w:rPr>
                <w:rStyle w:val="Style18"/>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18"/>
                <w:vanish w:val="false"/>
              </w:rPr>
              <w:t>11.1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Состав заявки</w:t>
            </w:r>
            <w:r>
              <w:rPr>
                <w:webHidden/>
              </w:rPr>
              <w:fldChar w:fldCharType="begin"/>
            </w:r>
            <w:r>
              <w:rPr>
                <w:webHidden/>
              </w:rPr>
              <w:instrText xml:space="preserve">PAGEREF _Toc186224329 \h</w:instrText>
            </w:r>
            <w:r>
              <w:rPr>
                <w:webHidden/>
              </w:rPr>
              <w:fldChar w:fldCharType="separate"/>
            </w:r>
            <w:r>
              <w:rPr>
                <w:rStyle w:val="Style18"/>
                <w:vanish w:val="false"/>
              </w:rPr>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18"/>
                <w:vanish w:val="false"/>
              </w:rPr>
              <w:t>12.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7 – Отборочные критерии рассмотрения заявок</w:t>
            </w:r>
            <w:r>
              <w:rPr>
                <w:webHidden/>
              </w:rPr>
              <w:fldChar w:fldCharType="begin"/>
            </w:r>
            <w:r>
              <w:rPr>
                <w:webHidden/>
              </w:rPr>
              <w:instrText xml:space="preserve">PAGEREF _Toc186224330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18"/>
                <w:vanish w:val="false"/>
              </w:rPr>
              <w:t>12.1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Отборочные критерии рассмотрения заявок</w:t>
            </w:r>
            <w:r>
              <w:rPr>
                <w:webHidden/>
              </w:rPr>
              <w:fldChar w:fldCharType="begin"/>
            </w:r>
            <w:r>
              <w:rPr>
                <w:webHidden/>
              </w:rPr>
              <w:instrText xml:space="preserve">PAGEREF _Toc186224331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18"/>
                <w:vanish w:val="false"/>
              </w:rPr>
              <w:t>12.2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_Toc186224332 \h</w:instrText>
            </w:r>
            <w:r>
              <w:rPr>
                <w:webHidden/>
              </w:rPr>
              <w:fldChar w:fldCharType="separate"/>
            </w:r>
            <w:r>
              <w:rPr>
                <w:rStyle w:val="Style18"/>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18"/>
                <w:vanish w:val="false"/>
              </w:rPr>
              <w:t>13.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8 – Порядок и критерии оценки и сопоставления заявок</w:t>
            </w:r>
            <w:r>
              <w:rPr>
                <w:webHidden/>
              </w:rPr>
              <w:fldChar w:fldCharType="begin"/>
            </w:r>
            <w:r>
              <w:rPr>
                <w:webHidden/>
              </w:rPr>
              <w:instrText xml:space="preserve">PAGEREF _Toc186224333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18"/>
                <w:vanish w:val="false"/>
              </w:rPr>
              <w:t>13.1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_Toc186224334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18"/>
                <w:vanish w:val="false"/>
              </w:rPr>
              <w:t>13.2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_Toc186224335 \h</w:instrText>
            </w:r>
            <w:r>
              <w:rPr>
                <w:webHidden/>
              </w:rPr>
              <w:fldChar w:fldCharType="separate"/>
            </w:r>
            <w:r>
              <w:rPr>
                <w:rStyle w:val="Style18"/>
                <w:vanish w:val="false"/>
              </w:rPr>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18"/>
                <w:vanish w:val="false"/>
              </w:rPr>
              <w:t>14.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9 – Обоснование НМЦ</w:t>
            </w:r>
            <w:r>
              <w:rPr>
                <w:webHidden/>
              </w:rPr>
              <w:fldChar w:fldCharType="begin"/>
            </w:r>
            <w:r>
              <w:rPr>
                <w:webHidden/>
              </w:rPr>
              <w:instrText xml:space="preserve">PAGEREF _Toc186224336 \h</w:instrText>
            </w:r>
            <w:r>
              <w:rPr>
                <w:webHidden/>
              </w:rPr>
              <w:fldChar w:fldCharType="separate"/>
            </w:r>
            <w:r>
              <w:rPr>
                <w:rStyle w:val="Style18"/>
                <w:vanish w:val="false"/>
              </w:rPr>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18"/>
                <w:vanish w:val="false"/>
              </w:rPr>
              <w:t>14.1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Обоснованию НМЦ</w:t>
            </w:r>
            <w:r>
              <w:rPr>
                <w:webHidden/>
              </w:rPr>
              <w:fldChar w:fldCharType="begin"/>
            </w:r>
            <w:r>
              <w:rPr>
                <w:webHidden/>
              </w:rPr>
              <w:instrText xml:space="preserve">PAGEREF _Toc186224337 \h</w:instrText>
            </w:r>
            <w:r>
              <w:rPr>
                <w:webHidden/>
              </w:rPr>
              <w:fldChar w:fldCharType="separate"/>
            </w:r>
            <w:r>
              <w:rPr>
                <w:rStyle w:val="Style18"/>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18"/>
                <w:vanish w:val="false"/>
              </w:rPr>
              <w:t>15.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10 – Форма Заявки на аккредитацию</w:t>
            </w:r>
            <w:r>
              <w:rPr>
                <w:webHidden/>
              </w:rPr>
              <w:fldChar w:fldCharType="begin"/>
            </w:r>
            <w:r>
              <w:rPr>
                <w:webHidden/>
              </w:rPr>
              <w:instrText xml:space="preserve">PAGEREF _Toc186224338 \h</w:instrText>
            </w:r>
            <w:r>
              <w:rPr>
                <w:webHidden/>
              </w:rPr>
              <w:fldChar w:fldCharType="separate"/>
            </w:r>
            <w:r>
              <w:rPr>
                <w:rStyle w:val="Style18"/>
                <w:vanish w:val="false"/>
              </w:rPr>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18"/>
                <w:vanish w:val="false"/>
              </w:rPr>
              <w:t>15.1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форме Заявки на аккредитацию</w:t>
            </w:r>
            <w:r>
              <w:rPr>
                <w:webHidden/>
              </w:rPr>
              <w:fldChar w:fldCharType="begin"/>
            </w:r>
            <w:r>
              <w:rPr>
                <w:webHidden/>
              </w:rPr>
              <w:instrText xml:space="preserve">PAGEREF _Toc186224339 \h</w:instrText>
            </w:r>
            <w:r>
              <w:rPr>
                <w:webHidden/>
              </w:rPr>
              <w:fldChar w:fldCharType="separate"/>
            </w:r>
            <w:r>
              <w:rPr>
                <w:rStyle w:val="Style18"/>
                <w:vanish w:val="false"/>
              </w:rPr>
              <w:tab/>
              <w:t>91</w:t>
            </w:r>
            <w:r>
              <w:rPr>
                <w:webHidden/>
              </w:rPr>
              <w:fldChar w:fldCharType="end"/>
            </w:r>
          </w:hyperlink>
          <w:r>
            <w:rPr>
              <w:rStyle w:val="Style18"/>
              <w:vanish w:val="false"/>
            </w:rPr>
            <w:fldChar w:fldCharType="end"/>
          </w:r>
        </w:p>
      </w:sdtContent>
    </w:sdt>
    <w:p>
      <w:pPr>
        <w:pStyle w:val="Style28"/>
        <w:jc w:val="both"/>
        <w:rPr/>
      </w:pPr>
      <w:r>
        <w:rPr/>
      </w:r>
    </w:p>
    <w:p>
      <w:pPr>
        <w:pStyle w:val="Style28"/>
        <w:keepNext w:val="true"/>
        <w:spacing w:before="60" w:after="0"/>
        <w:rPr>
          <w:rStyle w:val="Style16"/>
        </w:rPr>
      </w:pPr>
      <w:r>
        <w:rPr>
          <w:rStyle w:val="Style16"/>
        </w:rPr>
        <w:t xml:space="preserve">[Примечание (дополнительные удобства работы с Документацией о закупке; Microsoft Word | </w:t>
      </w:r>
      <w:r>
        <w:rPr>
          <w:rStyle w:val="Style16"/>
          <w:color w:val="4472C4" w:themeColor="accent1"/>
        </w:rPr>
        <w:t>AlterOffice AText – отмечены отличая для данного текстового редактора</w:t>
      </w:r>
      <w:r>
        <w:rPr>
          <w:rStyle w:val="Style16"/>
        </w:rPr>
        <w:t>):</w:t>
      </w:r>
    </w:p>
    <w:p>
      <w:pPr>
        <w:pStyle w:val="Style28"/>
        <w:numPr>
          <w:ilvl w:val="0"/>
          <w:numId w:val="11"/>
        </w:numPr>
        <w:spacing w:before="60" w:after="0"/>
        <w:ind w:left="284" w:hanging="284"/>
        <w:rPr>
          <w:rStyle w:val="Style16"/>
        </w:rPr>
      </w:pPr>
      <w:r>
        <w:rPr>
          <w:rStyle w:val="Style16"/>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6"/>
          <w:color w:val="4472C4" w:themeColor="accent1"/>
        </w:rPr>
        <w:t>включается на вкладке «Вид» опцией «Навигатор»</w:t>
      </w:r>
      <w:r>
        <w:rPr>
          <w:rStyle w:val="Style16"/>
        </w:rPr>
        <w:t>;</w:t>
      </w:r>
    </w:p>
    <w:p>
      <w:pPr>
        <w:pStyle w:val="Style28"/>
        <w:numPr>
          <w:ilvl w:val="0"/>
          <w:numId w:val="11"/>
        </w:numPr>
        <w:spacing w:before="60" w:after="0"/>
        <w:ind w:left="284" w:hanging="284"/>
        <w:rPr>
          <w:rStyle w:val="Style16"/>
        </w:rPr>
      </w:pPr>
      <w:r>
        <w:rPr>
          <w:rStyle w:val="Style16"/>
        </w:rPr>
        <w:t>переход по перекрестным и другим ссылкам осуществляется левым кликом мыши с</w:t>
      </w:r>
      <w:r>
        <w:rPr>
          <w:rStyle w:val="Style16"/>
          <w:lang w:val="en-US"/>
        </w:rPr>
        <w:t> </w:t>
      </w:r>
      <w:r>
        <w:rPr>
          <w:rStyle w:val="Style16"/>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6"/>
          <w:color w:val="4472C4" w:themeColor="accent1"/>
        </w:rPr>
        <w:t>(обратный переход функционально не реализован в AlterOffice AText, пользуйтесь функциональностью «Навигатор»)</w:t>
      </w:r>
      <w:r>
        <w:rPr>
          <w:rStyle w:val="Style16"/>
        </w:rPr>
        <w:t>;</w:t>
      </w:r>
    </w:p>
    <w:p>
      <w:pPr>
        <w:pStyle w:val="Style28"/>
        <w:numPr>
          <w:ilvl w:val="0"/>
          <w:numId w:val="11"/>
        </w:numPr>
        <w:spacing w:before="60" w:after="0"/>
        <w:ind w:left="284" w:hanging="284"/>
        <w:rPr>
          <w:rStyle w:val="Style16"/>
        </w:rPr>
      </w:pPr>
      <w:r>
        <w:rPr>
          <w:rStyle w:val="Style16"/>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6"/>
          <w:lang w:val="en-US"/>
        </w:rPr>
        <w:t> </w:t>
      </w:r>
      <w:r>
        <w:rPr>
          <w:rStyle w:val="Style16"/>
        </w:rPr>
        <w:t>тексте;</w:t>
      </w:r>
    </w:p>
    <w:p>
      <w:pPr>
        <w:pStyle w:val="Style28"/>
        <w:numPr>
          <w:ilvl w:val="0"/>
          <w:numId w:val="11"/>
        </w:numPr>
        <w:spacing w:before="60" w:after="0"/>
        <w:ind w:left="284" w:hanging="284"/>
        <w:rPr>
          <w:rStyle w:val="Style16"/>
        </w:rPr>
      </w:pPr>
      <w:r>
        <w:rPr>
          <w:rStyle w:val="Style16"/>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6"/>
        </w:rPr>
        <w:t>.]</w:t>
      </w:r>
    </w:p>
    <w:p>
      <w:pPr>
        <w:pStyle w:val="Style27"/>
        <w:numPr>
          <w:ilvl w:val="0"/>
          <w:numId w:val="0"/>
        </w:numPr>
        <w:ind w:left="0" w:hanging="0"/>
        <w:outlineLvl w:val="0"/>
        <w:rPr/>
      </w:pPr>
      <w:bookmarkStart w:id="0" w:name="_Toc186224270"/>
      <w:r>
        <w:rPr/>
        <w:t>Сокращения</w:t>
      </w:r>
      <w:bookmarkEnd w:id="0"/>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8"/>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1" w:name="_Toc186224271"/>
      <w:r>
        <w:rPr/>
        <w:t>Термины и определения</w:t>
      </w:r>
      <w:bookmarkEnd w:id="1"/>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28"/>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2"/>
        <w:rPr/>
      </w:pPr>
      <w:bookmarkStart w:id="2" w:name="_Toc186224272"/>
      <w:bookmarkStart w:id="3" w:name="_Ref125359988"/>
      <w:r>
        <w:rPr/>
        <w:t>Основные сведения о закупке</w:t>
      </w:r>
      <w:bookmarkEnd w:id="2"/>
      <w:bookmarkEnd w:id="3"/>
    </w:p>
    <w:p>
      <w:pPr>
        <w:pStyle w:val="Style23"/>
        <w:rPr/>
      </w:pPr>
      <w:bookmarkStart w:id="4" w:name="_Toc186224273"/>
      <w:r>
        <w:rPr/>
        <w:t>Статус настоящего раздела</w:t>
      </w:r>
      <w:bookmarkEnd w:id="4"/>
    </w:p>
    <w:p>
      <w:pPr>
        <w:pStyle w:val="Style24"/>
        <w:rPr/>
      </w:pPr>
      <w:r>
        <w:rPr/>
        <w:t>В настоящем разделе содержатся основные сведения о предмете, способе и иных ключевых условиях проводимой закупки.</w:t>
      </w:r>
    </w:p>
    <w:p>
      <w:pPr>
        <w:pStyle w:val="Style24"/>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3"/>
          </w:rPr>
          <w:t>Технических требованиях (Приложение № 1)</w:t>
        </w:r>
      </w:hyperlink>
      <w:r>
        <w:rPr>
          <w:rStyle w:val="Style13"/>
        </w:rPr>
        <w:t>,</w:t>
      </w:r>
      <w:r>
        <w:rPr/>
        <w:t xml:space="preserve"> в </w:t>
      </w:r>
      <w:hyperlink w:anchor="Прил02_ПроектДоговора">
        <w:r>
          <w:rPr>
            <w:rStyle w:val="Style13"/>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3"/>
        <w:spacing w:before="360" w:after="120"/>
        <w:rPr/>
      </w:pPr>
      <w:bookmarkStart w:id="6" w:name="_Toc186224274"/>
      <w:bookmarkStart w:id="7" w:name="_Ref127270076"/>
      <w:bookmarkStart w:id="8" w:name="_Ref125359973"/>
      <w:r>
        <w:rPr/>
        <w:t>Информация о проводимой закупке</w:t>
      </w:r>
      <w:bookmarkEnd w:id="6"/>
      <w:bookmarkEnd w:id="7"/>
      <w:bookmarkEnd w:id="8"/>
    </w:p>
    <w:tbl>
      <w:tblPr>
        <w:tblStyle w:val="af5"/>
        <w:tblW w:w="9754"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839"/>
        <w:gridCol w:w="3239"/>
        <w:gridCol w:w="5676"/>
      </w:tblGrid>
      <w:tr>
        <w:trPr>
          <w:cnfStyle w:val="100000000000" w:firstRow="1" w:lastRow="0" w:firstColumn="0" w:lastColumn="0" w:oddVBand="0" w:evenVBand="0" w:oddHBand="0" w:evenHBand="0" w:firstRowFirstColumn="0" w:firstRowLastColumn="0" w:lastRowFirstColumn="0" w:lastRowLastColumn="0"/>
        </w:trPr>
        <w:tc>
          <w:tcPr>
            <w:tcW w:w="839"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39"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67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9" w:name="_Ref125360980"/>
            <w:bookmarkStart w:id="10" w:name="_Ref125360980"/>
            <w:bookmarkEnd w:id="10"/>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1" w:name="_Ref125360996"/>
            <w:bookmarkStart w:id="12" w:name="_Ref125360996"/>
            <w:bookmarkEnd w:id="12"/>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28"/>
              <w:widowControl w:val="false"/>
              <w:suppressAutoHyphens w:val="true"/>
              <w:spacing w:before="60" w:after="60"/>
              <w:rPr>
                <w:i w:val="false"/>
                <w:i w:val="false"/>
                <w:iCs w:val="false"/>
                <w:sz w:val="26"/>
                <w:szCs w:val="26"/>
              </w:rPr>
            </w:pPr>
            <w:r>
              <w:rPr>
                <w:rFonts w:eastAsia="Calibri" w:cs=""/>
                <w:i w:val="false"/>
                <w:iCs w:val="false"/>
                <w:kern w:val="0"/>
                <w:sz w:val="26"/>
                <w:szCs w:val="26"/>
                <w:lang w:val="ru-RU" w:eastAsia="en-US" w:bidi="ar-SA"/>
              </w:rPr>
              <w:t>Лот № </w:t>
            </w:r>
            <w:r>
              <w:rPr>
                <w:rFonts w:eastAsia="Calibri" w:cs=""/>
                <w:i w:val="false"/>
                <w:iCs w:val="false"/>
                <w:kern w:val="0"/>
                <w:sz w:val="26"/>
                <w:szCs w:val="26"/>
                <w:lang w:val="en-US" w:eastAsia="en-US" w:bidi="ar-SA"/>
              </w:rPr>
              <w:t>21-ЭКСПДИТ-</w:t>
            </w:r>
            <w:r>
              <w:rPr>
                <w:rFonts w:eastAsia="Calibri" w:cs=""/>
                <w:i w:val="false"/>
                <w:iCs w:val="false"/>
                <w:kern w:val="0"/>
                <w:sz w:val="26"/>
                <w:szCs w:val="26"/>
                <w:lang w:val="ru-RU" w:eastAsia="en-US" w:bidi="ar-SA"/>
              </w:rPr>
              <w:t>2026-БурГЭС «ОКПД2 47.41.10.000 Поставка расходных материалов для ПК и оргтехники»</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3" w:name="_Ref135729276"/>
            <w:bookmarkStart w:id="14" w:name="_Ref135729276"/>
            <w:bookmarkEnd w:id="14"/>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3"/>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7124"/>
            <w:bookmarkStart w:id="16" w:name="_Ref125367124"/>
            <w:bookmarkEnd w:id="16"/>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764"/>
            <w:bookmarkStart w:id="18" w:name="_Ref125360764"/>
            <w:bookmarkEnd w:id="18"/>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Электронная (торговая) площадка: Электронная (торговая) площадка: АО «Российский аукционный дом» https://tender.lot-online.ru</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970"/>
            <w:bookmarkStart w:id="20" w:name="_Ref125360970"/>
            <w:bookmarkEnd w:id="20"/>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3"/>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88"/>
            <w:bookmarkStart w:id="22" w:name="_Ref125360988"/>
            <w:bookmarkEnd w:id="22"/>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676" w:type="dxa"/>
            <w:tcBorders/>
          </w:tcPr>
          <w:p>
            <w:pPr>
              <w:pStyle w:val="Tableheader"/>
              <w:widowControl w:val="false"/>
              <w:suppressAutoHyphens w:val="true"/>
              <w:spacing w:before="120" w:after="60"/>
              <w:jc w:val="left"/>
              <w:rPr/>
            </w:pPr>
            <w:r>
              <w:rPr>
                <w:rFonts w:eastAsia="Calibri" w:cs=""/>
                <w:b w:val="false"/>
                <w:kern w:val="0"/>
                <w:sz w:val="26"/>
                <w:szCs w:val="26"/>
                <w:lang w:val="ru-RU" w:eastAsia="en-US" w:bidi="ar-SA"/>
              </w:rPr>
              <w:t>Наименование (полное и сокращенное): Публичное акционерное общество «Федеральная гидрогенерирующая компания – РусГидро»; ПАО «РусГидро»</w:t>
            </w:r>
          </w:p>
          <w:p>
            <w:pPr>
              <w:pStyle w:val="Normal"/>
              <w:widowControl w:val="false"/>
              <w:spacing w:lineRule="atLeast" w:line="170"/>
              <w:rPr>
                <w:sz w:val="26"/>
                <w:szCs w:val="26"/>
              </w:rPr>
            </w:pPr>
            <w:r>
              <w:rPr>
                <w:rFonts w:cs="Times New Roman"/>
                <w:sz w:val="26"/>
                <w:szCs w:val="26"/>
              </w:rPr>
              <w:t xml:space="preserve">Место нахождения: </w:t>
            </w:r>
            <w:r>
              <w:rPr>
                <w:rFonts w:eastAsia="Times New Roman" w:cs="Times New Roman"/>
                <w:color w:val="auto"/>
                <w:sz w:val="26"/>
                <w:szCs w:val="26"/>
              </w:rPr>
              <w:t xml:space="preserve">660049, Россия, Красноярский край, г.о. город Красноярск, ул. Перенсона, </w:t>
            </w:r>
            <w:r>
              <w:rPr>
                <w:rFonts w:eastAsia="Times New Roman" w:cs="Times New Roman"/>
                <w:b w:val="false"/>
                <w:color w:val="auto"/>
                <w:kern w:val="0"/>
                <w:sz w:val="26"/>
                <w:szCs w:val="26"/>
                <w:lang w:val="ru-RU" w:eastAsia="en-US" w:bidi="ar-SA"/>
              </w:rPr>
              <w:t>зд. 2А, помещ. 1</w:t>
            </w:r>
          </w:p>
          <w:p>
            <w:pPr>
              <w:pStyle w:val="Tableheader"/>
              <w:widowControl w:val="false"/>
              <w:suppressAutoHyphens w:val="true"/>
              <w:spacing w:lineRule="atLeast" w:line="170" w:before="120" w:after="60"/>
              <w:jc w:val="left"/>
              <w:rPr/>
            </w:pPr>
            <w:r>
              <w:rPr>
                <w:rFonts w:eastAsia="Calibri" w:cs=""/>
                <w:b w:val="false"/>
                <w:kern w:val="0"/>
                <w:sz w:val="26"/>
                <w:szCs w:val="26"/>
                <w:lang w:val="ru-RU" w:eastAsia="en-US" w:bidi="ar-SA"/>
              </w:rPr>
              <w:t xml:space="preserve">Почтовый адрес: </w:t>
            </w:r>
            <w:r>
              <w:rPr>
                <w:rFonts w:eastAsia="Times New Roman" w:cs="Times New Roman"/>
                <w:b w:val="false"/>
                <w:color w:val="auto"/>
                <w:kern w:val="0"/>
                <w:sz w:val="26"/>
                <w:szCs w:val="26"/>
                <w:lang w:val="ru-RU" w:eastAsia="en-US" w:bidi="ar-SA"/>
              </w:rPr>
              <w:t xml:space="preserve">60049, Россия, Красноярский край, </w:t>
            </w:r>
            <w:r>
              <w:rPr>
                <w:rFonts w:eastAsia="Times New Roman" w:cs="Times New Roman"/>
                <w:b w:val="false"/>
                <w:bCs w:val="false"/>
                <w:color w:val="auto"/>
                <w:sz w:val="26"/>
                <w:szCs w:val="26"/>
              </w:rPr>
              <w:t xml:space="preserve">г.о. город Красноярск, ул. Перенсона,       </w:t>
            </w:r>
            <w:r>
              <w:rPr>
                <w:rFonts w:eastAsia="Times New Roman" w:cs="Times New Roman"/>
                <w:b w:val="false"/>
                <w:color w:val="auto"/>
                <w:kern w:val="0"/>
                <w:sz w:val="26"/>
                <w:szCs w:val="26"/>
                <w:lang w:val="ru-RU" w:eastAsia="en-US" w:bidi="ar-SA"/>
              </w:rPr>
              <w:t>зд. 2А, помещ. 1</w:t>
            </w:r>
          </w:p>
          <w:p>
            <w:pPr>
              <w:pStyle w:val="Tableheader"/>
              <w:widowControl w:val="false"/>
              <w:suppressAutoHyphens w:val="true"/>
              <w:spacing w:before="120" w:after="60"/>
              <w:jc w:val="left"/>
              <w:rPr/>
            </w:pPr>
            <w:r>
              <w:rPr>
                <w:rFonts w:eastAsia="Calibri" w:cs=""/>
                <w:b w:val="false"/>
                <w:kern w:val="0"/>
                <w:sz w:val="26"/>
                <w:szCs w:val="26"/>
                <w:lang w:val="ru-RU" w:eastAsia="en-US" w:bidi="ar-SA"/>
              </w:rPr>
              <w:t xml:space="preserve">Адрес электронной почты: </w:t>
            </w:r>
            <w:hyperlink r:id="rId3">
              <w:r>
                <w:rPr>
                  <w:rStyle w:val="Hyperlink"/>
                  <w:rFonts w:eastAsia="Calibri" w:cs=""/>
                  <w:b w:val="false"/>
                  <w:kern w:val="0"/>
                  <w:sz w:val="26"/>
                  <w:szCs w:val="26"/>
                  <w:lang w:val="ru-RU" w:eastAsia="en-US" w:bidi="ar-SA"/>
                </w:rPr>
                <w:t>OFFICE@RUSHYDRO.RU</w:t>
              </w:r>
            </w:hyperlink>
            <w:r>
              <w:rPr>
                <w:rFonts w:eastAsia="Calibri" w:cs=""/>
                <w:b w:val="false"/>
                <w:kern w:val="0"/>
                <w:sz w:val="26"/>
                <w:szCs w:val="26"/>
                <w:lang w:val="ru-RU" w:eastAsia="en-US" w:bidi="ar-SA"/>
              </w:rPr>
              <w:t xml:space="preserve"> </w:t>
            </w:r>
          </w:p>
          <w:p>
            <w:pPr>
              <w:pStyle w:val="Normal"/>
              <w:widowControl w:val="false"/>
              <w:tabs>
                <w:tab w:val="clear" w:pos="720"/>
                <w:tab w:val="left" w:pos="426" w:leader="none"/>
              </w:tabs>
              <w:suppressAutoHyphens w:val="true"/>
              <w:spacing w:before="120" w:after="120"/>
              <w:jc w:val="left"/>
              <w:rPr/>
            </w:pPr>
            <w:r>
              <w:rPr>
                <w:rStyle w:val="Style10"/>
                <w:rFonts w:eastAsia="Calibri" w:cs=""/>
                <w:b w:val="false"/>
                <w:i w:val="false"/>
                <w:iCs w:val="false"/>
                <w:color w:val="000000"/>
                <w:kern w:val="0"/>
                <w:sz w:val="26"/>
                <w:szCs w:val="26"/>
                <w:shd w:fill="FFFFFF" w:val="clear"/>
                <w:lang w:val="ru-RU" w:eastAsia="en-US" w:bidi="ar-SA"/>
              </w:rPr>
              <w:t>Контактный телефон: 8 (495) 225-32-32</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54"/>
            <w:bookmarkStart w:id="24" w:name="_Ref125360954"/>
            <w:bookmarkEnd w:id="24"/>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676" w:type="dxa"/>
            <w:tcBorders/>
          </w:tcPr>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"Бурейская ГЭС"; Филиал ПАО "РусГидро" - "Бурейская ГЭС"</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Место нахождения: 676730, Амурская область, Бурейский район, пос. Талакан</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Почтовый адрес: 676730, Амурская область, Бурейский район, пос. Талакан</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Адрес электронной почты:</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hyperlink r:id="rId4">
              <w:r>
                <w:rPr>
                  <w:rStyle w:val="Hyperlink"/>
                  <w:rFonts w:eastAsia="Calibri" w:cs=""/>
                  <w:kern w:val="0"/>
                  <w:sz w:val="26"/>
                  <w:szCs w:val="22"/>
                  <w:lang w:val="ru-RU" w:eastAsia="en-US" w:bidi="ar-SA"/>
                </w:rPr>
                <w:t>KukushkinaVB@rushydro.ru</w:t>
              </w:r>
            </w:hyperlink>
            <w:r>
              <w:rPr>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Style w:val="Style10"/>
                <w:rFonts w:eastAsia="Calibri" w:cs=""/>
                <w:b w:val="false"/>
                <w:i w:val="false"/>
                <w:iCs w:val="false"/>
                <w:color w:val="000000"/>
                <w:kern w:val="0"/>
                <w:sz w:val="26"/>
                <w:szCs w:val="22"/>
                <w:shd w:fill="FFFFFF" w:val="clear"/>
                <w:lang w:val="ru-RU" w:eastAsia="en-US" w:bidi="ar-SA"/>
              </w:rPr>
              <w:t xml:space="preserve">Контактный телефон: </w:t>
            </w:r>
            <w:r>
              <w:rPr>
                <w:rStyle w:val="Emphasis"/>
                <w:rFonts w:eastAsia="Calibri" w:cs=""/>
                <w:b w:val="false"/>
                <w:i w:val="false"/>
                <w:iCs w:val="false"/>
                <w:color w:val="000000"/>
                <w:kern w:val="0"/>
                <w:sz w:val="26"/>
                <w:szCs w:val="26"/>
                <w:shd w:fill="FFFFFF" w:val="clear"/>
                <w:lang w:val="ru-RU" w:eastAsia="en-US" w:bidi="ar-SA"/>
              </w:rPr>
              <w:t>8(41634)28333,  доп. 23-86</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1238"/>
            <w:bookmarkStart w:id="26" w:name="_Ref125361238"/>
            <w:bookmarkEnd w:id="26"/>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 Кукушкина Виктория Борисовна</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Адрес электронной почты:</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hyperlink r:id="rId5">
              <w:r>
                <w:rPr>
                  <w:rStyle w:val="Hyperlink"/>
                  <w:rFonts w:eastAsia="Calibri" w:cs=""/>
                  <w:kern w:val="0"/>
                  <w:sz w:val="26"/>
                  <w:szCs w:val="22"/>
                  <w:lang w:val="ru-RU" w:eastAsia="en-US" w:bidi="ar-SA"/>
                </w:rPr>
                <w:t>KukushkinaVB@rushydro.ru</w:t>
              </w:r>
            </w:hyperlink>
            <w:r>
              <w:rPr>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t xml:space="preserve">Контактный телефон: </w:t>
            </w:r>
            <w:r>
              <w:rPr>
                <w:rStyle w:val="Emphasis"/>
                <w:i w:val="false"/>
                <w:iCs w:val="false"/>
                <w:szCs w:val="26"/>
              </w:rPr>
              <w:t>8(41634)28333,  доп. 23-86</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2694"/>
            <w:bookmarkStart w:id="28" w:name="_Ref125362694"/>
            <w:bookmarkEnd w:id="28"/>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63"/>
            <w:bookmarkStart w:id="30" w:name="_Ref125360963"/>
            <w:bookmarkEnd w:id="30"/>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«18» июня 2026г.</w:t>
            </w:r>
          </w:p>
          <w:p>
            <w:pPr>
              <w:pStyle w:val="Style28"/>
              <w:widowControl w:val="false"/>
              <w:suppressAutoHyphens w:val="true"/>
              <w:spacing w:before="60" w:after="60"/>
              <w:rPr>
                <w:rStyle w:val="Style10"/>
              </w:rPr>
            </w:pPr>
            <w:r>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837"/>
            <w:bookmarkStart w:id="32" w:name="_Ref125362837"/>
            <w:bookmarkEnd w:id="32"/>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НМЦ составляет 4 387 293,88 руб., без учета НДС.</w:t>
            </w:r>
          </w:p>
          <w:p>
            <w:pPr>
              <w:pStyle w:val="Style28"/>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3"/>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3076"/>
            <w:bookmarkStart w:id="34" w:name="_Ref125363076"/>
            <w:bookmarkEnd w:id="34"/>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995"/>
            <w:bookmarkStart w:id="36" w:name="_Ref125362995"/>
            <w:bookmarkEnd w:id="36"/>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преимущества российской продукции и режим ограничения закупки иностранной продукции (когда национальный режим не предоставляется).</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533737"/>
            <w:bookmarkStart w:id="38" w:name="_Ref125533737"/>
            <w:bookmarkEnd w:id="38"/>
          </w:p>
        </w:tc>
        <w:tc>
          <w:tcPr>
            <w:tcW w:w="3239"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475086"/>
            <w:bookmarkStart w:id="40" w:name="_Ref125475086"/>
            <w:bookmarkEnd w:id="40"/>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360779"/>
            <w:bookmarkStart w:id="42" w:name="_Ref125360779"/>
            <w:bookmarkEnd w:id="42"/>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«18» июня 2026 г.</w:t>
            </w:r>
          </w:p>
          <w:p>
            <w:pPr>
              <w:pStyle w:val="Style28"/>
              <w:widowControl w:val="false"/>
              <w:suppressAutoHyphens w:val="true"/>
              <w:spacing w:before="60" w:after="60"/>
              <w:rPr>
                <w:rFonts w:ascii="Times New Roman" w:hAnsi="Times New Roman" w:eastAsia="Calibri" w:cs="" w:cstheme="minorBidi" w:eastAsiaTheme="minorHAnsi"/>
                <w:kern w:val="0"/>
                <w:sz w:val="26"/>
                <w:szCs w:val="22"/>
                <w:highlight w:val="none"/>
                <w:shd w:fill="auto" w:val="clear"/>
                <w:lang w:val="ru-RU" w:eastAsia="en-US" w:bidi="ar-SA"/>
              </w:rPr>
            </w:pPr>
            <w:r>
              <w:rPr>
                <w:rFonts w:eastAsia="Calibri" w:cs="" w:cstheme="minorBidi" w:eastAsiaTheme="minorHAnsi"/>
                <w:kern w:val="0"/>
                <w:sz w:val="26"/>
                <w:szCs w:val="22"/>
                <w:shd w:fill="auto" w:val="clear"/>
                <w:lang w:val="ru-RU" w:eastAsia="en-US" w:bidi="ar-SA"/>
              </w:rPr>
            </w:r>
          </w:p>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Дата и время окончания срока подачи заявок:</w:t>
            </w:r>
          </w:p>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«07» июля 2026 г. в 08 ч. 00 мин.</w:t>
            </w:r>
          </w:p>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«07» июля 2026 г. в 08 ч. 00 мин.</w:t>
            </w:r>
          </w:p>
          <w:p>
            <w:pPr>
              <w:pStyle w:val="Style28"/>
              <w:widowControl w:val="false"/>
              <w:suppressAutoHyphens w:val="true"/>
              <w:spacing w:before="60" w:after="60"/>
              <w:rPr>
                <w:rFonts w:eastAsia="Calibri" w:cs="" w:cstheme="minorBidi" w:eastAsiaTheme="minorHAnsi"/>
                <w:highlight w:val="none"/>
                <w:shd w:fill="auto" w:val="clear"/>
              </w:rPr>
            </w:pPr>
            <w:r>
              <w:rPr>
                <w:rFonts w:eastAsia="Calibri" w:cs="" w:cstheme="minorBidi" w:eastAsiaTheme="minorHAnsi"/>
                <w:kern w:val="0"/>
                <w:sz w:val="26"/>
                <w:szCs w:val="22"/>
                <w:shd w:fill="auto" w:val="clear"/>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476197"/>
            <w:bookmarkStart w:id="44" w:name="_Ref125476197"/>
            <w:bookmarkEnd w:id="44"/>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362733"/>
            <w:bookmarkStart w:id="46" w:name="_Ref125362733"/>
            <w:bookmarkEnd w:id="46"/>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«21» июля 2026 г.</w:t>
            </w:r>
          </w:p>
          <w:p>
            <w:pPr>
              <w:pStyle w:val="Style28"/>
              <w:widowControl w:val="false"/>
              <w:suppressAutoHyphens w:val="true"/>
              <w:spacing w:before="60" w:after="60"/>
              <w:rPr>
                <w:highlight w:val="none"/>
                <w:shd w:fill="auto" w:val="clear"/>
              </w:rPr>
            </w:pPr>
            <w:r>
              <w:rPr>
                <w:shd w:fill="auto" w:val="clear"/>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57"/>
            <w:bookmarkStart w:id="48" w:name="_Ref125362757"/>
            <w:bookmarkEnd w:id="48"/>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28"/>
              <w:widowControl w:val="false"/>
              <w:suppressAutoHyphens w:val="true"/>
              <w:spacing w:before="60" w:after="60"/>
              <w:rPr>
                <w:highlight w:val="none"/>
                <w:shd w:fill="auto" w:val="clear"/>
              </w:rPr>
            </w:pPr>
            <w:r>
              <w:rPr>
                <w:rFonts w:eastAsia="Calibri" w:cs=""/>
                <w:kern w:val="0"/>
                <w:sz w:val="26"/>
                <w:szCs w:val="22"/>
                <w:shd w:fill="auto" w:val="clear"/>
                <w:lang w:val="ru-RU" w:eastAsia="en-US" w:bidi="ar-SA"/>
              </w:rPr>
              <w:t>«21» июля 2026 г.</w:t>
            </w:r>
          </w:p>
          <w:p>
            <w:pPr>
              <w:pStyle w:val="Style28"/>
              <w:widowControl w:val="false"/>
              <w:suppressAutoHyphens w:val="true"/>
              <w:spacing w:before="60" w:after="60"/>
              <w:rPr>
                <w:highlight w:val="none"/>
                <w:shd w:fill="auto" w:val="clear"/>
              </w:rPr>
            </w:pPr>
            <w:r>
              <w:rPr>
                <w:shd w:fill="auto" w:val="clear"/>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1769"/>
            <w:bookmarkStart w:id="50" w:name="_Ref125361769"/>
            <w:bookmarkEnd w:id="50"/>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6606"/>
            <w:bookmarkStart w:id="52" w:name="_Ref125366606"/>
            <w:bookmarkEnd w:id="52"/>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533374"/>
            <w:bookmarkStart w:id="54" w:name="_Ref125533374"/>
            <w:bookmarkEnd w:id="54"/>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i w:val="false"/>
                <w:iCs w:val="false"/>
                <w:kern w:val="0"/>
                <w:sz w:val="26"/>
                <w:szCs w:val="22"/>
                <w:lang w:val="ru-RU" w:eastAsia="en-US" w:bidi="ar-SA"/>
              </w:rPr>
              <w:t>Системой ЭДО ПАО «РусГидро» является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6813"/>
            <w:bookmarkStart w:id="56" w:name="_Ref125366813"/>
            <w:bookmarkEnd w:id="56"/>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w:t>
            </w:r>
          </w:p>
          <w:p>
            <w:pPr>
              <w:pStyle w:val="Normal"/>
              <w:widowControl w:val="false"/>
              <w:suppressAutoHyphens w:val="true"/>
              <w:spacing w:lineRule="auto" w:line="240" w:before="60" w:after="60"/>
              <w:ind w:right="-108" w:hanging="0"/>
              <w:jc w:val="left"/>
              <w:rPr>
                <w:i w:val="false"/>
                <w:i w:val="false"/>
                <w:iCs w:val="false"/>
                <w:sz w:val="26"/>
                <w:szCs w:val="26"/>
              </w:rPr>
            </w:pPr>
            <w:r>
              <w:rPr>
                <w:i w:val="false"/>
                <w:iCs w:val="false"/>
                <w:sz w:val="26"/>
                <w:szCs w:val="26"/>
              </w:rPr>
              <w:t>Кравченко Татьяна Николаевна</w:t>
            </w:r>
          </w:p>
          <w:p>
            <w:pPr>
              <w:pStyle w:val="Tableheader"/>
              <w:widowControl w:val="false"/>
              <w:suppressAutoHyphens w:val="true"/>
              <w:spacing w:before="120" w:after="120"/>
              <w:jc w:val="left"/>
              <w:rPr>
                <w:sz w:val="26"/>
                <w:szCs w:val="26"/>
              </w:rPr>
            </w:pPr>
            <w:r>
              <w:rPr>
                <w:rFonts w:eastAsia="Calibri" w:cs=""/>
                <w:b w:val="false"/>
                <w:i w:val="false"/>
                <w:iCs w:val="false"/>
                <w:kern w:val="0"/>
                <w:sz w:val="26"/>
                <w:szCs w:val="26"/>
                <w:lang w:val="ru-RU" w:eastAsia="en-US" w:bidi="ar-SA"/>
              </w:rPr>
              <w:t>Почтовый адрес: 676730, Российская Федерация, Амурская область, Бурейский округ, пгт. Талакан</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8490"/>
            <w:bookmarkStart w:id="58" w:name="_Ref125368490"/>
            <w:bookmarkEnd w:id="58"/>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ind w:left="567" w:hanging="0"/>
              <w:rPr>
                <w:rStyle w:val="Style10"/>
                <w:rFonts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3"/>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r>
        <w:trPr/>
        <w:tc>
          <w:tcPr>
            <w:tcW w:w="9754" w:type="dxa"/>
            <w:gridSpan w:val="3"/>
            <w:tcBorders>
              <w:top w:val="nil"/>
            </w:tcBorders>
          </w:tcPr>
          <w:p>
            <w:pPr>
              <w:pStyle w:val="Normal"/>
              <w:widowControl w:val="false"/>
              <w:suppressAutoHyphens w:val="true"/>
              <w:spacing w:before="120" w:after="120"/>
              <w:jc w:val="center"/>
              <w:rPr/>
            </w:pPr>
            <w:r>
              <w:rPr>
                <w:b/>
              </w:rPr>
              <w:t>Для данной закупки процедура переторжки не предусмотрена!</w:t>
            </w:r>
          </w:p>
        </w:tc>
      </w:tr>
    </w:tbl>
    <w:p>
      <w:pPr>
        <w:pStyle w:val="Style22"/>
        <w:rPr/>
      </w:pPr>
      <w:bookmarkStart w:id="59" w:name="_Ref125360073"/>
      <w:bookmarkStart w:id="60" w:name="_Ref125360337"/>
      <w:bookmarkStart w:id="61" w:name="_Toc186224275"/>
      <w:r>
        <w:rPr/>
        <w:t>Общие положения</w:t>
      </w:r>
      <w:bookmarkEnd w:id="59"/>
      <w:bookmarkEnd w:id="60"/>
      <w:bookmarkEnd w:id="61"/>
    </w:p>
    <w:p>
      <w:pPr>
        <w:pStyle w:val="Style23"/>
        <w:rPr/>
      </w:pPr>
      <w:bookmarkStart w:id="62" w:name="_Toc186224276"/>
      <w:r>
        <w:rPr/>
        <w:t>Общие сведения о закупке</w:t>
      </w:r>
      <w:bookmarkEnd w:id="62"/>
    </w:p>
    <w:p>
      <w:pPr>
        <w:pStyle w:val="Style24"/>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3"/>
          </w:rPr>
          <w:t>Технических требованиях (Приложение № 1)</w:t>
        </w:r>
      </w:hyperlink>
      <w:r>
        <w:rPr/>
        <w:t xml:space="preserve">. </w:t>
      </w:r>
      <w:hyperlink w:anchor="Прил02_ПроектДоговора">
        <w:r>
          <w:rPr>
            <w:rStyle w:val="Style13"/>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3"/>
          </w:rPr>
          <w:t>Приложении № 2</w:t>
        </w:r>
      </w:hyperlink>
      <w:r>
        <w:rPr/>
        <w:t>.</w:t>
      </w:r>
    </w:p>
    <w:p>
      <w:pPr>
        <w:pStyle w:val="Style24"/>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3"/>
          </w:rPr>
          <w:t>№ 4</w:t>
        </w:r>
      </w:hyperlink>
      <w:r>
        <w:rPr/>
        <w:t xml:space="preserve">, </w:t>
      </w:r>
      <w:hyperlink w:anchor="Прил05_ФормыПобедителя">
        <w:r>
          <w:rPr>
            <w:rStyle w:val="Style13"/>
          </w:rPr>
          <w:t>№ 5</w:t>
        </w:r>
      </w:hyperlink>
      <w:r>
        <w:rPr/>
        <w:t>.</w:t>
      </w:r>
    </w:p>
    <w:p>
      <w:pPr>
        <w:pStyle w:val="Style23"/>
        <w:rPr/>
      </w:pPr>
      <w:bookmarkStart w:id="63" w:name="_Toc186224277"/>
      <w:r>
        <w:rPr/>
        <w:t>Правовой статус документов</w:t>
      </w:r>
      <w:bookmarkEnd w:id="63"/>
    </w:p>
    <w:p>
      <w:pPr>
        <w:pStyle w:val="Style24"/>
        <w:rPr/>
      </w:pPr>
      <w:r>
        <w:rPr/>
        <w:t>Состязательный отбор не является конкурентной процедурой в соответствии с действующим законодательством.</w:t>
      </w:r>
    </w:p>
    <w:p>
      <w:pPr>
        <w:pStyle w:val="Style24"/>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4"/>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4"/>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4"/>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4"/>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rPr/>
      </w:pPr>
      <w:r>
        <w:rPr/>
        <w:t>Иные документы Организатора и Участников не определяют права и обязанности сторон в связи с данной закупкой.</w:t>
      </w:r>
    </w:p>
    <w:p>
      <w:pPr>
        <w:pStyle w:val="Style24"/>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5" w:name="_Toc186224278"/>
      <w:bookmarkStart w:id="66" w:name="_Ref125363536"/>
      <w:r>
        <w:rPr/>
        <w:t>Обжалование</w:t>
      </w:r>
      <w:bookmarkEnd w:id="65"/>
      <w:bookmarkEnd w:id="66"/>
    </w:p>
    <w:p>
      <w:pPr>
        <w:pStyle w:val="Style24"/>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8"/>
        <w:ind w:left="1134" w:hanging="0"/>
        <w:rPr/>
      </w:pPr>
      <w:r>
        <w:rPr/>
        <w:t>Закупочная комиссия определяется в соответствии с Положением о закупке.</w:t>
      </w:r>
    </w:p>
    <w:p>
      <w:pPr>
        <w:pStyle w:val="Style23"/>
        <w:rPr/>
      </w:pPr>
      <w:bookmarkStart w:id="67" w:name="_Toc186224279"/>
      <w:bookmarkStart w:id="68" w:name="_Ref125472658"/>
      <w:r>
        <w:rPr/>
        <w:t>Особые положения при проведении закупки с использованием ЭП</w:t>
      </w:r>
      <w:bookmarkEnd w:id="67"/>
      <w:bookmarkEnd w:id="68"/>
    </w:p>
    <w:p>
      <w:pPr>
        <w:pStyle w:val="Style24"/>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4"/>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4"/>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3"/>
        <w:rPr/>
      </w:pPr>
      <w:bookmarkStart w:id="71" w:name="_Toc186224280"/>
      <w:r>
        <w:rPr/>
        <w:t>Прочие положения</w:t>
      </w:r>
      <w:bookmarkEnd w:id="71"/>
    </w:p>
    <w:p>
      <w:pPr>
        <w:pStyle w:val="Style24"/>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4"/>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73" w:name="_Ref125361210"/>
      <w:bookmarkStart w:id="74" w:name="_Toc186224281"/>
      <w:r>
        <w:rPr/>
        <w:t>Требования к Участникам</w:t>
      </w:r>
      <w:bookmarkEnd w:id="73"/>
      <w:bookmarkEnd w:id="74"/>
    </w:p>
    <w:p>
      <w:pPr>
        <w:pStyle w:val="Style23"/>
        <w:rPr/>
      </w:pPr>
      <w:bookmarkStart w:id="75" w:name="_Toc186224282"/>
      <w:bookmarkStart w:id="76" w:name="_Ref127524530"/>
      <w:r>
        <w:rPr/>
        <w:t>Общие требования к Участникам</w:t>
      </w:r>
      <w:bookmarkEnd w:id="75"/>
      <w:bookmarkEnd w:id="76"/>
    </w:p>
    <w:p>
      <w:pPr>
        <w:pStyle w:val="Style24"/>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4"/>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4"/>
        <w:rPr/>
      </w:pPr>
      <w:r>
        <w:rPr/>
        <w:t xml:space="preserve">Требования к Участникам установлены с учетом предмета договора, </w:t>
      </w:r>
      <w:hyperlink w:anchor="Прил01_ТехТребования">
        <w:r>
          <w:rPr>
            <w:rStyle w:val="Style13"/>
          </w:rPr>
          <w:t>Технических требований (Приложение № 1)</w:t>
        </w:r>
      </w:hyperlink>
      <w:r>
        <w:rPr/>
        <w:t xml:space="preserve"> и </w:t>
      </w:r>
      <w:hyperlink w:anchor="Прил02_ПроектДоговора">
        <w:r>
          <w:rPr>
            <w:rStyle w:val="Style13"/>
          </w:rPr>
          <w:t>Проекта договора (Приложение № 2)</w:t>
        </w:r>
      </w:hyperlink>
      <w:r>
        <w:rPr/>
        <w:t>.</w:t>
      </w:r>
    </w:p>
    <w:p>
      <w:pPr>
        <w:pStyle w:val="Style24"/>
        <w:keepNext w:val="true"/>
        <w:rPr/>
      </w:pPr>
      <w:r>
        <w:rPr/>
        <w:t>Установлены следующие требования к Участникам, которые приведены в </w:t>
      </w:r>
      <w:hyperlink w:anchor="Прил03_ТребованияУчастникам">
        <w:r>
          <w:rPr>
            <w:rStyle w:val="Style13"/>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5"/>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4"/>
        <w:keepNext w:val="true"/>
        <w:rPr/>
      </w:pPr>
      <w:r>
        <w:rPr/>
        <w:t>В рамках требований к Участникам могут быть установлены дополнительные требования:</w:t>
      </w:r>
    </w:p>
    <w:p>
      <w:pPr>
        <w:pStyle w:val="Style25"/>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5"/>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4"/>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3"/>
          </w:rPr>
          <w:t>Требованиях к Участникам (Приложение № 3)</w:t>
        </w:r>
      </w:hyperlink>
      <w:r>
        <w:rPr/>
        <w:t>, если иное не установлено в Документации о закупке.</w:t>
      </w:r>
    </w:p>
    <w:p>
      <w:pPr>
        <w:pStyle w:val="Style23"/>
        <w:rPr/>
      </w:pPr>
      <w:bookmarkStart w:id="78" w:name="_Ref130305355"/>
      <w:bookmarkStart w:id="79" w:name="_Ref130308062"/>
      <w:bookmarkStart w:id="80" w:name="_Ref130308111"/>
      <w:bookmarkStart w:id="81" w:name="_Ref130308203"/>
      <w:bookmarkStart w:id="82" w:name="_Ref130308255"/>
      <w:bookmarkStart w:id="83" w:name="_Toc186224283"/>
      <w:bookmarkStart w:id="84" w:name="_Ref125361969"/>
      <w:bookmarkStart w:id="85" w:name="_Ref125361976"/>
      <w:r>
        <w:rPr/>
        <w:t>Коллективные участники</w:t>
      </w:r>
      <w:bookmarkEnd w:id="78"/>
      <w:bookmarkEnd w:id="79"/>
      <w:bookmarkEnd w:id="80"/>
      <w:bookmarkEnd w:id="81"/>
      <w:bookmarkEnd w:id="82"/>
      <w:bookmarkEnd w:id="83"/>
      <w:bookmarkEnd w:id="84"/>
      <w:bookmarkEnd w:id="85"/>
    </w:p>
    <w:p>
      <w:pPr>
        <w:pStyle w:val="Style24"/>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4"/>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5"/>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5"/>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5"/>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5"/>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5"/>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5"/>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4"/>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3"/>
          </w:rPr>
          <w:t>Приложение № 4</w:t>
        </w:r>
      </w:hyperlink>
      <w:r>
        <w:rPr/>
        <w:t>) на то, что он представляет интересы Коллективного участника.</w:t>
      </w:r>
    </w:p>
    <w:p>
      <w:pPr>
        <w:pStyle w:val="Style24"/>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4"/>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4"/>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4"/>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5"/>
        <w:rPr/>
      </w:pPr>
      <w:r>
        <w:rPr/>
        <w:t>принимать участие в этой же закупке самостоятельно;</w:t>
      </w:r>
    </w:p>
    <w:p>
      <w:pPr>
        <w:pStyle w:val="Style25"/>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8"/>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4"/>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3"/>
          </w:rPr>
          <w:t>Приложение № 3</w:t>
        </w:r>
      </w:hyperlink>
      <w:r>
        <w:rPr>
          <w:rStyle w:val="Style13"/>
        </w:rPr>
        <w:t>)</w:t>
      </w:r>
      <w:r>
        <w:rPr/>
        <w:t>, а также при несоблюдении вышеуказанных норм настоящего подраздела, заявка такого Коллективного участника отклоняется.</w:t>
      </w:r>
    </w:p>
    <w:p>
      <w:pPr>
        <w:pStyle w:val="Style24"/>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4"/>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3"/>
        <w:rPr/>
      </w:pPr>
      <w:bookmarkStart w:id="91" w:name="_Toc186224284"/>
      <w:bookmarkStart w:id="92" w:name="_Ref125361702"/>
      <w:r>
        <w:rPr/>
        <w:t>Генеральные подрядчики</w:t>
      </w:r>
      <w:bookmarkEnd w:id="91"/>
      <w:bookmarkEnd w:id="92"/>
    </w:p>
    <w:p>
      <w:pPr>
        <w:pStyle w:val="Style24"/>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4"/>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keepNext w:val="true"/>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5"/>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28"/>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3"/>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95" w:name="_Ref125361211"/>
      <w:bookmarkStart w:id="96" w:name="_Ref125367098"/>
      <w:bookmarkStart w:id="97" w:name="_Ref125367974"/>
      <w:bookmarkStart w:id="98" w:name="_Ref125367107"/>
      <w:bookmarkStart w:id="99" w:name="_Toc186224285"/>
      <w:r>
        <w:rPr/>
        <w:t>Порядок проведения закупки</w:t>
      </w:r>
      <w:bookmarkEnd w:id="95"/>
      <w:bookmarkEnd w:id="96"/>
      <w:bookmarkEnd w:id="97"/>
      <w:bookmarkEnd w:id="98"/>
      <w:bookmarkEnd w:id="99"/>
    </w:p>
    <w:p>
      <w:pPr>
        <w:pStyle w:val="Style23"/>
        <w:rPr/>
      </w:pPr>
      <w:bookmarkStart w:id="100" w:name="_Toc186224286"/>
      <w:bookmarkStart w:id="101" w:name="_Ref126141932"/>
      <w:r>
        <w:rPr/>
        <w:t>Общий порядок проведения закупки</w:t>
      </w:r>
      <w:bookmarkEnd w:id="100"/>
      <w:bookmarkEnd w:id="101"/>
    </w:p>
    <w:p>
      <w:pPr>
        <w:pStyle w:val="Style24"/>
        <w:keepNext w:val="true"/>
        <w:spacing w:before="120" w:after="120"/>
        <w:rPr/>
      </w:pPr>
      <w:r>
        <w:rPr/>
        <w:t>Закупка проводится в следующем порядке:</w:t>
      </w:r>
    </w:p>
    <w:tbl>
      <w:tblPr>
        <w:tblStyle w:val="af5"/>
        <w:tblW w:w="14003"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428"/>
        <w:gridCol w:w="2221"/>
        <w:gridCol w:w="1112"/>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1"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102" w:name="_Toc186224287"/>
      <w:bookmarkStart w:id="103" w:name="_Ref130286532"/>
      <w:r>
        <w:rPr/>
        <w:t>Официальное размещение Извещения и Документации о закупке</w:t>
      </w:r>
      <w:bookmarkEnd w:id="102"/>
      <w:bookmarkEnd w:id="103"/>
    </w:p>
    <w:p>
      <w:pPr>
        <w:pStyle w:val="Style24"/>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4"/>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4"/>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4"/>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105" w:name="_Toc186224288"/>
      <w:bookmarkStart w:id="106" w:name="_Ref130394681"/>
      <w:bookmarkStart w:id="107" w:name="_Ref130281199"/>
      <w:r>
        <w:rPr/>
        <w:t>Подготовка заявки</w:t>
      </w:r>
      <w:bookmarkEnd w:id="105"/>
      <w:bookmarkEnd w:id="106"/>
      <w:bookmarkEnd w:id="107"/>
    </w:p>
    <w:p>
      <w:pPr>
        <w:pStyle w:val="Style24"/>
        <w:rPr/>
      </w:pPr>
      <w:r>
        <w:rPr/>
        <w:t>Участник должен подготовить заявку с учетом требований Документации о закупке.</w:t>
      </w:r>
    </w:p>
    <w:p>
      <w:pPr>
        <w:pStyle w:val="Style24"/>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3"/>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3"/>
          </w:rPr>
          <w:t>Приложение № 4</w:t>
        </w:r>
      </w:hyperlink>
      <w:r>
        <w:rPr/>
        <w:t>.</w:t>
      </w:r>
    </w:p>
    <w:p>
      <w:pPr>
        <w:pStyle w:val="Style24"/>
        <w:rPr/>
      </w:pPr>
      <w:bookmarkStart w:id="108" w:name="_Ref125365866"/>
      <w:bookmarkStart w:id="109"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4"/>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3"/>
          </w:rPr>
          <w:t>Приложение № 4</w:t>
        </w:r>
      </w:hyperlink>
      <w:r>
        <w:rPr/>
        <w:t>) может служить основанием для отклонения заявки.</w:t>
      </w:r>
    </w:p>
    <w:p>
      <w:pPr>
        <w:pStyle w:val="Style24"/>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rPr/>
      </w:pPr>
      <w:bookmarkStart w:id="110" w:name="_Ref125370708"/>
      <w:bookmarkStart w:id="111"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3"/>
          </w:rPr>
          <w:t>Техническими требованиями (Приложение № 1)</w:t>
        </w:r>
      </w:hyperlink>
      <w:r>
        <w:rPr/>
        <w:t xml:space="preserve"> и </w:t>
      </w:r>
      <w:hyperlink w:anchor="Прил02_ПроектДоговора">
        <w:r>
          <w:rPr>
            <w:rStyle w:val="Style13"/>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0"/>
      <w:bookmarkEnd w:id="111"/>
    </w:p>
    <w:p>
      <w:pPr>
        <w:pStyle w:val="Style31"/>
        <w:keepNext w:val="true"/>
        <w:rPr/>
      </w:pPr>
      <w:r>
        <w:rPr/>
        <w:t>[Альтернатива</w:t>
      </w:r>
      <w:r>
        <w:rPr>
          <w:lang w:val="en-US"/>
        </w:rPr>
        <w:t> </w:t>
      </w:r>
      <w:r>
        <w:rPr/>
        <w:t>1 (в случае закупки простой, стандартной, серийно выпускаемой продукции с указанием конкретной торговой марки (в случаях, установленных в Законе 223-ФЗ), а также в случае закупки работ / услуг по исчерпывающим неизменным исходным требованиям Заказчика):]</w:t>
      </w:r>
    </w:p>
    <w:p>
      <w:pPr>
        <w:pStyle w:val="Style24"/>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3"/>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31"/>
        <w:rPr/>
      </w:pPr>
      <w:r>
        <w:rPr/>
        <w:t>[Альтернатива</w:t>
      </w:r>
      <w:r>
        <w:rPr>
          <w:lang w:val="en-US"/>
        </w:rPr>
        <w:t> </w:t>
      </w:r>
      <w:r>
        <w:rPr/>
        <w:t>2 (в случае закупки сложной продукции, требующей указания со стороны Участника конкретных технических, функциональных, эксплуатационных характеристик такой продукции и (или) предусматривающей возможность поставки эквивалентной продукции, а также в случае закупки работ / услуг, требующих в соответствии с разработанными техническими требованиями со стороны Участника описания своего подробного предложения в отношении технологии выполнения таких работ, объема оказания услуг и т.п.):]</w:t>
      </w:r>
    </w:p>
    <w:p>
      <w:pPr>
        <w:pStyle w:val="Style24"/>
        <w:rPr/>
      </w:pPr>
      <w:bookmarkStart w:id="112"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3"/>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w:t>
      </w:r>
      <w:bookmarkEnd w:id="112"/>
    </w:p>
    <w:p>
      <w:pPr>
        <w:pStyle w:val="Style24"/>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3"/>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4"/>
        <w:rPr/>
      </w:pPr>
      <w:r>
        <w:rPr/>
        <w:t xml:space="preserve">Если в </w:t>
      </w:r>
      <w:hyperlink w:anchor="Прил01_ТехТребования">
        <w:r>
          <w:rPr>
            <w:rStyle w:val="Style13"/>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3"/>
          </w:rPr>
          <w:t>Технических требованиях (Приложение № 1)</w:t>
        </w:r>
      </w:hyperlink>
      <w:r>
        <w:rPr/>
        <w:t>.</w:t>
      </w:r>
    </w:p>
    <w:p>
      <w:pPr>
        <w:pStyle w:val="Style24"/>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3"/>
          </w:rPr>
          <w:t>Техническими требованиями (Приложение № 1)</w:t>
        </w:r>
      </w:hyperlink>
      <w:r>
        <w:rPr/>
        <w:t>.</w:t>
      </w:r>
      <w:bookmarkEnd w:id="113"/>
    </w:p>
    <w:p>
      <w:pPr>
        <w:pStyle w:val="Style24"/>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4.3.11</w:t>
      </w:r>
      <w:r>
        <w:rPr/>
        <w:fldChar w:fldCharType="end"/>
      </w:r>
      <w:r>
        <w:rPr/>
        <w:t xml:space="preserve"> – </w:t>
      </w:r>
      <w:r>
        <w:rPr/>
        <w:fldChar w:fldCharType="begin"/>
      </w:r>
      <w:r>
        <w:rPr/>
        <w:instrText xml:space="preserve"> REF _Ref130379876 \r \h </w:instrText>
      </w:r>
      <w:r>
        <w:rPr/>
        <w:fldChar w:fldCharType="separate"/>
      </w:r>
      <w:r>
        <w:rPr/>
        <w:t>4.3.14</w:t>
      </w:r>
      <w:r>
        <w:rPr/>
        <w:fldChar w:fldCharType="end"/>
      </w:r>
      <w:r>
        <w:rPr/>
        <w:t>) Организатор вправе отклонить заявку такого Участника от дальнейшего участия в закупке.</w:t>
      </w:r>
      <w:bookmarkEnd w:id="114"/>
    </w:p>
    <w:p>
      <w:pPr>
        <w:pStyle w:val="Style31"/>
        <w:rPr>
          <w:lang w:val="en-US"/>
        </w:rPr>
      </w:pPr>
      <w:r>
        <w:rPr>
          <w:lang w:val="en-US"/>
        </w:rPr>
        <w:t>[</w:t>
      </w:r>
      <w:r>
        <w:rPr/>
        <w:t>Окончание выбора альтернатив</w:t>
      </w:r>
      <w:r>
        <w:rPr>
          <w:lang w:val="en-US"/>
        </w:rPr>
        <w:t>]</w:t>
      </w:r>
    </w:p>
    <w:p>
      <w:pPr>
        <w:pStyle w:val="Style24"/>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15" w:name="_Ref125714384"/>
      <w:bookmarkStart w:id="116" w:name="_Ref125370398"/>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4"/>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17" w:name="_Ref125366672"/>
      <w:bookmarkStart w:id="118" w:name="_Ref125362071"/>
      <w:bookmarkStart w:id="119" w:name="_Ref125361260"/>
      <w:bookmarkStart w:id="120" w:name="_Toc186224289"/>
      <w:bookmarkStart w:id="121" w:name="_Ref130394802"/>
      <w:bookmarkStart w:id="122" w:name="_Ref130394785"/>
      <w:bookmarkStart w:id="123" w:name="_Ref130394205"/>
      <w:r>
        <w:rPr/>
        <w:t>Разъяснение Документации о закупке</w:t>
      </w:r>
      <w:bookmarkEnd w:id="117"/>
      <w:bookmarkEnd w:id="118"/>
      <w:bookmarkEnd w:id="119"/>
      <w:bookmarkEnd w:id="120"/>
      <w:bookmarkEnd w:id="121"/>
      <w:bookmarkEnd w:id="122"/>
      <w:bookmarkEnd w:id="123"/>
    </w:p>
    <w:p>
      <w:pPr>
        <w:pStyle w:val="Style24"/>
        <w:rPr/>
      </w:pPr>
      <w:r>
        <w:rPr/>
        <w:t>Участники вправе обратиться к Организатору за разъяснениями Документации о закупке.</w:t>
      </w:r>
    </w:p>
    <w:p>
      <w:pPr>
        <w:pStyle w:val="Style24"/>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3"/>
          </w:rPr>
          <w:t>Проекта договора (Приложения № 2)</w:t>
        </w:r>
      </w:hyperlink>
      <w:r>
        <w:rPr>
          <w:rStyle w:val="Style13"/>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24" w:name="_Ref125363891"/>
      <w:bookmarkStart w:id="125" w:name="_Toc186224290"/>
      <w:bookmarkStart w:id="126" w:name="_Ref125364404"/>
      <w:bookmarkStart w:id="127" w:name="_Ref125362076"/>
      <w:r>
        <w:rPr/>
        <w:t>Изменения Извещения и (или) Документации о закупке</w:t>
      </w:r>
      <w:bookmarkEnd w:id="124"/>
      <w:bookmarkEnd w:id="125"/>
      <w:bookmarkEnd w:id="126"/>
      <w:bookmarkEnd w:id="127"/>
    </w:p>
    <w:p>
      <w:pPr>
        <w:pStyle w:val="Style24"/>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4"/>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4"/>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30" w:name="_Toc186224291"/>
      <w:bookmarkStart w:id="131" w:name="_Ref125362119"/>
      <w:r>
        <w:rPr/>
        <w:t>Подача заявок и их прием</w:t>
      </w:r>
      <w:bookmarkEnd w:id="130"/>
      <w:bookmarkEnd w:id="131"/>
    </w:p>
    <w:p>
      <w:pPr>
        <w:pStyle w:val="Style24"/>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4"/>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rPr/>
      </w:pPr>
      <w:r>
        <w:rPr/>
        <w:t>Заявка должна быть подписана электронной подписью лица, которое является уполномоченным представителем Участника.</w:t>
      </w:r>
    </w:p>
    <w:p>
      <w:pPr>
        <w:pStyle w:val="Style24"/>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32" w:name="_Toc186224292"/>
      <w:bookmarkStart w:id="133" w:name="_Ref125365136"/>
      <w:bookmarkStart w:id="134" w:name="_Ref125363819"/>
      <w:bookmarkStart w:id="135" w:name="_Ref125362192"/>
      <w:bookmarkStart w:id="136" w:name="_Ref125362130"/>
      <w:r>
        <w:rPr/>
        <w:t>Изменение и отзыв заявок</w:t>
      </w:r>
      <w:bookmarkEnd w:id="132"/>
      <w:bookmarkEnd w:id="133"/>
      <w:bookmarkEnd w:id="134"/>
      <w:bookmarkEnd w:id="135"/>
      <w:bookmarkEnd w:id="136"/>
    </w:p>
    <w:p>
      <w:pPr>
        <w:pStyle w:val="Style24"/>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37" w:name="_Ref130221619"/>
      <w:bookmarkStart w:id="138" w:name="_Ref125364340"/>
      <w:bookmarkStart w:id="139" w:name="_Toc186224293"/>
      <w:bookmarkEnd w:id="138"/>
      <w:r>
        <w:rPr/>
        <w:t>Открытие доступа к заявкам</w:t>
      </w:r>
      <w:bookmarkEnd w:id="137"/>
      <w:bookmarkEnd w:id="139"/>
    </w:p>
    <w:p>
      <w:pPr>
        <w:pStyle w:val="Style24"/>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Оператор ЭП предоставляет Организатору доступ одновременно ко всем поданным заявкам в полном объеме.</w:t>
      </w:r>
    </w:p>
    <w:p>
      <w:pPr>
        <w:pStyle w:val="Style24"/>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rPr/>
      </w:pPr>
      <w:r>
        <w:rPr/>
        <w:t>стоимости заявок (или иное указание на общую стоимость заявки);</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4"/>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4"/>
        <w:rPr/>
      </w:pPr>
      <w:r>
        <w:rPr/>
        <w:t>Порядок получения Участниками информации о поступивших заявках через ЭП определяется Регламентом ЭП.</w:t>
      </w:r>
    </w:p>
    <w:p>
      <w:pPr>
        <w:pStyle w:val="Style23"/>
        <w:rPr/>
      </w:pPr>
      <w:bookmarkStart w:id="140" w:name="_Toc186224294"/>
      <w:bookmarkStart w:id="141" w:name="_Ref135749133"/>
      <w:bookmarkStart w:id="142" w:name="_Ref125366689"/>
      <w:bookmarkStart w:id="143" w:name="_Ref125362364"/>
      <w:bookmarkStart w:id="144" w:name="_Ref125364340_Копия_1"/>
      <w:bookmarkEnd w:id="144"/>
      <w:r>
        <w:rPr/>
        <w:t>Рассмотрение заявок (отборочная стадия)</w:t>
      </w:r>
      <w:bookmarkEnd w:id="142"/>
      <w:bookmarkEnd w:id="143"/>
      <w:r>
        <w:rPr/>
        <w:t>, в том числе (при необходимости) проведение аккредитации</w:t>
      </w:r>
      <w:bookmarkEnd w:id="140"/>
      <w:bookmarkEnd w:id="141"/>
    </w:p>
    <w:p>
      <w:pPr>
        <w:pStyle w:val="Style24"/>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3"/>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rPr/>
      </w:pPr>
      <w:r>
        <w:rPr/>
        <w:t>При выявлении в рамках рассмотрения заявок наличия арифметических ошибок, в том числе:</w:t>
      </w:r>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rPr/>
      </w:pPr>
      <w:bookmarkStart w:id="145"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5"/>
    </w:p>
    <w:p>
      <w:pPr>
        <w:pStyle w:val="Style25"/>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заявки, в том числе по тексту внутри одного документа;</w:t>
      </w:r>
    </w:p>
    <w:p>
      <w:pPr>
        <w:pStyle w:val="Style26"/>
        <w:rPr/>
      </w:pPr>
      <w:r>
        <w:rPr/>
        <w:t>противоречий между документами заявки и сведениями, указанными Участником в структурированных формах на ЭП;</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5"/>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5"/>
        <w:rPr/>
      </w:pPr>
      <w:r>
        <w:rPr/>
        <w:t>несоответствие размера, формы, условий и порядка предоставления обеспечения заявки.</w:t>
      </w:r>
    </w:p>
    <w:p>
      <w:pPr>
        <w:pStyle w:val="Style24"/>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4"/>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keepNext w:val="true"/>
        <w:rPr/>
      </w:pPr>
      <w:r>
        <w:rPr/>
        <w:t>результаты рассмотрения заявок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5"/>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6"/>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6"/>
        <w:rPr/>
      </w:pPr>
      <w:r>
        <w:rPr/>
        <w:t>порядкового номера каждой допущенной заявки в предварительной ранжировке заявок, включая стоимость заявки (цену Договора);</w:t>
      </w:r>
    </w:p>
    <w:p>
      <w:pPr>
        <w:pStyle w:val="Style25"/>
        <w:rPr/>
      </w:pPr>
      <w:bookmarkStart w:id="146" w:name="_Ref125551524"/>
      <w:r>
        <w:rPr/>
        <w:t>решение о проведении или непроведении переторжки,</w:t>
      </w:r>
      <w:bookmarkEnd w:id="146"/>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4"/>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4"/>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3"/>
        <w:rPr/>
      </w:pPr>
      <w:bookmarkStart w:id="147" w:name="_Ref125362381"/>
      <w:bookmarkStart w:id="148" w:name="_Ref125362425"/>
      <w:bookmarkStart w:id="149" w:name="_Ref125362464"/>
      <w:bookmarkStart w:id="150" w:name="_Toc186224295"/>
      <w:bookmarkStart w:id="151" w:name="_Ref125362610"/>
      <w:r>
        <w:rPr/>
        <w:t>Дополнительные запросы разъяснений заявок</w:t>
      </w:r>
      <w:bookmarkEnd w:id="147"/>
      <w:bookmarkEnd w:id="148"/>
      <w:bookmarkEnd w:id="149"/>
      <w:bookmarkEnd w:id="150"/>
      <w:bookmarkEnd w:id="151"/>
    </w:p>
    <w:p>
      <w:pPr>
        <w:pStyle w:val="Style24"/>
        <w:rPr/>
      </w:pPr>
      <w:bookmarkStart w:id="152"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2"/>
    </w:p>
    <w:p>
      <w:pPr>
        <w:pStyle w:val="Style25"/>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r>
        <w:rPr/>
        <w:t>наличия соответствующих полномочий на подписание заявки от имени Участника у лица, подписавшего заявку;</w:t>
      </w:r>
    </w:p>
    <w:p>
      <w:pPr>
        <w:pStyle w:val="Style26"/>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5"/>
        <w:rPr/>
      </w:pPr>
      <w:bookmarkStart w:id="153"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5"/>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3"/>
    </w:p>
    <w:p>
      <w:pPr>
        <w:pStyle w:val="Style24"/>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4"/>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4"/>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3"/>
        <w:rPr/>
      </w:pPr>
      <w:bookmarkStart w:id="154" w:name="_Toc186224296"/>
      <w:bookmarkStart w:id="155" w:name="_Ref127536359"/>
      <w:bookmarkStart w:id="156" w:name="_Ref125362537"/>
      <w:bookmarkStart w:id="157" w:name="_Ref125362430"/>
      <w:r>
        <w:rPr/>
        <w:t>Переторжка</w:t>
      </w:r>
      <w:bookmarkEnd w:id="154"/>
      <w:bookmarkEnd w:id="155"/>
      <w:bookmarkEnd w:id="156"/>
      <w:bookmarkEnd w:id="157"/>
    </w:p>
    <w:p>
      <w:pPr>
        <w:pStyle w:val="Style24"/>
        <w:rPr/>
      </w:pPr>
      <w:r>
        <w:rPr/>
        <w:t>Нормы настоящего подраздела применяются в случае проведения процедуры переторжки.</w:t>
      </w:r>
    </w:p>
    <w:p>
      <w:pPr>
        <w:pStyle w:val="Style24"/>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4"/>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5"/>
        <w:rPr/>
      </w:pPr>
      <w:r>
        <w:rPr/>
        <w:t>стоимость заявки (цена Договора) / цена за единицу продукции;</w:t>
      </w:r>
    </w:p>
    <w:p>
      <w:pPr>
        <w:pStyle w:val="Style25"/>
        <w:rPr/>
      </w:pPr>
      <w:r>
        <w:rPr/>
        <w:t>сроки поставки продукции;</w:t>
      </w:r>
    </w:p>
    <w:p>
      <w:pPr>
        <w:pStyle w:val="Style25"/>
        <w:rPr/>
      </w:pPr>
      <w:r>
        <w:rPr/>
        <w:t>условия оплаты;</w:t>
      </w:r>
    </w:p>
    <w:p>
      <w:pPr>
        <w:pStyle w:val="Style25"/>
        <w:rPr/>
      </w:pPr>
      <w:r>
        <w:rPr/>
        <w:t>иные условия, которые являются критериями оценки заявок.</w:t>
      </w:r>
    </w:p>
    <w:p>
      <w:pPr>
        <w:pStyle w:val="Style28"/>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4"/>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4"/>
        <w:rPr/>
      </w:pPr>
      <w:r>
        <w:rPr/>
        <w:t>В переторжке может принять участие любой Участник, заявка которого не была отклонена по результатам рассмотрения заявок.</w:t>
      </w:r>
    </w:p>
    <w:p>
      <w:pPr>
        <w:pStyle w:val="Style24"/>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3"/>
          </w:rPr>
          <w:t>Приложение № 4</w:t>
        </w:r>
      </w:hyperlink>
      <w:r>
        <w:rPr/>
        <w:t>).</w:t>
      </w:r>
    </w:p>
    <w:p>
      <w:pPr>
        <w:pStyle w:val="Style24"/>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4"/>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4"/>
        <w:rPr/>
      </w:pPr>
      <w:r>
        <w:rPr/>
        <w:t>Участник не вправе изменять и (или) отзывать поданные предложения на переторжку после окончания ее проведения.</w:t>
      </w:r>
    </w:p>
    <w:p>
      <w:pPr>
        <w:pStyle w:val="Style24"/>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4"/>
        <w:rPr/>
      </w:pPr>
      <w:r>
        <w:rPr/>
        <w:t>Процедура переторжки проводится на ЭП в порядке, предусмотренном настоящим подразделом и Регламентом ЭП.</w:t>
      </w:r>
    </w:p>
    <w:p>
      <w:pPr>
        <w:pStyle w:val="Style24"/>
        <w:keepNext w:val="true"/>
        <w:rPr/>
      </w:pPr>
      <w:r>
        <w:rPr/>
        <w:t>В зависимости от правил, предусмотренных Регламентом ЭП, переторжка может проводиться:</w:t>
      </w:r>
    </w:p>
    <w:p>
      <w:pPr>
        <w:pStyle w:val="Style25"/>
        <w:rPr/>
      </w:pPr>
      <w:r>
        <w:rPr/>
        <w:t>в заочной форме путем однократной подачи предложения на переторжку к установленному сроку;</w:t>
      </w:r>
    </w:p>
    <w:p>
      <w:pPr>
        <w:pStyle w:val="Style25"/>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4"/>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4"/>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4"/>
        <w:rPr/>
      </w:pPr>
      <w:bookmarkStart w:id="158"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8"/>
    </w:p>
    <w:p>
      <w:pPr>
        <w:pStyle w:val="Style24"/>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4"/>
        <w:keepNext w:val="true"/>
        <w:rPr/>
      </w:pPr>
      <w:bookmarkStart w:id="159" w:name="_Ref136244167"/>
      <w:r>
        <w:rPr/>
        <w:t>Документы заявки, подлежащие корректировке по результатам переторжки:</w:t>
      </w:r>
      <w:bookmarkEnd w:id="159"/>
    </w:p>
    <w:p>
      <w:pPr>
        <w:pStyle w:val="Style25"/>
        <w:rPr/>
      </w:pPr>
      <w:r>
        <w:rPr/>
        <w:t>Письмо о подаче оферты (форма 2) (</w:t>
      </w:r>
      <w:hyperlink w:anchor="Прил04_ФормыЗаявки">
        <w:r>
          <w:rPr>
            <w:rStyle w:val="Style13"/>
          </w:rPr>
          <w:t>Приложение № 4</w:t>
        </w:r>
      </w:hyperlink>
      <w:r>
        <w:rPr/>
        <w:t>);</w:t>
      </w:r>
    </w:p>
    <w:p>
      <w:pPr>
        <w:pStyle w:val="Style25"/>
        <w:rPr/>
      </w:pPr>
      <w:r>
        <w:rPr/>
        <w:t>Коммерческое предложение (форма 3) (</w:t>
      </w:r>
      <w:hyperlink w:anchor="Прил04_ФормыЗаявки">
        <w:r>
          <w:rPr>
            <w:rStyle w:val="Style13"/>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3"/>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5"/>
        <w:rPr/>
      </w:pPr>
      <w:r>
        <w:rPr/>
        <w:t>План распределения объемов поставки продукции (форма 11) (</w:t>
      </w:r>
      <w:hyperlink w:anchor="Прил04_ФормыЗаявки">
        <w:r>
          <w:rPr>
            <w:rStyle w:val="Style13"/>
          </w:rPr>
          <w:t>Приложение № 4</w:t>
        </w:r>
      </w:hyperlink>
      <w:r>
        <w:rPr/>
        <w:t>) – только если заявка подана Коллективным участником или Генеральным подрядчиком;</w:t>
      </w:r>
    </w:p>
    <w:p>
      <w:pPr>
        <w:pStyle w:val="Style25"/>
        <w:rPr/>
      </w:pPr>
      <w:bookmarkStart w:id="160" w:name="_Ref130376111"/>
      <w:r>
        <w:rPr/>
        <w:t>иной документ, указанный в протоколе закупки (которым назначена переторжка), связанный с предметом проводимой переторжки.</w:t>
      </w:r>
      <w:bookmarkEnd w:id="160"/>
    </w:p>
    <w:p>
      <w:pPr>
        <w:pStyle w:val="Style24"/>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4"/>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4"/>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3"/>
        <w:rPr/>
      </w:pPr>
      <w:bookmarkStart w:id="161" w:name="_Ref125365519"/>
      <w:bookmarkStart w:id="162" w:name="_Ref125366534"/>
      <w:bookmarkStart w:id="163" w:name="_Ref125369041"/>
      <w:bookmarkStart w:id="164" w:name="_Ref125369308"/>
      <w:bookmarkStart w:id="165" w:name="_Toc186224297"/>
      <w:bookmarkStart w:id="166" w:name="_Ref125362626"/>
      <w:bookmarkStart w:id="167" w:name="_Ref125365335"/>
      <w:r>
        <w:rPr/>
        <w:t>Оценка и сопоставление заявок</w:t>
      </w:r>
      <w:bookmarkEnd w:id="161"/>
      <w:bookmarkEnd w:id="162"/>
      <w:bookmarkEnd w:id="163"/>
      <w:bookmarkEnd w:id="164"/>
      <w:bookmarkEnd w:id="165"/>
      <w:bookmarkEnd w:id="166"/>
      <w:bookmarkEnd w:id="167"/>
    </w:p>
    <w:p>
      <w:pPr>
        <w:pStyle w:val="Style24"/>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3"/>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 xml:space="preserve">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5"/>
        <w:rPr/>
      </w:pPr>
      <w:r>
        <w:rPr/>
        <w:t>в соответствии с единственным ценовым критерием оценки (критерием выбора Победителя) – стоимость заявки (цена Договора);</w:t>
      </w:r>
    </w:p>
    <w:p>
      <w:pPr>
        <w:pStyle w:val="Style25"/>
        <w:rPr/>
      </w:pPr>
      <w:r>
        <w:rPr/>
        <w:t>в едином базисе без учета НДС;</w:t>
      </w:r>
    </w:p>
    <w:p>
      <w:pPr>
        <w:pStyle w:val="Style25"/>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4"/>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4"/>
        <w:rPr/>
      </w:pPr>
      <w:r>
        <w:rPr/>
        <w:t>Результаты оценки и сопоставления заявок вносятся в итоговый протокол по результатам закупки.</w:t>
      </w:r>
    </w:p>
    <w:p>
      <w:pPr>
        <w:pStyle w:val="Style23"/>
        <w:rPr/>
      </w:pPr>
      <w:bookmarkStart w:id="168" w:name="_Ref186128193"/>
      <w:bookmarkStart w:id="169" w:name="_Ref130985951"/>
      <w:bookmarkStart w:id="170" w:name="_Ref132894106"/>
      <w:bookmarkStart w:id="171" w:name="_Ref132894111"/>
      <w:bookmarkStart w:id="172" w:name="_Toc186224298"/>
      <w:bookmarkStart w:id="173" w:name="_Ref125366064"/>
      <w:bookmarkStart w:id="174" w:name="_Ref125369991"/>
      <w:bookmarkStart w:id="175" w:name="_Ref125370507"/>
      <w:bookmarkStart w:id="176" w:name="_Ref130458671"/>
      <w:r>
        <w:rPr/>
        <w:t>Применение законодательства о национальном режиме</w:t>
      </w:r>
      <w:bookmarkEnd w:id="168"/>
      <w:bookmarkEnd w:id="169"/>
      <w:bookmarkEnd w:id="170"/>
      <w:bookmarkEnd w:id="171"/>
      <w:bookmarkEnd w:id="172"/>
      <w:bookmarkEnd w:id="173"/>
      <w:bookmarkEnd w:id="174"/>
      <w:bookmarkEnd w:id="175"/>
      <w:bookmarkEnd w:id="176"/>
    </w:p>
    <w:p>
      <w:pPr>
        <w:pStyle w:val="Style24"/>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4"/>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3"/>
          </w:rPr>
          <w:t>Технических требованиях (Приложение № 1)</w:t>
        </w:r>
      </w:hyperlink>
      <w:r>
        <w:rPr/>
        <w:t>.</w:t>
      </w:r>
    </w:p>
    <w:p>
      <w:pPr>
        <w:pStyle w:val="Style23"/>
        <w:rPr/>
      </w:pPr>
      <w:bookmarkStart w:id="177" w:name="_Toc186224299"/>
      <w:bookmarkStart w:id="178" w:name="_Ref125367242"/>
      <w:bookmarkStart w:id="179" w:name="_Ref125366091"/>
      <w:bookmarkStart w:id="180" w:name="_Ref125362658"/>
      <w:r>
        <w:rPr/>
        <w:t>Подведение итогов закупки (определение Победителя)</w:t>
      </w:r>
      <w:bookmarkEnd w:id="177"/>
      <w:bookmarkEnd w:id="178"/>
      <w:bookmarkEnd w:id="179"/>
      <w:bookmarkEnd w:id="180"/>
    </w:p>
    <w:p>
      <w:pPr>
        <w:pStyle w:val="Style24"/>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3"/>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4"/>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rPr/>
      </w:pPr>
      <w:bookmarkStart w:id="181"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1"/>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допущенных по результатам рассмотрения заявок, присваиваемые Оператором ЭП;</w:t>
      </w:r>
    </w:p>
    <w:p>
      <w:pPr>
        <w:pStyle w:val="Style25"/>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5"/>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3"/>
        <w:rPr/>
      </w:pPr>
      <w:bookmarkStart w:id="182" w:name="_Ref125364187"/>
      <w:bookmarkStart w:id="183" w:name="_Ref125364149"/>
      <w:bookmarkStart w:id="184" w:name="_Ref125365305"/>
      <w:bookmarkStart w:id="185" w:name="_Ref125366631"/>
      <w:bookmarkStart w:id="186" w:name="_Ref125366796"/>
      <w:bookmarkStart w:id="187" w:name="_Toc186224300"/>
      <w:bookmarkStart w:id="188" w:name="_Ref125365570"/>
      <w:r>
        <w:rPr/>
        <w:t>Признание закупки несостоявшейся</w:t>
      </w:r>
      <w:bookmarkEnd w:id="182"/>
      <w:bookmarkEnd w:id="183"/>
      <w:bookmarkEnd w:id="184"/>
      <w:bookmarkEnd w:id="185"/>
      <w:bookmarkEnd w:id="186"/>
      <w:bookmarkEnd w:id="187"/>
      <w:bookmarkEnd w:id="188"/>
    </w:p>
    <w:p>
      <w:pPr>
        <w:pStyle w:val="Style24"/>
        <w:keepNext w:val="true"/>
        <w:rPr/>
      </w:pPr>
      <w:r>
        <w:rPr/>
        <w:t>Закупка признается несостоявшейся в следующих случаях:</w:t>
      </w:r>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5"/>
        <w:rPr/>
      </w:pPr>
      <w:r>
        <w:rPr/>
        <w:t>принять решение о проведении повторной закупки;</w:t>
      </w:r>
    </w:p>
    <w:p>
      <w:pPr>
        <w:pStyle w:val="Style25"/>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5"/>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3"/>
        <w:rPr/>
      </w:pPr>
      <w:bookmarkStart w:id="189" w:name="_Toc186224301"/>
      <w:bookmarkStart w:id="190" w:name="_Ref126141962"/>
      <w:r>
        <w:rPr/>
        <w:t>Отказ от проведения закупки</w:t>
      </w:r>
      <w:bookmarkEnd w:id="190"/>
      <w:r>
        <w:rPr/>
        <w:t xml:space="preserve"> (отмена закупки)</w:t>
      </w:r>
      <w:bookmarkEnd w:id="189"/>
    </w:p>
    <w:p>
      <w:pPr>
        <w:pStyle w:val="Style24"/>
        <w:rPr/>
      </w:pPr>
      <w:r>
        <w:rP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pPr>
        <w:pStyle w:val="Style24"/>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3"/>
        <w:rPr/>
      </w:pPr>
      <w:bookmarkStart w:id="191" w:name="_Toc186224302"/>
      <w:bookmarkStart w:id="192" w:name="_Ref130455226"/>
      <w:r>
        <w:rPr/>
        <w:t>Особенности проведения закупки с необходимостью обеспечения заявки</w:t>
      </w:r>
      <w:bookmarkEnd w:id="191"/>
      <w:bookmarkEnd w:id="192"/>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4"/>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5"/>
        <w:rPr/>
      </w:pPr>
      <w:r>
        <w:rPr/>
        <w:t>банковская гарантия должна быть безотзывной и безусловной (гарантия по первому требованию);</w:t>
      </w:r>
    </w:p>
    <w:p>
      <w:pPr>
        <w:pStyle w:val="Style25"/>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5"/>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5"/>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5"/>
        <w:rPr/>
      </w:pPr>
      <w:r>
        <w:rPr/>
        <w:t>платеж по банковской гарантии должен быть осуществлен в течение 10 (десяти) рабочих дней после обращения бенефициара;</w:t>
      </w:r>
    </w:p>
    <w:p>
      <w:pPr>
        <w:pStyle w:val="Style25"/>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5"/>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5"/>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4"/>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4"/>
        <w:rPr/>
      </w:pPr>
      <w:r>
        <w:rPr/>
        <w:t>Подать заявку (принять участие в закупке) могут только Участники, предоставившие надлежащее обеспечение их заявок.</w:t>
      </w:r>
    </w:p>
    <w:p>
      <w:pPr>
        <w:pStyle w:val="Style24"/>
        <w:rPr/>
      </w:pPr>
      <w:r>
        <w:rPr/>
        <w:t>Требование об обеспечении заявки в равной мере распространяется на всех Участников.</w:t>
      </w:r>
    </w:p>
    <w:p>
      <w:pPr>
        <w:pStyle w:val="Style24"/>
        <w:keepNext w:val="true"/>
        <w:rPr/>
      </w:pPr>
      <w:bookmarkStart w:id="19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3"/>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3"/>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3"/>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3"/>
          </w:rPr>
          <w:t>Проектом договора</w:t>
        </w:r>
      </w:hyperlink>
      <w:r>
        <w:rPr/>
        <w:t>).</w:t>
      </w:r>
    </w:p>
    <w:p>
      <w:pPr>
        <w:pStyle w:val="Style24"/>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4"/>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протокола рассмотрения заявок (при условии его оформления) – Участникам, чьи заявки были отклонены;</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3"/>
        <w:rPr/>
      </w:pPr>
      <w:bookmarkStart w:id="194" w:name="_Ref130225422"/>
      <w:bookmarkStart w:id="195" w:name="_Toc186224303"/>
      <w:bookmarkStart w:id="196" w:name="_Ref149317414"/>
      <w:r>
        <w:rPr/>
        <w:t>Особенности проведения многолотовой закупки</w:t>
      </w:r>
      <w:bookmarkEnd w:id="194"/>
      <w:bookmarkEnd w:id="195"/>
      <w:bookmarkEnd w:id="196"/>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4"/>
        <w:keepNext w:val="true"/>
        <w:rPr/>
      </w:pPr>
      <w:r>
        <w:rPr/>
        <w:t>В случае подачи заявки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3"/>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5"/>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3"/>
          </w:rPr>
          <w:t>Приложение № 4</w:t>
        </w:r>
      </w:hyperlink>
      <w:r>
        <w:rPr/>
        <w:t>, должны быть подготовлены отдельно по каждому из лотов с указанием номера и названия лота.</w:t>
      </w:r>
    </w:p>
    <w:p>
      <w:pPr>
        <w:pStyle w:val="Style24"/>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3"/>
        <w:rPr/>
      </w:pPr>
      <w:bookmarkStart w:id="197" w:name="_Toc186224304"/>
      <w:bookmarkStart w:id="198" w:name="_Ref125550863"/>
      <w:r>
        <w:rPr/>
        <w:t>Особенности проведения закупки с возможностью подачи альтернативных предложений</w:t>
      </w:r>
      <w:bookmarkEnd w:id="197"/>
      <w:bookmarkEnd w:id="198"/>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4"/>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4"/>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3"/>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4"/>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4"/>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31"/>
        <w:keepNext w:val="true"/>
        <w:rPr/>
      </w:pPr>
      <w:r>
        <w:rPr/>
        <w:t>[Дополнение (в случае проведения закупки с выбором нескольких победителей):]</w:t>
      </w:r>
    </w:p>
    <w:p>
      <w:pPr>
        <w:pStyle w:val="Style23"/>
        <w:rPr/>
      </w:pPr>
      <w:bookmarkStart w:id="199" w:name="_Toc186224305"/>
      <w:bookmarkStart w:id="200" w:name="_Ref125366312"/>
      <w:r>
        <w:rPr/>
        <w:t>Особенности проведения закупки с выбором нескольких победителей</w:t>
      </w:r>
      <w:bookmarkEnd w:id="199"/>
      <w:bookmarkEnd w:id="200"/>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Количество победителей, которое намерен определить Организатор по итогам проведения закупки в рамках одного лота, указано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keepNext w:val="true"/>
        <w:rPr/>
      </w:pPr>
      <w:r>
        <w:rPr/>
        <w:t>В случае намерения Организатора выбрать нескольких Победителей, может быть предусмотрен один из следующих механизмов:</w:t>
      </w:r>
    </w:p>
    <w:p>
      <w:pPr>
        <w:pStyle w:val="Style25"/>
        <w:rPr/>
      </w:pPr>
      <w:bookmarkStart w:id="201" w:name="_Ref125367291"/>
      <w:r>
        <w:rPr/>
        <w:t>выбор нескольких Победителей с целью распределения по частям общего объема потребности Заказчика между Победителями – в этом случае Участник вправе подать заявку как на весь объем лота, так и на его часть;</w:t>
      </w:r>
      <w:bookmarkEnd w:id="201"/>
    </w:p>
    <w:p>
      <w:pPr>
        <w:pStyle w:val="Style25"/>
        <w:rPr/>
      </w:pPr>
      <w:bookmarkStart w:id="202" w:name="_Ref125367298"/>
      <w:r>
        <w:rPr/>
        <w:t>выбор нескольких Победителей с целью заключения договоров на</w:t>
      </w:r>
      <w:r>
        <w:rPr>
          <w:lang w:val="en-US"/>
        </w:rPr>
        <w:t> </w:t>
      </w:r>
      <w:r>
        <w:rPr/>
        <w:t>одинаковый объем потребности с каждым из Победителей в целях последующего распределения фактического объема поставок продукции в ходе исполнения обязательств по заключенным договорам – в этом случае у Заказчика отсутствует обязанность произвести полную выборку продукции, указанную в договоре, заключаемом с каждым Победителем.</w:t>
      </w:r>
      <w:bookmarkEnd w:id="202"/>
    </w:p>
    <w:p>
      <w:pPr>
        <w:pStyle w:val="Style24"/>
        <w:rPr/>
      </w:pPr>
      <w:r>
        <w:rPr/>
        <w:t>Конкретный механизм выбора нескольких Победителей и правила распределения объемов продукции среди них установлены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 xml:space="preserve">Заказчик вправе в одностороннем порядке расторгнуть заключенный договор с любым Победителем в случае ненадлежащего исполнения последним принятых на себя обязательств в соответствии с условиями </w:t>
      </w:r>
      <w:hyperlink w:anchor="Прил02_ПроектДоговора">
        <w:r>
          <w:rPr>
            <w:rStyle w:val="Style13"/>
          </w:rPr>
          <w:t>Проекта договора (Приложение № 2)</w:t>
        </w:r>
      </w:hyperlink>
      <w:r>
        <w:rPr/>
        <w:t>.</w:t>
      </w:r>
    </w:p>
    <w:p>
      <w:pPr>
        <w:pStyle w:val="Style24"/>
        <w:rPr/>
      </w:pPr>
      <w:r>
        <w:rPr/>
        <w:t>Порядок определения нескольких Победителей, установленный в подразделе </w:t>
      </w:r>
      <w:r>
        <w:rPr/>
        <w:fldChar w:fldCharType="begin"/>
      </w:r>
      <w:r>
        <w:rPr/>
        <w:instrText xml:space="preserve"> REF _Ref125359973 \r \h </w:instrText>
      </w:r>
      <w:r>
        <w:rPr/>
        <w:fldChar w:fldCharType="separate"/>
      </w:r>
      <w:r>
        <w:rPr/>
        <w:t>1.2</w:t>
      </w:r>
      <w:r>
        <w:rPr/>
        <w:fldChar w:fldCharType="end"/>
      </w:r>
      <w:r>
        <w:rPr/>
        <w:t>, является приоритетным по отношении к общему порядку определения Победителя, предусмотренному в подразделе </w:t>
      </w:r>
      <w:r>
        <w:rPr/>
        <w:fldChar w:fldCharType="begin"/>
      </w:r>
      <w:r>
        <w:rPr/>
        <w:instrText xml:space="preserve"> REF _Ref125367242 \w \h </w:instrText>
      </w:r>
      <w:r>
        <w:rPr/>
        <w:fldChar w:fldCharType="separate"/>
      </w:r>
      <w:r>
        <w:rPr/>
        <w:t>4.14</w:t>
      </w:r>
      <w:r>
        <w:rPr/>
        <w:fldChar w:fldCharType="end"/>
      </w:r>
      <w:r>
        <w:rPr/>
        <w:t>.</w:t>
      </w:r>
    </w:p>
    <w:p>
      <w:pPr>
        <w:pStyle w:val="Style31"/>
        <w:rPr/>
      </w:pPr>
      <w:r>
        <w:rPr/>
        <w:t>[Окончание дополнения]</w:t>
      </w:r>
    </w:p>
    <w:p>
      <w:pPr>
        <w:pStyle w:val="Style22"/>
        <w:rPr/>
      </w:pPr>
      <w:bookmarkStart w:id="203" w:name="_Ref130224037"/>
      <w:bookmarkStart w:id="204" w:name="_Toc186224306"/>
      <w:bookmarkStart w:id="205" w:name="_Ref125361212"/>
      <w:bookmarkStart w:id="206" w:name="_Ref125362671"/>
      <w:bookmarkStart w:id="207" w:name="_Ref125367087"/>
      <w:bookmarkStart w:id="208" w:name="_Ref125363439"/>
      <w:bookmarkStart w:id="209" w:name="_Ref125366769"/>
      <w:bookmarkStart w:id="210" w:name="_Ref125367083"/>
      <w:bookmarkStart w:id="211" w:name="_Ref126142429"/>
      <w:r>
        <w:rPr/>
        <w:t>Порядок заключения Договора</w:t>
      </w:r>
      <w:bookmarkEnd w:id="203"/>
      <w:bookmarkEnd w:id="204"/>
      <w:bookmarkEnd w:id="205"/>
      <w:bookmarkEnd w:id="206"/>
      <w:bookmarkEnd w:id="207"/>
      <w:bookmarkEnd w:id="208"/>
      <w:bookmarkEnd w:id="209"/>
      <w:bookmarkEnd w:id="210"/>
      <w:bookmarkEnd w:id="211"/>
    </w:p>
    <w:p>
      <w:pPr>
        <w:pStyle w:val="Style23"/>
        <w:rPr/>
      </w:pPr>
      <w:bookmarkStart w:id="212" w:name="_Toc186224307"/>
      <w:bookmarkStart w:id="213" w:name="_Ref139028625"/>
      <w:r>
        <w:rPr/>
        <w:t>Общие положения</w:t>
      </w:r>
      <w:bookmarkEnd w:id="212"/>
      <w:bookmarkEnd w:id="213"/>
    </w:p>
    <w:p>
      <w:pPr>
        <w:pStyle w:val="Style24"/>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4"/>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4"/>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3"/>
          </w:rPr>
          <w:t>Приложение № 4</w:t>
        </w:r>
      </w:hyperlink>
      <w:r>
        <w:rPr/>
        <w:t>), и размещения соответствующей информации на ЭП.</w:t>
      </w:r>
    </w:p>
    <w:p>
      <w:pPr>
        <w:pStyle w:val="Style23"/>
        <w:rPr/>
      </w:pPr>
      <w:bookmarkStart w:id="214" w:name="_Ref138232981"/>
      <w:bookmarkStart w:id="215" w:name="_Toc186224308"/>
      <w:bookmarkStart w:id="216" w:name="_Ref125366947"/>
      <w:bookmarkStart w:id="217" w:name="_Ref125368755"/>
      <w:bookmarkStart w:id="218" w:name="_Ref135736094"/>
      <w:r>
        <w:rPr/>
        <w:t>Заключение Договора</w:t>
      </w:r>
      <w:bookmarkEnd w:id="214"/>
      <w:bookmarkEnd w:id="215"/>
      <w:bookmarkEnd w:id="216"/>
      <w:bookmarkEnd w:id="217"/>
      <w:bookmarkEnd w:id="218"/>
    </w:p>
    <w:p>
      <w:pPr>
        <w:pStyle w:val="Style24"/>
        <w:rPr/>
      </w:pPr>
      <w:bookmarkStart w:id="219" w:name="_Ref130293821"/>
      <w:bookmarkStart w:id="220"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9"/>
      <w:bookmarkEnd w:id="220"/>
    </w:p>
    <w:p>
      <w:pPr>
        <w:pStyle w:val="Style24"/>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4"/>
        <w:rPr/>
      </w:pPr>
      <w:bookmarkStart w:id="221"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3"/>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21"/>
    </w:p>
    <w:p>
      <w:pPr>
        <w:pStyle w:val="Style24"/>
        <w:keepNext w:val="true"/>
        <w:rPr/>
      </w:pPr>
      <w:bookmarkStart w:id="222"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22"/>
    </w:p>
    <w:p>
      <w:pPr>
        <w:pStyle w:val="Style25"/>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bookmarkStart w:id="223"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23"/>
      <w:r>
        <w:rPr/>
        <w:t>.</w:t>
      </w:r>
    </w:p>
    <w:p>
      <w:pPr>
        <w:pStyle w:val="Style24"/>
        <w:keepNext w:val="true"/>
        <w:rPr/>
      </w:pPr>
      <w:bookmarkStart w:id="224"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3"/>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24"/>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25"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5"/>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5"/>
        <w:rPr/>
      </w:pPr>
      <w:bookmarkStart w:id="226"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6"/>
    </w:p>
    <w:p>
      <w:pPr>
        <w:pStyle w:val="Style24"/>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rPr/>
      </w:pPr>
      <w:bookmarkStart w:id="227"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7"/>
    </w:p>
    <w:p>
      <w:pPr>
        <w:pStyle w:val="Style25"/>
        <w:rPr/>
      </w:pPr>
      <w:r>
        <w:rPr/>
        <w:t>протокол преддоговорных переговоров между Заказчиком и Победителем (при проведении таковых);</w:t>
      </w:r>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rPr/>
      </w:pPr>
      <w:bookmarkStart w:id="228"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8"/>
    </w:p>
    <w:p>
      <w:pPr>
        <w:pStyle w:val="Style24"/>
        <w:keepNext w:val="true"/>
        <w:rPr/>
      </w:pPr>
      <w:r>
        <w:rPr/>
        <w:t>Если Договор заключается в электронной форме:</w:t>
      </w:r>
    </w:p>
    <w:p>
      <w:pPr>
        <w:pStyle w:val="Style25"/>
        <w:rPr/>
      </w:pPr>
      <w:bookmarkStart w:id="229"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9"/>
      <w:r>
        <w:rPr/>
        <w:t>;</w:t>
      </w:r>
    </w:p>
    <w:p>
      <w:pPr>
        <w:pStyle w:val="Style25"/>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4"/>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30" w:name="_Toc186224309"/>
      <w:bookmarkStart w:id="231" w:name="_Ref125552570"/>
      <w:r>
        <w:rPr/>
        <w:t>Преддоговорные переговоры</w:t>
      </w:r>
      <w:bookmarkEnd w:id="230"/>
      <w:bookmarkEnd w:id="231"/>
    </w:p>
    <w:p>
      <w:pPr>
        <w:pStyle w:val="Style24"/>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5"/>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5"/>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5"/>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5"/>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5"/>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4"/>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4"/>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4"/>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4"/>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3"/>
        <w:rPr/>
      </w:pPr>
      <w:bookmarkStart w:id="232" w:name="_Toc186224310"/>
      <w:bookmarkStart w:id="233" w:name="_Ref125367068"/>
      <w:r>
        <w:rPr/>
        <w:t>Уклонение Победителя от заключения Договора</w:t>
      </w:r>
      <w:bookmarkEnd w:id="232"/>
      <w:bookmarkEnd w:id="233"/>
    </w:p>
    <w:p>
      <w:pPr>
        <w:pStyle w:val="Style24"/>
        <w:keepNext w:val="true"/>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3"/>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3"/>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34" w:name="_Ref125363034"/>
      <w:bookmarkStart w:id="235" w:name="_Ref125363600"/>
      <w:bookmarkStart w:id="236" w:name="_Ref125363752"/>
      <w:bookmarkStart w:id="237" w:name="_Ref125364088"/>
      <w:bookmarkStart w:id="238" w:name="_Ref125364201"/>
      <w:bookmarkStart w:id="239" w:name="_Ref125363016"/>
      <w:bookmarkStart w:id="240" w:name="_Ref125363023"/>
      <w:bookmarkStart w:id="241" w:name="_Ref125370732"/>
      <w:bookmarkStart w:id="242" w:name="_Ref125370741"/>
      <w:bookmarkStart w:id="243" w:name="_Ref125370746"/>
      <w:bookmarkStart w:id="244" w:name="_Ref125370750"/>
      <w:bookmarkStart w:id="245" w:name="_Ref125370843"/>
      <w:bookmarkStart w:id="246" w:name="Прил01_ТехТребования"/>
      <w:bookmarkStart w:id="247" w:name="_Toc186224311"/>
      <w:r>
        <w:rPr/>
        <w:t>Приложение № 1 – Технические требования</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Style w:val="Style23"/>
        <w:rPr/>
      </w:pPr>
      <w:bookmarkStart w:id="248" w:name="_Toc186224312"/>
      <w:r>
        <w:rPr/>
        <w:t>Пояснения к Техническим требованиям</w:t>
      </w:r>
      <w:bookmarkEnd w:id="248"/>
    </w:p>
    <w:p>
      <w:pPr>
        <w:pStyle w:val="Style24"/>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49" w:name="_Ref125363605"/>
      <w:bookmarkStart w:id="250" w:name="_Ref125363759"/>
      <w:bookmarkStart w:id="251" w:name="_Ref125364081"/>
      <w:bookmarkStart w:id="252" w:name="_Toc186224313"/>
      <w:bookmarkStart w:id="253" w:name="_Ref125370754"/>
      <w:bookmarkStart w:id="254" w:name="_Ref125364206"/>
      <w:bookmarkStart w:id="255" w:name="_Ref125363040"/>
      <w:bookmarkStart w:id="256" w:name="Прил02_ПроектДоговора"/>
      <w:bookmarkStart w:id="257" w:name="_Ref125361746"/>
      <w:r>
        <w:rPr/>
        <w:t>Приложение № 2 – Проект договора</w:t>
      </w:r>
      <w:bookmarkEnd w:id="249"/>
      <w:bookmarkEnd w:id="250"/>
      <w:bookmarkEnd w:id="251"/>
      <w:bookmarkEnd w:id="252"/>
      <w:bookmarkEnd w:id="253"/>
      <w:bookmarkEnd w:id="254"/>
      <w:bookmarkEnd w:id="255"/>
      <w:bookmarkEnd w:id="256"/>
      <w:bookmarkEnd w:id="257"/>
    </w:p>
    <w:p>
      <w:pPr>
        <w:pStyle w:val="Style23"/>
        <w:rPr/>
      </w:pPr>
      <w:bookmarkStart w:id="258" w:name="_Toc186224314"/>
      <w:r>
        <w:rPr/>
        <w:t>Пояснения к Проекту договора</w:t>
      </w:r>
      <w:bookmarkEnd w:id="258"/>
    </w:p>
    <w:p>
      <w:pPr>
        <w:pStyle w:val="Style24"/>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9" w:name="_Hlk132883778"/>
      <w:r>
        <w:rPr/>
        <w:t>как «Некритичные пункты Проекта договора»</w:t>
      </w:r>
      <w:bookmarkEnd w:id="259"/>
      <w:r>
        <w:rPr/>
        <w:t>.</w:t>
      </w:r>
    </w:p>
    <w:p>
      <w:pPr>
        <w:pStyle w:val="Style24"/>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60" w:name="_MON_1736255517"/>
      <w:bookmarkEnd w:id="260"/>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75pt;height:50.25pt;mso-wrap-distance-right:0pt" filled="f" o:ole="">
            <v:imagedata r:id="rId13" o:title=""/>
          </v:shape>
          <o:OLEObject Type="Embed" ProgID="Word.Document.12" ShapeID="ole_rId12" DrawAspect="Icon" ObjectID="_1417994386" r:id="rId12"/>
        </w:object>
      </w:r>
    </w:p>
    <w:p>
      <w:pPr>
        <w:pStyle w:val="Style22"/>
        <w:rPr/>
      </w:pPr>
      <w:bookmarkStart w:id="261" w:name="_Ref125361908"/>
      <w:bookmarkStart w:id="262" w:name="_Ref125361494"/>
      <w:bookmarkStart w:id="263" w:name="_Ref125365476"/>
      <w:bookmarkStart w:id="264" w:name="_Ref125370013"/>
      <w:bookmarkStart w:id="265" w:name="Прил03_ТребованияУчастникам"/>
      <w:bookmarkStart w:id="266" w:name="_Toc186224315"/>
      <w:r>
        <w:rPr/>
        <w:t>Приложение № 3 – Требования к Участникам</w:t>
      </w:r>
      <w:bookmarkEnd w:id="261"/>
      <w:bookmarkEnd w:id="262"/>
      <w:bookmarkEnd w:id="263"/>
      <w:bookmarkEnd w:id="264"/>
      <w:bookmarkEnd w:id="265"/>
      <w:bookmarkEnd w:id="266"/>
    </w:p>
    <w:p>
      <w:pPr>
        <w:pStyle w:val="Style23"/>
        <w:rPr/>
      </w:pPr>
      <w:bookmarkStart w:id="267" w:name="_Toc186224316"/>
      <w:r>
        <w:rPr/>
        <w:t>Пояснения к требованиям к Участникам</w:t>
      </w:r>
      <w:bookmarkEnd w:id="267"/>
    </w:p>
    <w:p>
      <w:pPr>
        <w:pStyle w:val="Style24"/>
        <w:rPr/>
      </w:pPr>
      <w:bookmarkStart w:id="268"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8"/>
    </w:p>
    <w:p>
      <w:pPr>
        <w:pStyle w:val="Style23"/>
        <w:spacing w:before="360" w:after="120"/>
        <w:rPr/>
      </w:pPr>
      <w:bookmarkStart w:id="269" w:name="_Ref125361590"/>
      <w:bookmarkStart w:id="270" w:name="_Ref125361617"/>
      <w:bookmarkStart w:id="271" w:name="_Ref125361832"/>
      <w:bookmarkStart w:id="272" w:name="_Ref125361846"/>
      <w:bookmarkStart w:id="273" w:name="_Ref125361926"/>
      <w:bookmarkStart w:id="274" w:name="_Ref125361435"/>
      <w:bookmarkStart w:id="275" w:name="_Ref125366879"/>
      <w:bookmarkStart w:id="276" w:name="_Ref125370071"/>
      <w:bookmarkStart w:id="277" w:name="_Toc186224317"/>
      <w:bookmarkStart w:id="278" w:name="_Ref125368812"/>
      <w:bookmarkStart w:id="279" w:name="_Ref125368895"/>
      <w:bookmarkStart w:id="280" w:name="_Ref125369088"/>
      <w:bookmarkStart w:id="281" w:name="_Ref125370058"/>
      <w:bookmarkStart w:id="282" w:name="_Ref125370064"/>
      <w:r>
        <w:rPr/>
        <w:t>Обязательные требования</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3" w:name="_Ref125552433"/>
            <w:bookmarkStart w:id="284" w:name="_Ref125552433"/>
            <w:bookmarkEnd w:id="28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5" w:name="_Ref139028406"/>
            <w:bookmarkStart w:id="286" w:name="_Ref139028406"/>
            <w:bookmarkEnd w:id="286"/>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7" w:name="_Ref186128496"/>
            <w:bookmarkStart w:id="288" w:name="_Ref186128496"/>
            <w:bookmarkEnd w:id="28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9" w:name="_Ref186128503"/>
            <w:bookmarkStart w:id="290" w:name="_Ref186128503"/>
            <w:bookmarkEnd w:id="29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3"/>
        <w:spacing w:before="360" w:after="120"/>
        <w:rPr/>
      </w:pPr>
      <w:bookmarkStart w:id="291" w:name="_Ref125361442"/>
      <w:bookmarkStart w:id="292" w:name="_Ref125361633"/>
      <w:bookmarkStart w:id="293" w:name="_Ref125361671"/>
      <w:bookmarkStart w:id="294" w:name="_Ref125361869"/>
      <w:bookmarkStart w:id="295" w:name="_Ref125361937"/>
      <w:bookmarkStart w:id="296" w:name="_Ref125365459"/>
      <w:bookmarkStart w:id="297" w:name="_Ref125367521"/>
      <w:bookmarkStart w:id="298" w:name="_Ref125367539"/>
      <w:bookmarkStart w:id="299" w:name="_Ref125368818"/>
      <w:bookmarkStart w:id="300" w:name="_Ref125368916"/>
      <w:bookmarkStart w:id="301" w:name="_Ref125368901"/>
      <w:bookmarkStart w:id="302" w:name="_Toc186224318"/>
      <w:bookmarkStart w:id="303" w:name="_Ref125709888"/>
      <w:bookmarkStart w:id="304" w:name="_Ref125709250"/>
      <w:bookmarkStart w:id="305" w:name="_Ref125709401"/>
      <w:bookmarkStart w:id="306" w:name="_Ref125709153"/>
      <w:bookmarkStart w:id="307" w:name="_Ref125369099"/>
      <w:bookmarkStart w:id="308" w:name="_Ref125370079"/>
      <w:r>
        <w:rPr/>
        <w:t>Специальные требования</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pStyle w:val="Style23"/>
        <w:spacing w:before="360" w:after="120"/>
        <w:rPr/>
      </w:pPr>
      <w:bookmarkStart w:id="309" w:name="_Ref125709154"/>
      <w:bookmarkStart w:id="310" w:name="_Ref125709256"/>
      <w:bookmarkStart w:id="311" w:name="_Ref125709541"/>
      <w:bookmarkStart w:id="312" w:name="_Ref125709895"/>
      <w:bookmarkStart w:id="313" w:name="_Toc186224319"/>
      <w:bookmarkStart w:id="314" w:name="_Ref125550270"/>
      <w:bookmarkStart w:id="315" w:name="_Ref125550353"/>
      <w:bookmarkStart w:id="316" w:name="_Ref125553242"/>
      <w:bookmarkStart w:id="317" w:name="_Ref125553296"/>
      <w:bookmarkStart w:id="318" w:name="_Ref125553475"/>
      <w:bookmarkStart w:id="319" w:name="_Ref125553681"/>
      <w:r>
        <w:rPr/>
        <w:t>Квалификационные требования</w:t>
      </w:r>
      <w:bookmarkEnd w:id="309"/>
      <w:bookmarkEnd w:id="310"/>
      <w:bookmarkEnd w:id="311"/>
      <w:bookmarkEnd w:id="312"/>
      <w:bookmarkEnd w:id="313"/>
      <w:bookmarkEnd w:id="314"/>
      <w:bookmarkEnd w:id="315"/>
      <w:bookmarkEnd w:id="316"/>
      <w:bookmarkEnd w:id="317"/>
      <w:bookmarkEnd w:id="318"/>
      <w:bookmarkEnd w:id="319"/>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10"/>
              </w:numPr>
              <w:suppressAutoHyphens w:val="true"/>
              <w:spacing w:before="60" w:after="60"/>
              <w:ind w:left="284" w:hanging="0"/>
              <w:jc w:val="center"/>
              <w:rPr/>
            </w:pPr>
            <w:r>
              <w:rPr/>
            </w:r>
          </w:p>
        </w:tc>
        <w:tc>
          <w:tcPr>
            <w:tcW w:w="5671" w:type="dxa"/>
            <w:tcBorders/>
          </w:tcPr>
          <w:p>
            <w:pPr>
              <w:pStyle w:val="Normal"/>
              <w:widowControl w:val="false"/>
              <w:spacing w:before="60" w:after="0"/>
              <w:jc w:val="both"/>
              <w:rPr>
                <w:sz w:val="24"/>
                <w:szCs w:val="24"/>
              </w:rPr>
            </w:pPr>
            <w:r>
              <w:rPr>
                <w:sz w:val="24"/>
                <w:szCs w:val="24"/>
              </w:rPr>
              <w:t>ребования к наличию опыта:</w:t>
            </w:r>
          </w:p>
          <w:p>
            <w:pPr>
              <w:pStyle w:val="Normal"/>
              <w:widowControl w:val="false"/>
              <w:tabs>
                <w:tab w:val="clear" w:pos="720"/>
                <w:tab w:val="left" w:pos="426" w:leader="none"/>
              </w:tabs>
              <w:spacing w:before="120" w:after="240"/>
              <w:jc w:val="both"/>
              <w:rPr>
                <w:i/>
                <w:i/>
                <w:iCs/>
                <w:sz w:val="24"/>
                <w:szCs w:val="24"/>
              </w:rPr>
            </w:pPr>
            <w:r>
              <w:rPr>
                <w:rFonts w:eastAsia="Calibri" w:cs="" w:cstheme="minorBidi" w:eastAsiaTheme="minorHAnsi"/>
                <w:color w:val="auto"/>
                <w:kern w:val="0"/>
                <w:sz w:val="24"/>
                <w:szCs w:val="24"/>
                <w:lang w:val="en-US" w:eastAsia="en-US" w:bidi="ar-SA"/>
              </w:rPr>
              <w:t xml:space="preserve">Участнику закупки в качестве повышения предпочтительности своей заявки </w:t>
            </w:r>
            <w:r>
              <w:rPr>
                <w:rFonts w:eastAsia="Calibri" w:cs="" w:cstheme="minorBidi" w:eastAsiaTheme="minorHAnsi"/>
                <w:b/>
                <w:color w:val="auto"/>
                <w:kern w:val="0"/>
                <w:sz w:val="24"/>
                <w:szCs w:val="24"/>
                <w:lang w:val="en-US" w:eastAsia="en-US" w:bidi="ar-SA"/>
              </w:rPr>
              <w:t>рекомендуется предоставить</w:t>
            </w:r>
            <w:r>
              <w:rPr>
                <w:rFonts w:eastAsia="Calibri" w:cs="" w:cstheme="minorBidi" w:eastAsiaTheme="minorHAnsi"/>
                <w:color w:val="auto"/>
                <w:kern w:val="0"/>
                <w:sz w:val="24"/>
                <w:szCs w:val="24"/>
                <w:lang w:val="en-US" w:eastAsia="en-US" w:bidi="ar-SA"/>
              </w:rPr>
              <w:t xml:space="preserve"> сведения для оценки Участника по неценовому критерию: н</w:t>
            </w:r>
            <w:r>
              <w:rPr>
                <w:rFonts w:eastAsia="Calibri" w:cs=""/>
                <w:color w:val="000000" w:themeColor="text1"/>
                <w:kern w:val="0"/>
                <w:sz w:val="24"/>
                <w:szCs w:val="24"/>
                <w:lang w:val="en-US" w:eastAsia="en-US" w:bidi="ar-SA"/>
              </w:rPr>
              <w:t xml:space="preserve">аличие опыта поставки продукции, соответствующей профилю лота, а именно: </w:t>
            </w:r>
            <w:r>
              <w:rPr>
                <w:rFonts w:eastAsia="Calibri" w:cs="" w:cstheme="minorBidi" w:eastAsiaTheme="minorHAnsi"/>
                <w:i/>
                <w:iCs/>
                <w:color w:val="auto"/>
                <w:kern w:val="0"/>
                <w:sz w:val="24"/>
                <w:szCs w:val="24"/>
                <w:lang w:val="en-US" w:eastAsia="en-US" w:bidi="ar-SA"/>
              </w:rPr>
              <w:t xml:space="preserve">поставка расходных материалов для ПК и оргтехники </w:t>
            </w:r>
            <w:r>
              <w:rPr>
                <w:rFonts w:eastAsia="Calibri" w:cs=""/>
                <w:color w:val="000000" w:themeColor="text1"/>
                <w:kern w:val="0"/>
                <w:sz w:val="24"/>
                <w:szCs w:val="24"/>
                <w:lang w:val="en-US" w:eastAsia="en-US" w:bidi="ar-SA"/>
              </w:rPr>
              <w:t xml:space="preserve"> при этом участником должны быть исполнены обязательства в общем (совокупном) объеме не менее 50 % от НМЦ лота за последние 5 (пять) лет, предшествующих дате подачи заявок. </w:t>
            </w:r>
          </w:p>
        </w:tc>
        <w:tc>
          <w:tcPr>
            <w:tcW w:w="8327" w:type="dxa"/>
            <w:tcBorders/>
          </w:tcPr>
          <w:p>
            <w:pPr>
              <w:pStyle w:val="Normal"/>
              <w:widowControl w:val="false"/>
              <w:spacing w:before="0" w:after="60"/>
              <w:rPr>
                <w:rFonts w:eastAsia="Calibri"/>
                <w:iCs/>
                <w:sz w:val="24"/>
                <w:szCs w:val="24"/>
                <w:lang w:eastAsia="en-US"/>
              </w:rPr>
            </w:pPr>
            <w:r>
              <w:rPr>
                <w:rFonts w:eastAsia="Calibri"/>
                <w:iCs/>
                <w:sz w:val="24"/>
                <w:szCs w:val="24"/>
                <w:lang w:eastAsia="en-US"/>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numPr>
                <w:ilvl w:val="0"/>
                <w:numId w:val="0"/>
              </w:numPr>
              <w:spacing w:before="0" w:after="60"/>
              <w:ind w:left="312" w:hanging="0"/>
              <w:contextualSpacing/>
              <w:jc w:val="both"/>
              <w:rPr>
                <w:rFonts w:eastAsia="Calibri"/>
                <w:iCs/>
                <w:sz w:val="24"/>
                <w:szCs w:val="24"/>
                <w:lang w:eastAsia="en-US"/>
              </w:rPr>
            </w:pPr>
            <w:r>
              <w:rPr>
                <w:rFonts w:eastAsia="Calibri"/>
                <w:iCs/>
                <w:sz w:val="24"/>
                <w:szCs w:val="24"/>
                <w:lang w:eastAsia="en-US"/>
              </w:rPr>
              <w:t>- копии договоров, подписанных с обеих сторон;</w:t>
            </w:r>
          </w:p>
          <w:p>
            <w:pPr>
              <w:pStyle w:val="Normal"/>
              <w:widowControl w:val="false"/>
              <w:numPr>
                <w:ilvl w:val="0"/>
                <w:numId w:val="0"/>
              </w:numPr>
              <w:spacing w:before="0" w:after="60"/>
              <w:ind w:left="312" w:hanging="0"/>
              <w:contextualSpacing/>
              <w:rPr>
                <w:rFonts w:eastAsia="Calibri"/>
                <w:iCs/>
                <w:sz w:val="24"/>
                <w:szCs w:val="24"/>
                <w:lang w:eastAsia="en-US"/>
              </w:rPr>
            </w:pPr>
            <w:r>
              <w:rPr>
                <w:rFonts w:eastAsia="Calibri"/>
                <w:iCs/>
                <w:sz w:val="24"/>
                <w:szCs w:val="24"/>
                <w:lang w:eastAsia="en-US"/>
              </w:rPr>
              <w:t>- копии товарных накладных по форме ТОРГ-12 или УПД (Универсальный передаточный документ), подписанных с обеих сторон.</w:t>
            </w:r>
          </w:p>
          <w:p>
            <w:pPr>
              <w:pStyle w:val="Normal"/>
              <w:widowControl w:val="false"/>
              <w:spacing w:before="0" w:after="60"/>
              <w:ind w:left="28" w:hanging="0"/>
              <w:jc w:val="both"/>
              <w:rPr>
                <w:i/>
                <w:i/>
                <w:iCs/>
                <w:sz w:val="22"/>
                <w:szCs w:val="22"/>
                <w:shd w:fill="FFFF99" w:val="clear"/>
                <w:lang w:eastAsia="en-US"/>
              </w:rPr>
            </w:pPr>
            <w:r>
              <w:rPr>
                <w:rFonts w:eastAsia="Calibri" w:cs=""/>
                <w:iCs/>
                <w:kern w:val="0"/>
                <w:sz w:val="24"/>
                <w:szCs w:val="24"/>
                <w:lang w:val="en-US" w:eastAsia="en-US" w:bidi="ar-SA"/>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pPr>
        <w:pStyle w:val="Style23"/>
        <w:spacing w:before="360" w:after="120"/>
        <w:rPr/>
      </w:pPr>
      <w:bookmarkStart w:id="320" w:name="_Toc186224320"/>
      <w:bookmarkStart w:id="321" w:name="_Ref125709228"/>
      <w:bookmarkStart w:id="322" w:name="_Ref125553703"/>
      <w:bookmarkStart w:id="323" w:name="_Ref125553692"/>
      <w:bookmarkStart w:id="324" w:name="_Ref125553500"/>
      <w:bookmarkStart w:id="325" w:name="_Ref125552455"/>
      <w:r>
        <w:rPr/>
        <w:t>Дополнительные требования к Коллективным участникам</w:t>
      </w:r>
      <w:bookmarkEnd w:id="320"/>
      <w:bookmarkEnd w:id="321"/>
      <w:bookmarkEnd w:id="322"/>
      <w:bookmarkEnd w:id="323"/>
      <w:bookmarkEnd w:id="324"/>
      <w:bookmarkEnd w:id="325"/>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6" w:name="_Ref125370156"/>
            <w:bookmarkStart w:id="327" w:name="_Ref125370156"/>
            <w:bookmarkEnd w:id="327"/>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8" w:name="_Ref125553738"/>
            <w:bookmarkStart w:id="329" w:name="_Ref125553738"/>
            <w:bookmarkEnd w:id="329"/>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0" w:name="_Ref125370162"/>
            <w:bookmarkStart w:id="331" w:name="_Ref125370162"/>
            <w:bookmarkEnd w:id="331"/>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3"/>
        <w:spacing w:before="360" w:after="120"/>
        <w:rPr/>
      </w:pPr>
      <w:bookmarkStart w:id="332" w:name="_Toc186224321"/>
      <w:bookmarkStart w:id="333" w:name="_Ref125709973"/>
      <w:bookmarkStart w:id="334" w:name="_Ref125709777"/>
      <w:bookmarkStart w:id="335" w:name="_Ref125370209"/>
      <w:bookmarkStart w:id="336" w:name="_Ref125370180"/>
      <w:bookmarkStart w:id="337" w:name="_Ref125370173"/>
      <w:bookmarkStart w:id="338" w:name="_Ref125369117"/>
      <w:bookmarkStart w:id="339" w:name="_Ref125362031"/>
      <w:bookmarkStart w:id="340" w:name="_Ref125361823"/>
      <w:r>
        <w:rPr/>
        <w:t>Дополнительные требования к Генеральным подрядчикам</w:t>
      </w:r>
      <w:bookmarkEnd w:id="332"/>
      <w:bookmarkEnd w:id="333"/>
      <w:bookmarkEnd w:id="334"/>
      <w:bookmarkEnd w:id="335"/>
      <w:bookmarkEnd w:id="336"/>
      <w:bookmarkEnd w:id="337"/>
      <w:bookmarkEnd w:id="338"/>
      <w:bookmarkEnd w:id="339"/>
      <w:bookmarkEnd w:id="340"/>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1" w:name="_Ref125370187"/>
            <w:bookmarkStart w:id="342" w:name="_Ref125370187"/>
            <w:bookmarkEnd w:id="342"/>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3" w:name="_Ref125370199"/>
            <w:bookmarkStart w:id="344" w:name="_Ref125370199"/>
            <w:bookmarkEnd w:id="34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5" w:name="_Ref125370193"/>
            <w:bookmarkStart w:id="346" w:name="_Ref125370193"/>
            <w:bookmarkEnd w:id="346"/>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7" w:name="_Ref125553847"/>
            <w:bookmarkStart w:id="348" w:name="_Ref125553847"/>
            <w:bookmarkEnd w:id="34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49" w:name="_Toc186224322"/>
      <w:bookmarkStart w:id="350" w:name="Прил04_ФормыЗаявки"/>
      <w:bookmarkEnd w:id="350"/>
      <w:r>
        <w:rPr/>
        <w:t>Приложение № 4 – Образцы форм документов, включаемых в состав заявки</w:t>
      </w:r>
      <w:bookmarkEnd w:id="349"/>
    </w:p>
    <w:p>
      <w:pPr>
        <w:pStyle w:val="Style23"/>
        <w:rPr/>
      </w:pPr>
      <w:bookmarkStart w:id="351" w:name="_Toc186224323"/>
      <w:r>
        <w:rPr/>
        <w:t>Пояснения к Образцам форм документов, включаемых в состав заявки</w:t>
      </w:r>
      <w:bookmarkEnd w:id="351"/>
    </w:p>
    <w:p>
      <w:pPr>
        <w:pStyle w:val="Style24"/>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2"/>
        <w:rPr/>
      </w:pPr>
      <w:bookmarkStart w:id="352" w:name="_Toc186224324"/>
      <w:bookmarkStart w:id="353" w:name="Прил05_ФормыПобедителя"/>
      <w:bookmarkEnd w:id="353"/>
      <w:r>
        <w:rPr/>
        <w:t>Приложение № 5 – Образцы форм документов, предоставляемых Победителем</w:t>
      </w:r>
      <w:bookmarkEnd w:id="352"/>
    </w:p>
    <w:p>
      <w:pPr>
        <w:pStyle w:val="Style23"/>
        <w:rPr/>
      </w:pPr>
      <w:bookmarkStart w:id="354" w:name="_Toc186224325"/>
      <w:r>
        <w:rPr/>
        <w:t>Пояснения к Образцам форм документов, предоставляемых Победителем</w:t>
      </w:r>
      <w:bookmarkEnd w:id="354"/>
    </w:p>
    <w:p>
      <w:pPr>
        <w:pStyle w:val="Style24"/>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55" w:name="_Ref130395470"/>
      <w:bookmarkStart w:id="356" w:name="_Toc186224326"/>
      <w:r>
        <w:rPr/>
        <w:t>Форма справки «Сведения о цепочке собственников, включая бенефициаров (в том числе конечных)»</w:t>
      </w:r>
      <w:bookmarkEnd w:id="355"/>
      <w:bookmarkEnd w:id="356"/>
    </w:p>
    <w:p>
      <w:pPr>
        <w:pStyle w:val="Style24"/>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7" w:name="_MON_1741074142"/>
    </w:p>
    <w:p>
      <w:pPr>
        <w:pStyle w:val="Style28"/>
        <w:jc w:val="center"/>
        <w:rPr/>
      </w:pPr>
      <w:bookmarkEnd w:id="357"/>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75pt;height:50.25pt;mso-wrap-distance-right:0pt" filled="f" o:ole="">
            <v:imagedata r:id="rId23" o:title=""/>
          </v:shape>
          <o:OLEObject Type="Embed" ProgID="Word.Document.12" ShapeID="ole_rId22" DrawAspect="Icon" ObjectID="_987281574" r:id="rId22"/>
        </w:object>
      </w:r>
    </w:p>
    <w:p>
      <w:pPr>
        <w:pStyle w:val="Style23"/>
        <w:rPr/>
      </w:pPr>
      <w:bookmarkStart w:id="358" w:name="_Toc186224327"/>
      <w:bookmarkStart w:id="359" w:name="_Ref130395475"/>
      <w:r>
        <w:rPr/>
        <w:t>Форма «Заверение об обстоятельствах»</w:t>
      </w:r>
      <w:bookmarkEnd w:id="358"/>
      <w:bookmarkEnd w:id="359"/>
    </w:p>
    <w:p>
      <w:pPr>
        <w:pStyle w:val="Style24"/>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60" w:name="_MON_1741074184"/>
    </w:p>
    <w:p>
      <w:pPr>
        <w:pStyle w:val="Style28"/>
        <w:spacing w:before="120" w:after="120"/>
        <w:jc w:val="center"/>
        <w:rPr/>
      </w:pPr>
      <w:bookmarkEnd w:id="360"/>
      <w:r>
        <w:rPr/>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8.75pt;height:50.25pt;mso-wrap-distance-right:0pt;mso-wrap-distance-bottom:6pt" filled="f" o:ole="">
            <v:imagedata r:id="rId25" o:title=""/>
          </v:shape>
          <o:OLEObject Type="Embed" ProgID="Word.Document.12" ShapeID="ole_rId24" DrawAspect="Icon" ObjectID="_539399591" r:id="rId24"/>
        </w:object>
      </w:r>
    </w:p>
    <w:p>
      <w:pPr>
        <w:pStyle w:val="Style22"/>
        <w:rPr/>
      </w:pPr>
      <w:bookmarkStart w:id="361" w:name="_Ref125362900"/>
      <w:bookmarkStart w:id="362" w:name="_Ref125362865"/>
      <w:bookmarkStart w:id="363" w:name="_Toc186224328"/>
      <w:bookmarkStart w:id="364" w:name="Прил06_СоставЗаявки"/>
      <w:bookmarkEnd w:id="364"/>
      <w:r>
        <w:rPr/>
        <w:t>Приложение № 6 – Состав заявки</w:t>
      </w:r>
      <w:bookmarkEnd w:id="361"/>
      <w:bookmarkEnd w:id="362"/>
      <w:bookmarkEnd w:id="363"/>
    </w:p>
    <w:p>
      <w:pPr>
        <w:pStyle w:val="Style23"/>
        <w:rPr/>
      </w:pPr>
      <w:bookmarkStart w:id="365" w:name="_Toc186224329"/>
      <w:r>
        <w:rPr/>
        <w:t>Состав заявки</w:t>
      </w:r>
      <w:bookmarkEnd w:id="365"/>
    </w:p>
    <w:p>
      <w:pPr>
        <w:pStyle w:val="Style24"/>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3"/>
          </w:rPr>
          <w:t>Приложении № 4</w:t>
        </w:r>
      </w:hyperlink>
      <w:r>
        <w:rPr/>
        <w:t>):</w:t>
      </w:r>
    </w:p>
    <w:tbl>
      <w:tblPr>
        <w:tblStyle w:val="af5"/>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3"/>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6" w:name="_Ref130389408"/>
            <w:bookmarkStart w:id="367" w:name="_Ref130389408"/>
            <w:bookmarkEnd w:id="367"/>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8" w:name="_Ref130389413"/>
            <w:bookmarkStart w:id="369" w:name="_Ref130389413"/>
            <w:bookmarkEnd w:id="369"/>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0" w:name="_Ref130389419"/>
            <w:bookmarkStart w:id="371" w:name="_Ref130389419"/>
            <w:bookmarkEnd w:id="371"/>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6"/>
          <w:headerReference w:type="first" r:id="rId27"/>
          <w:footerReference w:type="default" r:id="rId28"/>
          <w:footerReference w:type="first" r:id="rId2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rStyle w:val="Style10"/>
          <w:i w:val="false"/>
          <w:i w:val="false"/>
          <w:iCs w:val="false"/>
          <w:shd w:fill="auto" w:val="clear"/>
        </w:rPr>
      </w:pPr>
      <w:r>
        <w:rPr>
          <w:rStyle w:val="Style10"/>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72" w:name="_Toc186224330"/>
      <w:bookmarkStart w:id="373" w:name="_Ref125365264"/>
      <w:bookmarkStart w:id="374" w:name="Прил07_ОтборочныеКритерии"/>
      <w:bookmarkEnd w:id="374"/>
      <w:r>
        <w:rPr/>
        <w:t>Приложение № 7 – Отборочные критерии рассмотрения заявок</w:t>
      </w:r>
      <w:bookmarkEnd w:id="372"/>
      <w:bookmarkEnd w:id="373"/>
    </w:p>
    <w:p>
      <w:pPr>
        <w:pStyle w:val="Style28"/>
        <w:spacing w:before="120" w:after="120"/>
        <w:rPr>
          <w:rStyle w:val="Style10"/>
        </w:rPr>
      </w:pPr>
      <w:r>
        <w:rPr/>
      </w:r>
    </w:p>
    <w:p>
      <w:pPr>
        <w:pStyle w:val="Style23"/>
        <w:spacing w:before="360" w:after="120"/>
        <w:rPr>
          <w:rStyle w:val="Style10"/>
          <w:i w:val="false"/>
          <w:i w:val="false"/>
          <w:iCs w:val="false"/>
          <w:shd w:fill="auto" w:val="clear"/>
        </w:rPr>
      </w:pPr>
      <w:bookmarkStart w:id="375" w:name="_Toc186224331"/>
      <w:r>
        <w:rPr>
          <w:rStyle w:val="Style10"/>
          <w:i w:val="false"/>
          <w:iCs w:val="false"/>
          <w:shd w:fill="auto" w:val="clear"/>
        </w:rPr>
        <w:t>Отборочные критерии рассмотрения заявок</w:t>
      </w:r>
      <w:bookmarkEnd w:id="375"/>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3"/>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8"/>
              <w:widowControl w:val="false"/>
              <w:suppressAutoHyphens w:val="true"/>
              <w:spacing w:before="60" w:after="60"/>
              <w:jc w:val="center"/>
              <w:rPr>
                <w:rStyle w:val="Style13"/>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3"/>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3"/>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3"/>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10"/>
          <w:i w:val="false"/>
          <w:i w:val="false"/>
          <w:iCs w:val="false"/>
          <w:shd w:fill="auto" w:val="clear"/>
        </w:rPr>
      </w:pPr>
      <w:bookmarkStart w:id="376" w:name="_Toc186224332"/>
      <w:r>
        <w:rPr>
          <w:rStyle w:val="Style10"/>
          <w:i w:val="false"/>
          <w:iCs w:val="false"/>
          <w:shd w:fill="auto" w:val="clear"/>
        </w:rPr>
        <w:t>Дополнительные критерии проверки заявок на соответствие условиям Документации о закупке</w:t>
      </w:r>
      <w:bookmarkEnd w:id="376"/>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8"/>
        <w:keepNext w:val="true"/>
        <w:tabs>
          <w:tab w:val="clear" w:pos="720"/>
          <w:tab w:val="left" w:pos="851" w:leader="none"/>
        </w:tabs>
        <w:spacing w:before="240" w:after="0"/>
        <w:rPr>
          <w:b/>
          <w:bCs/>
        </w:rPr>
      </w:pPr>
      <w:r>
        <w:rPr>
          <w:b/>
          <w:bCs/>
        </w:rPr>
        <w:t>* Направления оценки заявок:</w:t>
      </w:r>
    </w:p>
    <w:p>
      <w:pPr>
        <w:pStyle w:val="Style28"/>
        <w:tabs>
          <w:tab w:val="clear" w:pos="720"/>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28"/>
        <w:tabs>
          <w:tab w:val="clear" w:pos="720"/>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7"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7"/>
      <w:r>
        <w:rPr/>
        <w:t>;</w:t>
      </w:r>
    </w:p>
    <w:p>
      <w:pPr>
        <w:pStyle w:val="Style28"/>
        <w:tabs>
          <w:tab w:val="clear" w:pos="720"/>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20"/>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8"/>
        <w:tabs>
          <w:tab w:val="clear" w:pos="720"/>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378" w:name="_Ref125366285"/>
      <w:bookmarkStart w:id="379" w:name="Прил08_ПорядокОценки"/>
      <w:bookmarkStart w:id="380" w:name="_Ref125368140"/>
      <w:bookmarkStart w:id="381" w:name="_Ref125368150"/>
      <w:bookmarkStart w:id="382" w:name="_Ref125368165"/>
      <w:bookmarkStart w:id="383" w:name="_Ref125368184"/>
      <w:bookmarkStart w:id="384" w:name="_Ref125361648"/>
      <w:bookmarkStart w:id="385" w:name="_Ref125361951"/>
      <w:bookmarkStart w:id="386" w:name="_Ref125366013"/>
      <w:bookmarkStart w:id="387" w:name="_Ref125366280"/>
      <w:bookmarkStart w:id="388" w:name="_Ref125368172"/>
      <w:bookmarkStart w:id="389" w:name="_Ref125368283"/>
      <w:bookmarkStart w:id="390" w:name="_Ref125368291"/>
      <w:bookmarkStart w:id="391" w:name="_Ref125368302"/>
      <w:bookmarkStart w:id="392" w:name="_Ref125368313"/>
      <w:bookmarkStart w:id="393" w:name="_Ref125368331"/>
      <w:bookmarkStart w:id="394" w:name="_Ref125369021"/>
      <w:bookmarkStart w:id="395" w:name="_Ref125369438"/>
      <w:bookmarkStart w:id="396" w:name="_Toc186224333"/>
      <w:bookmarkEnd w:id="379"/>
      <w:r>
        <w:rPr/>
        <w:t>Приложение № 8 – Порядок и критерии оценки и сопоставления заявок</w:t>
      </w:r>
      <w:bookmarkEnd w:id="378"/>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pPr>
        <w:pStyle w:val="Style23"/>
        <w:rPr/>
      </w:pPr>
      <w:bookmarkStart w:id="397" w:name="_Toc186224334"/>
      <w:r>
        <w:rPr/>
        <w:t>Порядок и критерии оценки и сопоставления заявок</w:t>
      </w:r>
      <w:bookmarkEnd w:id="397"/>
    </w:p>
    <w:p>
      <w:pPr>
        <w:pStyle w:val="Style24"/>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4"/>
        <w:numPr>
          <w:ilvl w:val="0"/>
          <w:numId w:val="0"/>
        </w:numPr>
        <w:ind w:left="1134" w:hanging="0"/>
        <w:rPr/>
      </w:pPr>
      <w:r>
        <w:rPr/>
      </w:r>
    </w:p>
    <w:tbl>
      <w:tblPr>
        <w:tblW w:w="151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80"/>
        <w:gridCol w:w="1358"/>
        <w:gridCol w:w="1341"/>
        <w:gridCol w:w="1306"/>
        <w:gridCol w:w="1114"/>
        <w:gridCol w:w="1833"/>
        <w:gridCol w:w="7202"/>
      </w:tblGrid>
      <w:tr>
        <w:trPr>
          <w:trHeight w:val="188" w:hRule="atLeast"/>
          <w:cantSplit w:val="true"/>
        </w:trPr>
        <w:tc>
          <w:tcPr>
            <w:tcW w:w="980"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Номер критерия оценки в структуре</w:t>
            </w:r>
          </w:p>
        </w:tc>
        <w:tc>
          <w:tcPr>
            <w:tcW w:w="1358"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Вид критерия оценки / направление оценки заявок</w:t>
            </w:r>
          </w:p>
        </w:tc>
        <w:tc>
          <w:tcPr>
            <w:tcW w:w="2647" w:type="dxa"/>
            <w:gridSpan w:val="2"/>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Наименование критерия оценки</w:t>
            </w:r>
          </w:p>
        </w:tc>
        <w:tc>
          <w:tcPr>
            <w:tcW w:w="1114"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Значимость критерия оценки</w:t>
            </w:r>
          </w:p>
        </w:tc>
        <w:tc>
          <w:tcPr>
            <w:tcW w:w="1833"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Содержание частного критерия оценки</w:t>
            </w:r>
          </w:p>
        </w:tc>
        <w:tc>
          <w:tcPr>
            <w:tcW w:w="7202"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Расчет оценки предпочтительности заявки</w:t>
            </w:r>
          </w:p>
        </w:tc>
      </w:tr>
      <w:tr>
        <w:trPr>
          <w:trHeight w:val="188" w:hRule="atLeast"/>
          <w:cantSplit w:val="true"/>
        </w:trPr>
        <w:tc>
          <w:tcPr>
            <w:tcW w:w="980"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58"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41"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первого уровня</w:t>
            </w:r>
          </w:p>
        </w:tc>
        <w:tc>
          <w:tcPr>
            <w:tcW w:w="1306"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второго уровня</w:t>
            </w:r>
          </w:p>
        </w:tc>
        <w:tc>
          <w:tcPr>
            <w:tcW w:w="1114"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833"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7202"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r>
      <w:tr>
        <w:trPr>
          <w:trHeight w:val="3697" w:hRule="atLeast"/>
        </w:trPr>
        <w:tc>
          <w:tcPr>
            <w:tcW w:w="980"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1.</w:t>
            </w:r>
          </w:p>
        </w:tc>
        <w:tc>
          <w:tcPr>
            <w:tcW w:w="1358"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Ценовой (стоимостный) частный критерий оценки первого уровня / ЦЕНА</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Цена договора (заявки)</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i/>
                <w:i/>
                <w:sz w:val="18"/>
                <w:szCs w:val="18"/>
                <w:lang w:eastAsia="ru-RU"/>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90%</w:t>
              <w:br/>
              <w:t>(В</w:t>
            </w:r>
            <w:r>
              <w:rPr>
                <w:sz w:val="18"/>
                <w:szCs w:val="18"/>
                <w:vertAlign w:val="subscript"/>
                <w:lang w:eastAsia="ru-RU"/>
              </w:rPr>
              <w:t>1</w:t>
            </w:r>
            <w:r>
              <w:rPr>
                <w:sz w:val="18"/>
                <w:szCs w:val="18"/>
                <w:lang w:eastAsia="ru-RU"/>
              </w:rPr>
              <w:t xml:space="preserve"> = 0,90)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Чем меньше цена заявки Участника, тем выше предпочтительность</w:t>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pPr>
              <w:pStyle w:val="2"/>
              <w:widowControl w:val="false"/>
              <w:numPr>
                <w:ilvl w:val="0"/>
                <w:numId w:val="0"/>
              </w:numPr>
              <w:spacing w:lineRule="auto" w:line="240" w:before="0" w:after="120"/>
              <w:ind w:left="0" w:hanging="0"/>
              <w:contextualSpacing/>
              <w:jc w:val="center"/>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w:r>
              <w:fldChar w:fldCharType="begin"/>
            </w:r>
            <w:r>
              <w:rPr/>
              <w:instrText xml:space="preserve">QUOTE</w:instrText>
            </w:r>
            <w:r>
              <w:rPr/>
            </w:r>
            <w:r>
              <w:rPr/>
              <w:fldChar w:fldCharType="separate"/>
            </w:r>
            <w:r>
              <w:rPr/>
            </w:r>
            <w:r/>
            <w:r>
              <w:rPr/>
              <w:fldChar w:fldCharType="end"/>
            </w:r>
            <w:r>
              <w:rPr/>
            </w:r>
          </w:p>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1</w:t>
            </w:r>
            <w:r>
              <w:rPr>
                <w:sz w:val="18"/>
                <w:szCs w:val="18"/>
                <w:lang w:eastAsia="ru-RU"/>
              </w:rPr>
              <w:tab/>
              <w:t>–</w:t>
              <w:tab/>
              <w:t>рассчитанная оценка предпочтительности по данному частному критерию оценки в баллах;</w:t>
            </w:r>
          </w:p>
          <w:p>
            <w:pPr>
              <w:pStyle w:val="Normal"/>
              <w:widowControl w:val="false"/>
              <w:spacing w:lineRule="auto" w:line="252"/>
              <w:rPr>
                <w:sz w:val="18"/>
                <w:szCs w:val="18"/>
              </w:rPr>
            </w:pPr>
            <w:r>
              <w:rPr>
                <w:sz w:val="18"/>
                <w:szCs w:val="18"/>
              </w:rPr>
              <w:t>ЦЕНА</w:t>
            </w:r>
            <w:r>
              <w:rPr>
                <w:i/>
                <w:iCs/>
                <w:sz w:val="18"/>
                <w:szCs w:val="18"/>
                <w:vertAlign w:val="subscript"/>
                <w:lang w:val="en-US"/>
              </w:rPr>
              <w:t>i</w:t>
            </w:r>
            <w:r>
              <w:rPr>
                <w:sz w:val="18"/>
                <w:szCs w:val="18"/>
              </w:rPr>
              <w:t xml:space="preserve">  – </w:t>
            </w:r>
            <w:r>
              <w:rPr>
                <w:rFonts w:eastAsia="Calibri"/>
                <w:sz w:val="18"/>
                <w:szCs w:val="16"/>
              </w:rPr>
              <w:t xml:space="preserve">цена договора (заявки), указанная в </w:t>
            </w:r>
            <w:r>
              <w:rPr>
                <w:rFonts w:eastAsia="Calibri"/>
                <w:sz w:val="18"/>
                <w:szCs w:val="16"/>
                <w:lang w:val="en-US"/>
              </w:rPr>
              <w:t>i</w:t>
            </w:r>
            <w:r>
              <w:rPr>
                <w:rFonts w:eastAsia="Calibri"/>
                <w:sz w:val="18"/>
                <w:szCs w:val="16"/>
              </w:rPr>
              <w:t xml:space="preserve">-той заявке (в Коммерческом предложении по установленной в документации о закупке форме (форма 3) допущенного участника, </w:t>
            </w:r>
            <w:r>
              <w:rPr>
                <w:sz w:val="18"/>
                <w:szCs w:val="18"/>
              </w:rPr>
              <w:t>руб. без учета НДС ;</w:t>
            </w:r>
          </w:p>
          <w:p>
            <w:pPr>
              <w:pStyle w:val="Normal"/>
              <w:widowControl w:val="false"/>
              <w:spacing w:lineRule="auto" w:line="252"/>
              <w:rPr>
                <w:sz w:val="18"/>
                <w:szCs w:val="18"/>
              </w:rPr>
            </w:pPr>
            <w:r>
              <w:rPr>
                <w:sz w:val="18"/>
                <w:szCs w:val="18"/>
              </w:rPr>
              <w:t>ЦЕНА</w:t>
            </w:r>
            <w:r>
              <w:rPr>
                <w:vertAlign w:val="subscript"/>
                <w:lang w:val="en-US"/>
              </w:rPr>
              <w:t>min</w:t>
            </w:r>
            <w:r>
              <w:rPr>
                <w:vertAlign w:val="subscript"/>
              </w:rPr>
              <w:t xml:space="preserve"> </w:t>
            </w:r>
            <w:r>
              <w:rPr>
                <w:sz w:val="18"/>
                <w:szCs w:val="18"/>
              </w:rPr>
              <w:t>– минимальная цена договора (заявки) среди всех допущенных заявок участников, руб. без учета НДС;</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Ш</w:t>
              <w:tab/>
              <w:t>–</w:t>
              <w:tab/>
              <w:t>максимально возможный балл (максимальная возможная оценка предпочтительности) по шкале оценок (Ш = 5).</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color w:val="000000"/>
                <w:sz w:val="18"/>
              </w:rPr>
              <w:t>.</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Шкала оценок от 0 до 5 баллов.</w:t>
            </w:r>
          </w:p>
        </w:tc>
      </w:tr>
      <w:tr>
        <w:trPr>
          <w:trHeight w:val="2247" w:hRule="atLeast"/>
        </w:trPr>
        <w:tc>
          <w:tcPr>
            <w:tcW w:w="980" w:type="dxa"/>
            <w:tcBorders>
              <w:top w:val="single" w:sz="4" w:space="0" w:color="00000A"/>
              <w:left w:val="single" w:sz="4" w:space="0" w:color="00000A"/>
              <w:bottom w:val="single" w:sz="4" w:space="0" w:color="00000A"/>
              <w:right w:val="single" w:sz="4" w:space="0" w:color="00000A"/>
            </w:tcBorders>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2.</w:t>
            </w:r>
          </w:p>
        </w:tc>
        <w:tc>
          <w:tcPr>
            <w:tcW w:w="1358" w:type="dxa"/>
            <w:tcBorders>
              <w:top w:val="single" w:sz="4" w:space="0" w:color="00000A"/>
              <w:left w:val="single" w:sz="4" w:space="0" w:color="00000A"/>
              <w:bottom w:val="single" w:sz="4" w:space="0" w:color="00000A"/>
              <w:right w:val="single" w:sz="4" w:space="0" w:color="00000A"/>
            </w:tcBorders>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Неценовой критерий оценки первого уровня / ТЕХ</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Квалификация (предпочти-тельность) Участника</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10%</w:t>
              <w:br/>
              <w:t>(В</w:t>
            </w:r>
            <w:r>
              <w:rPr>
                <w:sz w:val="18"/>
                <w:szCs w:val="18"/>
                <w:vertAlign w:val="subscript"/>
                <w:lang w:eastAsia="ru-RU"/>
              </w:rPr>
              <w:t>2</w:t>
            </w:r>
            <w:r>
              <w:rPr>
                <w:sz w:val="18"/>
                <w:szCs w:val="18"/>
                <w:lang w:eastAsia="ru-RU"/>
              </w:rPr>
              <w:t xml:space="preserve"> = 0,10)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Чем больше опыт (до оцениваемого предела), тем выше предпочтительность</w:t>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-ой заявке документов, подтверждающих опыт, требуемый в соответствии п. 4.1 ТТ, на общую сумму:</w:t>
            </w:r>
          </w:p>
          <w:tbl>
            <w:tblPr>
              <w:tblW w:w="64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2"/>
              <w:gridCol w:w="5529"/>
            </w:tblGrid>
            <w:tr>
              <w:trPr>
                <w:cantSplit w:val="true"/>
              </w:trPr>
              <w:tc>
                <w:tcPr>
                  <w:tcW w:w="882" w:type="dxa"/>
                  <w:tcBorders>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0</w:t>
                  </w:r>
                </w:p>
              </w:tc>
              <w:tc>
                <w:tcPr>
                  <w:tcW w:w="5529" w:type="dxa"/>
                  <w:tcBorders>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До 2 193 646,94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1</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2 193 646,94 руб., без учета НДС, но менее 2 742 058,68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2</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2 742 058,68 руб., без учета НДС, но менее 3 290 470,41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3</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3 290 470,41 руб., без учета НДС, но менее 3 838 882,14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4</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color w:val="000000"/>
                      <w:sz w:val="18"/>
                    </w:rPr>
                    <w:t>Более 3 838 882,14 руб., без учета НДС, но менее 4 387 293,88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5</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0"/>
                      <w:numId w:val="0"/>
                    </w:numPr>
                    <w:spacing w:lineRule="auto" w:line="240" w:before="40" w:after="40"/>
                    <w:ind w:left="284" w:hanging="0"/>
                    <w:contextualSpacing/>
                    <w:jc w:val="left"/>
                    <w:rPr>
                      <w:sz w:val="18"/>
                      <w:szCs w:val="18"/>
                      <w:lang w:eastAsia="ru-RU"/>
                    </w:rPr>
                  </w:pPr>
                  <w:r>
                    <w:rPr>
                      <w:sz w:val="18"/>
                      <w:szCs w:val="18"/>
                      <w:lang w:eastAsia="ru-RU"/>
                    </w:rPr>
                    <w:t>Более 4 387 293,88 руб., без учета НДС.</w:t>
                  </w:r>
                </w:p>
              </w:tc>
            </w:tr>
          </w:tbl>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tab/>
              <w:t>рассчитанная оценка предпочтительности по данному частному критерию оценки в баллах.</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Опыт, несоответствующий установленным в документации о закупке требованиям (п. 4.1 ТТ), не оценивается.</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Шкала оценок от 0 до 5 баллов.</w:t>
            </w:r>
          </w:p>
        </w:tc>
      </w:tr>
      <w:tr>
        <w:trPr>
          <w:trHeight w:val="2856" w:hRule="atLeast"/>
          <w:cantSplit w:val="true"/>
        </w:trPr>
        <w:tc>
          <w:tcPr>
            <w:tcW w:w="4985"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right"/>
              <w:rPr>
                <w:sz w:val="18"/>
                <w:szCs w:val="18"/>
                <w:lang w:eastAsia="ru-RU"/>
              </w:rPr>
            </w:pPr>
            <w:r>
              <w:rPr>
                <w:sz w:val="18"/>
                <w:szCs w:val="18"/>
                <w:lang w:eastAsia="ru-RU"/>
              </w:rPr>
              <w:t>Итоговая оценка предпочтительности заявки:</w:t>
            </w:r>
          </w:p>
        </w:tc>
        <w:tc>
          <w:tcPr>
            <w:tcW w:w="10149"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40" w:after="0"/>
              <w:rPr>
                <w:sz w:val="18"/>
                <w:szCs w:val="18"/>
              </w:rPr>
            </w:pPr>
            <w:r>
              <w:rPr>
                <w:sz w:val="18"/>
                <w:szCs w:val="18"/>
              </w:rPr>
              <w:t xml:space="preserve">Расчет итоговой оценки предпочтительности </w:t>
            </w:r>
            <w:r>
              <w:rPr>
                <w:i/>
                <w:sz w:val="18"/>
                <w:szCs w:val="18"/>
                <w:lang w:val="en-US"/>
              </w:rPr>
              <w:t>i</w:t>
            </w:r>
            <w:r>
              <w:rPr>
                <w:sz w:val="18"/>
                <w:szCs w:val="18"/>
              </w:rPr>
              <w:t>-ой заявки:</w:t>
            </w:r>
          </w:p>
          <w:p>
            <w:pPr>
              <w:pStyle w:val="Normal"/>
              <w:keepNext w:val="true"/>
              <w:widowControl w:val="false"/>
              <w:jc w:val="center"/>
              <w:rPr>
                <w:sz w:val="18"/>
                <w:szCs w:val="18"/>
              </w:rPr>
            </w:pPr>
            <w:r>
              <w:rPr>
                <w:sz w:val="18"/>
                <w:szCs w:val="18"/>
              </w:rPr>
            </w:r>
          </w:p>
          <w:p>
            <w:pPr>
              <w:pStyle w:val="Normal"/>
              <w:keepNext w:val="true"/>
              <w:widowControl w:val="false"/>
              <w:spacing w:before="96" w:after="0"/>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spacing w:before="96" w:after="0"/>
              <w:rPr>
                <w:sz w:val="18"/>
                <w:szCs w:val="18"/>
              </w:rPr>
            </w:pPr>
            <w:r>
              <w:rPr>
                <w:sz w:val="18"/>
                <w:szCs w:val="18"/>
              </w:rPr>
              <w:t>где:</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ИТОГ</w:t>
            </w:r>
            <w:r>
              <w:rPr>
                <w:sz w:val="18"/>
                <w:szCs w:val="18"/>
              </w:rPr>
              <w:tab/>
              <w:t>–</w:t>
              <w:tab/>
              <w:t>рассчитанная итоговая оценка предпочтительности в баллах;</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1 уровень k</w:t>
            </w:r>
            <w:r>
              <w:rPr>
                <w:sz w:val="18"/>
                <w:szCs w:val="18"/>
              </w:rPr>
              <w:tab/>
              <w:t>–</w:t>
              <w:tab/>
              <w:t>оценка предпочтительности по k-тому критерию оценки первого уровня в баллах;</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sz w:val="18"/>
                <w:szCs w:val="18"/>
              </w:rPr>
              <w:t>В</w:t>
            </w:r>
            <w:r>
              <w:rPr>
                <w:sz w:val="18"/>
                <w:szCs w:val="18"/>
                <w:vertAlign w:val="subscript"/>
              </w:rPr>
              <w:t>1 уровень k</w:t>
            </w:r>
            <w:r>
              <w:rPr>
                <w:sz w:val="18"/>
                <w:szCs w:val="18"/>
              </w:rPr>
              <w:tab/>
              <w:t>–</w:t>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2"/>
        <w:rPr/>
      </w:pPr>
      <w:bookmarkStart w:id="398" w:name="_Toc186224336"/>
      <w:bookmarkStart w:id="399" w:name="Прил09_ОбоснованиеНМЦ"/>
      <w:bookmarkStart w:id="400" w:name="_Ref125360420"/>
      <w:bookmarkStart w:id="401" w:name="_Toc136261769"/>
      <w:bookmarkStart w:id="402" w:name="_Toc136261692"/>
      <w:bookmarkStart w:id="403" w:name="_Toc136249263"/>
      <w:bookmarkStart w:id="404" w:name="_Toc136261768"/>
      <w:bookmarkStart w:id="405" w:name="_Toc136261691"/>
      <w:bookmarkStart w:id="406" w:name="_Toc136249262"/>
      <w:bookmarkStart w:id="407" w:name="_Toc136261767"/>
      <w:bookmarkStart w:id="408" w:name="_Toc136261690"/>
      <w:bookmarkStart w:id="409" w:name="_Toc136249261"/>
      <w:bookmarkStart w:id="410" w:name="_Toc136261766"/>
      <w:bookmarkStart w:id="411" w:name="_Toc136261689"/>
      <w:bookmarkStart w:id="412" w:name="_Toc136249260"/>
      <w:bookmarkEnd w:id="401"/>
      <w:bookmarkEnd w:id="402"/>
      <w:bookmarkEnd w:id="403"/>
      <w:bookmarkEnd w:id="404"/>
      <w:bookmarkEnd w:id="405"/>
      <w:bookmarkEnd w:id="406"/>
      <w:bookmarkEnd w:id="407"/>
      <w:bookmarkEnd w:id="408"/>
      <w:bookmarkEnd w:id="409"/>
      <w:bookmarkEnd w:id="410"/>
      <w:bookmarkEnd w:id="411"/>
      <w:bookmarkEnd w:id="412"/>
      <w:r>
        <w:rPr/>
        <w:t>Приложение № 9 – Обоснование НМЦ</w:t>
      </w:r>
      <w:bookmarkEnd w:id="398"/>
      <w:bookmarkEnd w:id="399"/>
      <w:bookmarkEnd w:id="400"/>
    </w:p>
    <w:p>
      <w:pPr>
        <w:pStyle w:val="Style23"/>
        <w:rPr/>
      </w:pPr>
      <w:bookmarkStart w:id="413" w:name="_Toc186224337"/>
      <w:r>
        <w:rPr/>
        <w:t>Пояснения к Обоснованию НМЦ</w:t>
      </w:r>
      <w:bookmarkEnd w:id="413"/>
    </w:p>
    <w:p>
      <w:pPr>
        <w:pStyle w:val="Style24"/>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414" w:name="_Toc186224338"/>
      <w:bookmarkStart w:id="415" w:name="Прил10_ЗаявкаНаАккредитацию"/>
      <w:bookmarkEnd w:id="415"/>
      <w:r>
        <w:rPr/>
        <w:t>Приложение № 10 – Форма Заявки на аккредитацию</w:t>
      </w:r>
      <w:bookmarkEnd w:id="414"/>
    </w:p>
    <w:p>
      <w:pPr>
        <w:pStyle w:val="Style23"/>
        <w:rPr/>
      </w:pPr>
      <w:bookmarkStart w:id="416" w:name="_Toc186224339"/>
      <w:r>
        <w:rPr/>
        <w:t>Пояснения к форме Заявки на аккредитацию</w:t>
      </w:r>
      <w:bookmarkEnd w:id="416"/>
    </w:p>
    <w:p>
      <w:pPr>
        <w:pStyle w:val="Style24"/>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8"/>
        <w:jc w:val="center"/>
        <w:rPr/>
      </w:pPr>
      <w:r>
        <w:rPr/>
        <w:object>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8pt;height:50.25pt;mso-wrap-distance-right:0pt" filled="f" o:ole="">
            <v:imagedata r:id="rId39" o:title=""/>
          </v:shape>
          <o:OLEObject Type="Embed" ProgID="Excel.Sheet.12" ShapeID="ole_rId38" DrawAspect="Icon" ObjectID="_1286383208" r:id="rId38"/>
        </w:object>
      </w:r>
    </w:p>
    <w:sectPr>
      <w:headerReference w:type="default" r:id="rId40"/>
      <w:headerReference w:type="first" r:id="rId41"/>
      <w:footerReference w:type="default" r:id="rId42"/>
      <w:footerReference w:type="first" r:id="rId43"/>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10196426"/>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15457126"/>
    </w:sdtPr>
    <w:sdtContent>
      <w:p>
        <w:pPr>
          <w:pStyle w:val="Footer"/>
          <w:spacing w:before="120" w:after="0"/>
          <w:rPr/>
        </w:pPr>
        <w:r>
          <w:rPr/>
          <w:fldChar w:fldCharType="begin"/>
        </w:r>
        <w:r>
          <w:rPr/>
          <w:instrText xml:space="preserve"> PAGE </w:instrText>
        </w:r>
        <w:r>
          <w:rPr/>
          <w:fldChar w:fldCharType="separate"/>
        </w:r>
        <w:r>
          <w:rPr/>
          <w:t>73</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42432135"/>
    </w:sdtPr>
    <w:sdtContent>
      <w:p>
        <w:pPr>
          <w:pStyle w:val="Footer"/>
          <w:spacing w:before="120" w:after="0"/>
          <w:rPr/>
        </w:pPr>
        <w:r>
          <w:rPr/>
          <w:fldChar w:fldCharType="begin"/>
        </w:r>
        <w:r>
          <w:rPr/>
          <w:instrText xml:space="preserve"> PAGE </w:instrText>
        </w:r>
        <w:r>
          <w:rPr/>
          <w:fldChar w:fldCharType="separate"/>
        </w:r>
        <w:r>
          <w:rPr/>
          <w:t>76</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96651791"/>
    </w:sdtPr>
    <w:sdtContent>
      <w:p>
        <w:pPr>
          <w:pStyle w:val="Footer"/>
          <w:spacing w:before="120" w:after="0"/>
          <w:rPr/>
        </w:pPr>
        <w:r>
          <w:rPr/>
          <w:fldChar w:fldCharType="begin"/>
        </w:r>
        <w:r>
          <w:rPr/>
          <w:instrText xml:space="preserve"> PAGE </w:instrText>
        </w:r>
        <w:r>
          <w:rPr/>
          <w:fldChar w:fldCharType="separate"/>
        </w:r>
        <w:r>
          <w:rPr/>
          <w:t>78</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74377497"/>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98360826"/>
    </w:sdtPr>
    <w:sdtContent>
      <w:p>
        <w:pPr>
          <w:pStyle w:val="Footer"/>
          <w:spacing w:before="120" w:after="0"/>
          <w:rPr/>
        </w:pPr>
        <w:r>
          <w:rPr/>
          <w:fldChar w:fldCharType="begin"/>
        </w:r>
        <w:r>
          <w:rPr/>
          <w:instrText xml:space="preserve"> PAGE </w:instrText>
        </w:r>
        <w:r>
          <w:rPr/>
          <w:fldChar w:fldCharType="separate"/>
        </w:r>
        <w:r>
          <w:rPr/>
          <w:t>53</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51160558"/>
    </w:sdtPr>
    <w:sdtContent>
      <w:p>
        <w:pPr>
          <w:pStyle w:val="Footer"/>
          <w:spacing w:before="120" w:after="0"/>
          <w:rPr/>
        </w:pPr>
        <w:r>
          <w:rPr/>
          <w:fldChar w:fldCharType="begin"/>
        </w:r>
        <w:r>
          <w:rPr/>
          <w:instrText xml:space="preserve"> PAGE </w:instrText>
        </w:r>
        <w:r>
          <w:rPr/>
          <w:fldChar w:fldCharType="separate"/>
        </w:r>
        <w:r>
          <w:rPr/>
          <w:t>60</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07477149"/>
    </w:sdtPr>
    <w:sdtContent>
      <w:p>
        <w:pPr>
          <w:pStyle w:val="Footer"/>
          <w:spacing w:before="120" w:after="0"/>
          <w:rPr/>
        </w:pPr>
        <w:r>
          <w:rPr/>
          <w:fldChar w:fldCharType="begin"/>
        </w:r>
        <w:r>
          <w:rPr/>
          <w:instrText xml:space="preserve"> PAGE </w:instrText>
        </w:r>
        <w:r>
          <w:rPr/>
          <w:fldChar w:fldCharType="separate"/>
        </w:r>
        <w:r>
          <w:rPr/>
          <w:t>66</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2"/>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0"/>
        <w:spacing w:before="80" w:after="0"/>
        <w:ind w:left="567" w:hanging="567"/>
        <w:jc w:val="both"/>
        <w:rPr/>
      </w:pPr>
      <w:r>
        <w:rPr>
          <w:rStyle w:val="Style12"/>
        </w:rPr>
        <w:footnoteRef/>
      </w:r>
      <w:r>
        <w:rPr/>
        <w:tab/>
        <w:t>Определенные в соответствии с Законом 422-ФЗ.</w:t>
      </w:r>
    </w:p>
  </w:footnote>
  <w:footnote w:id="4">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2"/>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0"/>
        <w:spacing w:before="80" w:after="0"/>
        <w:ind w:left="567" w:hanging="567"/>
        <w:jc w:val="both"/>
        <w:rPr/>
      </w:pPr>
      <w:r>
        <w:rPr>
          <w:rStyle w:val="Style12"/>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0"/>
        <w:spacing w:before="80" w:after="0"/>
        <w:ind w:left="567" w:hanging="567"/>
        <w:jc w:val="both"/>
        <w:rPr/>
      </w:pPr>
      <w:r>
        <w:rPr>
          <w:rStyle w:val="Style12"/>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0"/>
        <w:spacing w:before="80" w:after="0"/>
        <w:ind w:left="567" w:hanging="567"/>
        <w:jc w:val="both"/>
        <w:rPr/>
      </w:pPr>
      <w:r>
        <w:rPr>
          <w:rStyle w:val="Style12"/>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0"/>
        <w:spacing w:before="80" w:after="0"/>
        <w:ind w:left="567" w:hanging="567"/>
        <w:jc w:val="both"/>
        <w:rPr/>
      </w:pPr>
      <w:r>
        <w:rPr>
          <w:rStyle w:val="Style12"/>
        </w:rPr>
        <w:footnoteRef/>
      </w:r>
      <w:r>
        <w:rPr/>
        <w:tab/>
        <w:t>https://minfin.gov.ru/ru/perfomance/tax_relations/policy/bankwarranty/</w:t>
      </w:r>
    </w:p>
  </w:footnote>
  <w:footnote w:id="12">
    <w:p>
      <w:pPr>
        <w:pStyle w:val="Style30"/>
        <w:spacing w:before="80" w:after="0"/>
        <w:ind w:left="567" w:hanging="567"/>
        <w:jc w:val="both"/>
        <w:rPr/>
      </w:pPr>
      <w:r>
        <w:rPr>
          <w:rStyle w:val="Style12"/>
        </w:rPr>
        <w:footnoteRef/>
      </w:r>
      <w:r>
        <w:rPr/>
        <w:tab/>
        <w:t>Коллективный участник предоставляет указанные документы на каждого члена.</w:t>
      </w:r>
    </w:p>
  </w:footnote>
  <w:footnote w:id="13">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0"/>
        <w:spacing w:before="80" w:after="0"/>
        <w:ind w:left="567" w:hanging="567"/>
        <w:jc w:val="both"/>
        <w:rPr/>
      </w:pPr>
      <w:r>
        <w:rPr>
          <w:rStyle w:val="Style12"/>
        </w:rPr>
        <w:footnoteRef/>
      </w:r>
      <w:bookmarkStart w:id="417"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17"/>
    </w:p>
  </w:footnote>
  <w:footnote w:id="15">
    <w:p>
      <w:pPr>
        <w:pStyle w:val="Style30"/>
        <w:spacing w:before="80" w:after="0"/>
        <w:ind w:left="567" w:hanging="567"/>
        <w:jc w:val="both"/>
        <w:rPr/>
      </w:pPr>
      <w:r>
        <w:rPr>
          <w:rStyle w:val="Style12"/>
        </w:rPr>
        <w:footnoteRef/>
      </w:r>
      <w:bookmarkStart w:id="418" w:name="_Hlk139028804_Копия_1_Копия_1_Копия_1_Ко"/>
      <w:bookmarkStart w:id="419" w:name="_Hlk139028803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18"/>
      <w:bookmarkEnd w:id="419"/>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2">
    <w:name w:val="Heading 2"/>
    <w:basedOn w:val="Style20"/>
    <w:next w:val="BodyText"/>
    <w:qFormat/>
    <w:pPr>
      <w:spacing w:before="200" w:after="120"/>
    </w:pPr>
    <w:rPr>
      <w:b/>
      <w:bCs/>
      <w:sz w:val="32"/>
      <w:szCs w:val="32"/>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c95e18"/>
    <w:rPr/>
  </w:style>
  <w:style w:type="character" w:styleId="Style9" w:customStyle="1">
    <w:name w:val="Нижний колонтитул Знак"/>
    <w:basedOn w:val="DefaultParagraphFont"/>
    <w:uiPriority w:val="99"/>
    <w:qFormat/>
    <w:rsid w:val="008364e8"/>
    <w:rPr/>
  </w:style>
  <w:style w:type="character" w:styleId="Style10" w:customStyle="1">
    <w:name w:val="[РГ] Инструкция для организатора"/>
    <w:basedOn w:val="DefaultParagraphFont"/>
    <w:uiPriority w:val="1"/>
    <w:qFormat/>
    <w:rsid w:val="00277346"/>
    <w:rPr>
      <w:i/>
      <w:iCs/>
      <w:shd w:fill="FFFF99" w:val="clear"/>
      <w:lang w:val="ru-RU"/>
    </w:rPr>
  </w:style>
  <w:style w:type="character" w:styleId="Style11" w:customStyle="1">
    <w:name w:val="Текст сноски Знак"/>
    <w:basedOn w:val="DefaultParagraphFont"/>
    <w:uiPriority w:val="99"/>
    <w:semiHidden/>
    <w:qFormat/>
    <w:rsid w:val="006608d1"/>
    <w:rPr>
      <w:sz w:val="20"/>
      <w:szCs w:val="20"/>
    </w:rPr>
  </w:style>
  <w:style w:type="character" w:styleId="Style12">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3"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4" w:customStyle="1">
    <w:name w:val="Текст примечания Знак"/>
    <w:basedOn w:val="DefaultParagraphFont"/>
    <w:link w:val="Annotationtext"/>
    <w:uiPriority w:val="99"/>
    <w:qFormat/>
    <w:rsid w:val="007e365e"/>
    <w:rPr>
      <w:sz w:val="20"/>
      <w:szCs w:val="20"/>
    </w:rPr>
  </w:style>
  <w:style w:type="character" w:styleId="Style15" w:customStyle="1">
    <w:name w:val="Тема примечания Знак"/>
    <w:basedOn w:val="Style14"/>
    <w:link w:val="Annotationsubject"/>
    <w:uiPriority w:val="99"/>
    <w:semiHidden/>
    <w:qFormat/>
    <w:rsid w:val="007e365e"/>
    <w:rPr>
      <w:b/>
      <w:bCs/>
      <w:sz w:val="20"/>
      <w:szCs w:val="20"/>
    </w:rPr>
  </w:style>
  <w:style w:type="character" w:styleId="Style16"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7"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8">
    <w:name w:val="Ссылка указателя"/>
    <w:qFormat/>
    <w:rPr/>
  </w:style>
  <w:style w:type="character" w:styleId="Emphasis">
    <w:name w:val="Emphasis"/>
    <w:qFormat/>
    <w:rPr>
      <w:i/>
      <w:iCs/>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8"/>
    <w:uiPriority w:val="99"/>
    <w:unhideWhenUsed/>
    <w:rsid w:val="00c95e18"/>
    <w:pPr>
      <w:spacing w:before="0" w:after="120"/>
      <w:jc w:val="center"/>
    </w:pPr>
    <w:rPr/>
  </w:style>
  <w:style w:type="paragraph" w:styleId="Footer">
    <w:name w:val="Footer"/>
    <w:basedOn w:val="Normal"/>
    <w:link w:val="Style9"/>
    <w:uiPriority w:val="99"/>
    <w:unhideWhenUsed/>
    <w:rsid w:val="008364e8"/>
    <w:pPr>
      <w:jc w:val="right"/>
    </w:pPr>
    <w:rPr/>
  </w:style>
  <w:style w:type="paragraph" w:styleId="FootnoteText">
    <w:name w:val="Footnote Text"/>
    <w:basedOn w:val="Normal"/>
    <w:link w:val="Style11"/>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20"/>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20"/>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4"/>
    <w:uiPriority w:val="99"/>
    <w:unhideWhenUsed/>
    <w:qFormat/>
    <w:rsid w:val="007e365e"/>
    <w:pPr/>
    <w:rPr>
      <w:sz w:val="20"/>
      <w:szCs w:val="20"/>
    </w:rPr>
  </w:style>
  <w:style w:type="paragraph" w:styleId="Annotationsubject">
    <w:name w:val="annotation subject"/>
    <w:basedOn w:val="Annotationtext"/>
    <w:next w:val="Annotationtext"/>
    <w:link w:val="Style15"/>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7"/>
    <w:uiPriority w:val="99"/>
    <w:semiHidden/>
    <w:unhideWhenUsed/>
    <w:qFormat/>
    <w:rsid w:val="0079507d"/>
    <w:pPr>
      <w:spacing w:before="0" w:after="0"/>
    </w:pPr>
    <w:rPr>
      <w:rFonts w:ascii="Segoe UI" w:hAnsi="Segoe UI" w:cs="Segoe UI"/>
      <w:sz w:val="18"/>
      <w:szCs w:val="18"/>
    </w:rPr>
  </w:style>
  <w:style w:type="paragraph" w:styleId="Tableheader">
    <w:name w:val="Table_header"/>
    <w:basedOn w:val="Normal"/>
    <w:qFormat/>
    <w:pPr/>
    <w:rPr>
      <w:b/>
      <w:sz w:val="20"/>
      <w:szCs w:val="24"/>
    </w:rPr>
  </w:style>
  <w:style w:type="paragraph" w:styleId="3">
    <w:name w:val="УРОВЕНЬ_Абзац_тип3"/>
    <w:basedOn w:val="ListParagraph"/>
    <w:qFormat/>
    <w:pPr>
      <w:tabs>
        <w:tab w:val="clear" w:pos="720"/>
        <w:tab w:val="left" w:pos="1440" w:leader="none"/>
        <w:tab w:val="left" w:pos="2880" w:leader="none"/>
      </w:tabs>
      <w:spacing w:lineRule="exact" w:line="360" w:before="120" w:after="0"/>
      <w:ind w:left="0" w:hanging="1440"/>
      <w:contextualSpacing w:val="false"/>
      <w:jc w:val="both"/>
    </w:pPr>
    <w:rPr>
      <w:rFonts w:cs="Times New Roman"/>
      <w:szCs w:val="28"/>
    </w:rPr>
  </w:style>
  <w:style w:type="paragraph" w:styleId="2">
    <w:name w:val="УРОВЕНЬ_Абзац_тип2"/>
    <w:basedOn w:val="ListParagraph"/>
    <w:qFormat/>
    <w:pPr>
      <w:tabs>
        <w:tab w:val="clear" w:pos="720"/>
        <w:tab w:val="left" w:pos="360" w:leader="none"/>
        <w:tab w:val="left" w:pos="1440" w:leader="none"/>
        <w:tab w:val="left" w:pos="2736" w:leader="none"/>
      </w:tabs>
      <w:spacing w:lineRule="exact" w:line="360" w:before="120" w:after="0"/>
      <w:ind w:left="1701" w:hanging="1440"/>
      <w:contextualSpacing w:val="false"/>
      <w:jc w:val="both"/>
    </w:pPr>
    <w:rPr>
      <w:rFonts w:cs="Times New Roman"/>
      <w:szCs w:val="28"/>
    </w:rPr>
  </w:style>
  <w:style w:type="paragraph" w:styleId="-">
    <w:name w:val="УРОВЕНЬ_-"/>
    <w:basedOn w:val="ListParagraph"/>
    <w:qFormat/>
    <w:pPr>
      <w:tabs>
        <w:tab w:val="clear" w:pos="720"/>
        <w:tab w:val="left" w:pos="360" w:leader="none"/>
        <w:tab w:val="left" w:pos="1077" w:leader="none"/>
        <w:tab w:val="left" w:pos="1576" w:leader="none"/>
      </w:tabs>
      <w:spacing w:lineRule="exact" w:line="360" w:before="120" w:after="0"/>
      <w:ind w:left="2268" w:hanging="567"/>
      <w:contextualSpacing w:val="false"/>
      <w:jc w:val="both"/>
      <w:outlineLvl w:val="4"/>
    </w:pPr>
    <w:rPr>
      <w:rFonts w:cs="Times New Roman"/>
      <w:szCs w:val="2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FFICE@RUSHYDRO.RU" TargetMode="External"/><Relationship Id="rId4" Type="http://schemas.openxmlformats.org/officeDocument/2006/relationships/hyperlink" Target="mailto:KukushkinaVB@rushydro.ru" TargetMode="External"/><Relationship Id="rId5" Type="http://schemas.openxmlformats.org/officeDocument/2006/relationships/hyperlink" Target="mailto:KukushkinaVB@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package" Target="embeddings/oleObject2.docx"/><Relationship Id="rId23" Type="http://schemas.openxmlformats.org/officeDocument/2006/relationships/image" Target="media/image3.wmf"/><Relationship Id="rId24" Type="http://schemas.openxmlformats.org/officeDocument/2006/relationships/package" Target="embeddings/oleObject3.docx"/><Relationship Id="rId25" Type="http://schemas.openxmlformats.org/officeDocument/2006/relationships/image" Target="media/image4.wmf"/><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2.xml"/><Relationship Id="rId37" Type="http://schemas.openxmlformats.org/officeDocument/2006/relationships/footer" Target="footer13.xml"/><Relationship Id="rId38" Type="http://schemas.openxmlformats.org/officeDocument/2006/relationships/package" Target="embeddings/oleObject4.xlsx"/><Relationship Id="rId39" Type="http://schemas.openxmlformats.org/officeDocument/2006/relationships/image" Target="media/image5.wmf"/><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EA78-67BE-4F9F-A3C1-C98635A4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Application>AlterOffice/3.4.0.9$Linux_X86_64 LibreOffice_project/b8daf9e823b1a5463a2f48435ddc2e8696e7d4fc</Application>
  <AppVersion>15.0000</AppVersion>
  <Pages>78</Pages>
  <Words>19184</Words>
  <Characters>133160</Characters>
  <CharactersWithSpaces>150728</CharactersWithSpaces>
  <Paragraphs>1109</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kukushkinavb@corp.gidroogk.com</cp:lastModifiedBy>
  <dcterms:modified xsi:type="dcterms:W3CDTF">2026-06-16T09:38:41Z</dcterms:modified>
  <cp:revision>177</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