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(Оформляется на официальном бланке организации)                            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ТЕХНИКО-КОММЕРЧЕСКОГО ПРЕДЛОЖЕНИЯ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sz w:val="26"/>
                <w:szCs w:val="26"/>
              </w:rPr>
              <w:t xml:space="preserve">Генеральному директору </w:t>
            </w:r>
          </w:p>
          <w:p>
            <w:pPr>
              <w:pStyle w:val="Standard"/>
              <w:widowControl w:val="false"/>
              <w:numPr>
                <w:ilvl w:val="0"/>
                <w:numId w:val="0"/>
              </w:numPr>
              <w:jc w:val="right"/>
              <w:outlineLvl w:val="0"/>
              <w:rPr/>
            </w:pPr>
            <w:r>
              <w:rPr>
                <w:sz w:val="26"/>
                <w:szCs w:val="26"/>
              </w:rPr>
              <w:t>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jc w:val="right"/>
              <w:rPr/>
            </w:pPr>
            <w:r>
              <w:rPr>
                <w:sz w:val="26"/>
                <w:szCs w:val="26"/>
              </w:rPr>
              <w:t>Бойко Д.В.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spacing w:before="60" w:after="0"/>
        <w:rPr/>
      </w:pPr>
      <w:r>
        <w:rPr/>
        <w:t>сообщает о согласии</w:t>
      </w:r>
      <w:r>
        <w:rPr>
          <w:rFonts w:eastAsia="Calibri"/>
          <w:iCs/>
          <w:shd w:fill="FFFF00" w:val="clear"/>
          <w:lang w:eastAsia="x-none"/>
        </w:rPr>
        <w:t xml:space="preserve"> оказания услуг по ремонту и техническому обслуживанию ДГУ </w:t>
      </w:r>
      <w:r>
        <w:rPr>
          <w:rFonts w:eastAsia="Calibri"/>
          <w:iCs/>
          <w:shd w:fill="FFFF00" w:val="clear"/>
          <w:lang w:eastAsia="x-none"/>
        </w:rPr>
        <w:t>в</w:t>
      </w:r>
      <w:r>
        <w:rPr>
          <w:rFonts w:eastAsia="Calibri"/>
          <w:iCs/>
          <w:shd w:fill="FFFF00" w:val="clear"/>
          <w:lang w:eastAsia="x-none"/>
        </w:rPr>
        <w:t xml:space="preserve"> 2027-2028 год</w:t>
      </w:r>
      <w:r>
        <w:rPr>
          <w:rFonts w:eastAsia="Calibri"/>
          <w:iCs/>
          <w:shd w:fill="FFFF00" w:val="clear"/>
          <w:lang w:eastAsia="x-none"/>
        </w:rPr>
        <w:t>у</w:t>
      </w:r>
      <w:r>
        <w:rPr>
          <w:rFonts w:eastAsia="Calibri"/>
          <w:iCs/>
          <w:color w:val="000000"/>
          <w:shd w:fill="FFFF00" w:val="clear"/>
          <w:lang w:eastAsia="x-none"/>
        </w:rPr>
        <w:t xml:space="preserve"> </w:t>
      </w:r>
      <w:r>
        <w:rPr/>
        <w:t>с учётом требований Заказчика и на условиях, указанных в приложении № 1.</w:t>
      </w:r>
    </w:p>
    <w:p>
      <w:pPr>
        <w:pStyle w:val="Standard"/>
        <w:shd w:val="clear" w:color="auto" w:fill="FFFFFF"/>
        <w:jc w:val="both"/>
        <w:rPr/>
      </w:pPr>
      <w:r>
        <w:rPr/>
        <w:t>2. </w:t>
      </w:r>
      <w:r>
        <w:rPr>
          <w:shd w:fill="FFFFFF" w:val="clear"/>
        </w:rPr>
        <w:t>Сроки оказания услуг: с даты заключения договора в течение 36 месяцев.</w:t>
      </w:r>
    </w:p>
    <w:p>
      <w:pPr>
        <w:pStyle w:val="Standard"/>
        <w:shd w:val="clear" w:color="auto" w:fill="FFFFFF"/>
        <w:jc w:val="both"/>
        <w:rPr/>
      </w:pPr>
      <w:r>
        <w:rPr>
          <w:shd w:fill="FFFFFF" w:val="clear"/>
        </w:rPr>
        <w:t>3. Стоимость коммерческого предложения составляет:________________руб. Без НДС (_______________руб. с НДС ___%)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4. Стоимость единичных расценок приведена</w:t>
      </w:r>
      <w:r>
        <w:rPr>
          <w:color w:val="000000"/>
          <w:spacing w:val="-1"/>
        </w:rPr>
        <w:t xml:space="preserve"> в следующей таблице (если необходимо):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W w:w="9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2977"/>
        <w:gridCol w:w="1416"/>
        <w:gridCol w:w="1419"/>
        <w:gridCol w:w="1416"/>
        <w:gridCol w:w="1419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услуг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руб. за единицу без НДС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Стоимость руб. без НДС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Оказание услуг по ремонту и техническому обслуживанию ДГУ (ТО-1)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неделя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Оказание услуг по ремонту и техническому обслуживанию ДГУ (ТО-2)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месяц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</w:rPr>
            </w:pPr>
            <w:r>
              <w:rPr/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Оказание услуг по ремонту и техническому обслуживанию ДГУ (ТО-3)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полугодие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</w:rPr>
            </w:pPr>
            <w:r>
              <w:rPr/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rPr/>
            </w:pPr>
            <w:r>
              <w:rPr/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Оказание услуг по ремонту и техническому обслуживанию ДГУ (ТО-4)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jc w:val="center"/>
              <w:rPr>
                <w:color w:val="000000"/>
              </w:rPr>
            </w:pPr>
            <w:r>
              <w:rPr/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5" w:hRule="atLeast"/>
        </w:trPr>
        <w:tc>
          <w:tcPr>
            <w:tcW w:w="8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b/>
                <w:bCs/>
                <w:iCs/>
              </w:rPr>
              <w:t>Итого стоимость без учета НДС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20" w:hRule="atLeast"/>
        </w:trPr>
        <w:tc>
          <w:tcPr>
            <w:tcW w:w="8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b/>
                <w:bCs/>
                <w:iCs/>
              </w:rPr>
              <w:t>Сумма НДС (___%)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100" w:hRule="atLeast"/>
        </w:trPr>
        <w:tc>
          <w:tcPr>
            <w:tcW w:w="8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color w:val="000000"/>
              </w:rPr>
            </w:pPr>
            <w:r>
              <w:rPr>
                <w:b/>
                <w:bCs/>
                <w:iCs/>
              </w:rPr>
              <w:t>Итого стоимость с учетом НДС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 xml:space="preserve">5.1. </w:t>
      </w:r>
      <w:bookmarkStart w:id="0" w:name="_Ref361858588"/>
      <w:r>
        <w:rPr>
          <w:color w:val="000000"/>
          <w:shd w:fill="FFFFFF" w:val="clear"/>
        </w:rPr>
        <w:t xml:space="preserve">Оплата по Договору осуществляется </w:t>
      </w:r>
      <w:bookmarkEnd w:id="0"/>
      <w:r>
        <w:rPr>
          <w:color w:val="000000"/>
          <w:shd w:fill="FFFFFF" w:val="clear"/>
        </w:rPr>
        <w:t xml:space="preserve">в течение 20 (двадцати) календарных дней / 7 (семи) рабочих дней (для МСП) с даты подписания акта сдачи-приемки выполненных работ / оказанных услуг на основании счета, выставленного Контрагентом. </w:t>
      </w:r>
    </w:p>
    <w:p>
      <w:pPr>
        <w:pStyle w:val="Standard"/>
        <w:jc w:val="both"/>
        <w:rPr>
          <w:shd w:fill="FFFFFF" w:val="clear"/>
        </w:rPr>
      </w:pPr>
      <w:r>
        <w:rPr>
          <w:shd w:fill="FFFFFF" w:val="clear"/>
        </w:rPr>
        <w:t>6. Мы согласны придерживаться положений настоящего предложения в течение 2027 - 2028 года.</w:t>
      </w:r>
    </w:p>
    <w:p>
      <w:pPr>
        <w:pStyle w:val="Standard"/>
        <w:jc w:val="both"/>
        <w:rPr/>
      </w:pPr>
      <w:r>
        <w:rPr/>
        <w:t>7.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49"/>
        <w:gridCol w:w="2946"/>
        <w:gridCol w:w="2970"/>
      </w:tblGrid>
      <w:tr>
        <w:trPr/>
        <w:tc>
          <w:tcPr>
            <w:tcW w:w="414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9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0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qFormat/>
    <w:rPr>
      <w:sz w:val="24"/>
      <w:lang w:val="ru-RU" w:eastAsia="ru-RU" w:bidi="ar-SA"/>
    </w:rPr>
  </w:style>
  <w:style w:type="character" w:styleId="Style9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10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11" w:customStyle="1">
    <w:name w:val="Нижний колонтитул Знак"/>
    <w:qFormat/>
    <w:rPr>
      <w:sz w:val="24"/>
      <w:szCs w:val="24"/>
    </w:rPr>
  </w:style>
  <w:style w:type="character" w:styleId="Style12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3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5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18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19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0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1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uiPriority w:val="34"/>
    <w:qFormat/>
    <w:rsid w:val="003750b4"/>
    <w:pPr>
      <w:widowControl/>
      <w:spacing w:before="0" w:after="0"/>
      <w:ind w:left="720" w:hanging="0"/>
      <w:contextualSpacing/>
      <w:textAlignment w:val="auto"/>
    </w:pPr>
    <w:rPr>
      <w:rFonts w:eastAsia="Calibr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Application>AlterOffice/3.4.0.9$Linux_X86_64 LibreOffice_project/b8daf9e823b1a5463a2f48435ddc2e8696e7d4fc</Application>
  <AppVersion>15.0000</AppVersion>
  <Pages>2</Pages>
  <Words>294</Words>
  <Characters>2004</Characters>
  <CharactersWithSpaces>2272</CharactersWithSpaces>
  <Paragraphs>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2024-11-27T11:46:00Z</dcterms:created>
  <dc:creator>Potapov_MV</dc:creator>
  <dc:description/>
  <dc:language>ru-RU</dc:language>
  <cp:lastModifiedBy/>
  <dcterms:modified xsi:type="dcterms:W3CDTF">2026-06-18T11:19:01Z</dcterms:modified>
  <cp:revision>30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