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Geneva"/>
          <w:b/>
          <w:sz w:val="26"/>
          <w:szCs w:val="26"/>
        </w:rPr>
      </w:pPr>
      <w:r>
        <w:rPr>
          <w:rFonts w:eastAsia="Geneva"/>
          <w:b/>
          <w:sz w:val="26"/>
          <w:szCs w:val="26"/>
        </w:rPr>
        <w:t>«ОКПД2 71.12.13.000. Внесение изменений в проектную и рабочую документацию «Замена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района»</w:t>
      </w:r>
    </w:p>
    <w:p>
      <w:pPr>
        <w:pStyle w:val="Normal"/>
        <w:keepNext w:val="true"/>
        <w:keepLines/>
        <w:jc w:val="center"/>
        <w:rPr>
          <w:rFonts w:eastAsia="Geneva"/>
          <w:sz w:val="24"/>
          <w:szCs w:val="24"/>
        </w:rPr>
      </w:pPr>
      <w:r>
        <w:rPr>
          <w:rFonts w:eastAsia="Geneva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sz w:val="26"/>
          <w:szCs w:val="26"/>
          <w:u w:val="single"/>
        </w:rPr>
        <w:t>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232064786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87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88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89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0">
            <w:r>
              <w:rPr>
                <w:webHidden/>
                <w:rStyle w:val="Style14"/>
                <w:iCs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791">
            <w:r>
              <w:rPr>
                <w:webHidden/>
                <w:rStyle w:val="Style14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2">
            <w:r>
              <w:rPr>
                <w:webHidden/>
                <w:rStyle w:val="Style14"/>
                <w:iCs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793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4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5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796">
            <w:r>
              <w:rPr>
                <w:webHidden/>
                <w:rStyle w:val="Style14"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7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798">
            <w:r>
              <w:rPr>
                <w:webHidden/>
                <w:rStyle w:val="Style14"/>
              </w:rPr>
              <w:t>Таблица 3. Требования по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2064799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_Toc232064799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800">
            <w:r>
              <w:rPr>
                <w:webHidden/>
                <w:rStyle w:val="Style14"/>
              </w:rPr>
              <w:t>Таблица 4.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_Toc232064800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801">
            <w:r>
              <w:rPr>
                <w:webHidden/>
                <w:rStyle w:val="Style14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_Toc232064801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64802">
            <w:r>
              <w:rPr>
                <w:webHidden/>
                <w:rStyle w:val="Style14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_Toc232064802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</w:rPr>
      </w:pPr>
      <w:bookmarkStart w:id="0" w:name="_Toc232064786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1276" w:hanging="556"/>
        <w:rPr>
          <w:rStyle w:val="Style8"/>
          <w:b/>
          <w:i w:val="false"/>
          <w:i w:val="false"/>
          <w:shd w:fill="auto" w:val="clear"/>
        </w:rPr>
      </w:pPr>
      <w:bookmarkStart w:id="2" w:name="_Toc23206478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воздушная линия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ЗЭС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Филиал ПАО «Якутскэнерго» Западные электрические сети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нормативно-технический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проект организации строительства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ПСД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проектно-сметная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РД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технические требования 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4" w:name="_Toc46743506"/>
      <w:bookmarkStart w:id="5" w:name="_Toc46743506"/>
      <w:r>
        <w:br w:type="page"/>
      </w:r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6" w:name="_Toc46743506"/>
      <w:bookmarkStart w:id="7" w:name="_Toc232064788"/>
      <w:r>
        <w:rPr/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spacing w:lineRule="auto" w:line="360"/>
        <w:rPr>
          <w:rFonts w:eastAsia="Geneva"/>
          <w:sz w:val="24"/>
          <w:szCs w:val="24"/>
        </w:rPr>
      </w:pPr>
      <w:r>
        <w:rPr>
          <w:rFonts w:eastAsia="Geneva"/>
          <w:sz w:val="24"/>
          <w:szCs w:val="24"/>
        </w:rPr>
        <w:t>«ОКПД2 71.12.13.000. Внесение изменений в проектную и рабочую документацию «Замена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района».</w:t>
      </w:r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8" w:name="_Toc232064789"/>
      <w:bookmarkStart w:id="9" w:name="_Toc46743507"/>
      <w:r>
        <w:rPr/>
        <w:t xml:space="preserve">Цель </w:t>
      </w:r>
      <w:bookmarkEnd w:id="9"/>
      <w:r>
        <w:rPr>
          <w:lang w:val="ru-RU"/>
        </w:rPr>
        <w:t>выполнения работ</w:t>
      </w:r>
      <w:bookmarkEnd w:id="8"/>
      <w:r>
        <w:rPr/>
        <w:t xml:space="preserve"> </w:t>
      </w:r>
    </w:p>
    <w:p>
      <w:pPr>
        <w:pStyle w:val="Normal"/>
        <w:spacing w:lineRule="auto" w:line="360"/>
        <w:jc w:val="both"/>
        <w:rPr>
          <w:rStyle w:val="Style8"/>
          <w:rFonts w:cs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cs="Calibri"/>
          <w:sz w:val="24"/>
          <w:szCs w:val="24"/>
        </w:rPr>
        <w:t>Внесение изменений в ПД и РД для замены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района.</w:t>
      </w:r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10" w:name="_Toc232064790"/>
      <w:bookmarkStart w:id="11" w:name="_Toc46743508"/>
      <w:r>
        <w:rPr/>
        <w:t>Существующее положение</w:t>
      </w:r>
      <w:bookmarkEnd w:id="10"/>
      <w:bookmarkEnd w:id="11"/>
      <w:r>
        <w:rPr>
          <w:lang w:val="ru-RU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>
          <w:rStyle w:val="Style8"/>
          <w:rFonts w:cs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sz w:val="24"/>
          <w:szCs w:val="24"/>
        </w:rPr>
        <w:t>В рамках данной закупки запланировано внесение изменений в проектную и рабочую документацию для проведения замены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района. Перечень инвестиционных проектов, работ и программ (при необходимости уточнить на стадии проектирования, при проектировании необходимо руководствоваться инвестиционными проектами, работами и программами актуальными на момент начала подготовки документации, в том числе не указанными в данном пункте), с которыми требуется координация решений проектной документации.</w:t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hd w:fill="auto" w:val="clear"/>
        </w:rPr>
      </w:pPr>
      <w:bookmarkStart w:id="12" w:name="_Toc232064791"/>
      <w:r>
        <w:rPr/>
        <w:t>Таблица 1. Перечень объектов заказчика</w:t>
      </w:r>
      <w:bookmarkStart w:id="13" w:name="_GoBack"/>
      <w:bookmarkEnd w:id="12"/>
      <w:bookmarkEnd w:id="13"/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7"/>
        <w:gridCol w:w="2863"/>
        <w:gridCol w:w="1844"/>
        <w:gridCol w:w="1983"/>
        <w:gridCol w:w="2411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  <w:t>1.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РС(Я), </w:t>
            </w:r>
            <w:r>
              <w:rPr>
                <w:color w:val="000000" w:themeColor="text1"/>
                <w:sz w:val="24"/>
                <w:szCs w:val="24"/>
              </w:rPr>
              <w:t>Нюрбинский район, с. Кюндядя;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РС(Я),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Сунтарский район, с. Шея;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РС(Я), Сунтарский район, с. Эльгяй;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РС(Я), Верхневилюйский район, с. Онхой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 110/10 кВ «Кюндядя»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 110/10 кВ «Шея»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 110/10 кВ «Эльгяй»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ПС 110/10 кВ «Онхой»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</w:t>
            </w:r>
          </w:p>
        </w:tc>
      </w:tr>
    </w:tbl>
    <w:p>
      <w:pPr>
        <w:pStyle w:val="Heading4"/>
        <w:numPr>
          <w:ilvl w:val="1"/>
          <w:numId w:val="3"/>
        </w:numPr>
        <w:ind w:left="1276" w:hanging="556"/>
        <w:rPr/>
      </w:pPr>
      <w:bookmarkStart w:id="14" w:name="_Toc232064792"/>
      <w:bookmarkStart w:id="15" w:name="_Hlk49857604"/>
      <w:bookmarkStart w:id="16" w:name="_Toc46743509"/>
      <w:r>
        <w:rPr/>
        <w:t xml:space="preserve">Информация в отношении исполнения договора, </w:t>
      </w:r>
      <w:bookmarkStart w:id="17" w:name="_Hlk46492347"/>
      <w:r>
        <w:rPr/>
        <w:t xml:space="preserve">которая должна быть учтена при подготовке заявки </w:t>
      </w:r>
      <w:bookmarkEnd w:id="1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4"/>
      <w:bookmarkEnd w:id="15"/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bookmarkStart w:id="18" w:name="_Hlk48209761"/>
      <w:bookmarkEnd w:id="18"/>
      <w:r>
        <w:rPr>
          <w:rFonts w:eastAsia="Calibri" w:cs="Arial Unicode MS"/>
          <w:sz w:val="24"/>
          <w:szCs w:val="24"/>
        </w:rPr>
        <w:t>Заказчик предоставит подрядчику ПД и РД, разработанную ООО «АСК «Барс», шифр 794-21-1, 794-21-2, 794-21-3, 794-21-4 (Приложения №1, №2 к настоящим ТТ) по титулу: «Проектно-изыскательские работы «Замена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</w:t>
      </w:r>
      <w:r>
        <w:rPr>
          <w:rFonts w:eastAsia="Arial Unicode MS" w:cs="Arial Unicode MS"/>
          <w:sz w:val="24"/>
          <w:szCs w:val="24"/>
        </w:rPr>
        <w:t>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rFonts w:eastAsia="Calibri" w:cs="Arial Unicode MS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 w:cs="Arial Unicode MS"/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9" w:name="_Hlk48209761"/>
      <w:bookmarkStart w:id="20" w:name="_Toc46743510"/>
      <w:bookmarkStart w:id="21" w:name="_Toc50125126"/>
      <w:bookmarkStart w:id="22" w:name="_Toc232064793"/>
      <w:bookmarkStart w:id="23" w:name="_Toc51339693"/>
      <w:bookmarkEnd w:id="19"/>
      <w:bookmarkEnd w:id="21"/>
      <w:r>
        <w:rPr/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24" w:name="_Toc232064794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4"/>
    </w:p>
    <w:p>
      <w:pPr>
        <w:pStyle w:val="Heading3"/>
        <w:numPr>
          <w:ilvl w:val="2"/>
          <w:numId w:val="3"/>
        </w:numPr>
        <w:ind w:left="1276" w:hanging="556"/>
        <w:rPr/>
      </w:pPr>
      <w:bookmarkStart w:id="25" w:name="_Toc232064795"/>
      <w:r>
        <w:rPr/>
        <w:t>Требования к видам и объемам работ</w:t>
      </w:r>
      <w:bookmarkEnd w:id="25"/>
    </w:p>
    <w:p>
      <w:pPr>
        <w:pStyle w:val="Heading1"/>
        <w:numPr>
          <w:ilvl w:val="0"/>
          <w:numId w:val="0"/>
        </w:numPr>
        <w:ind w:left="0" w:hanging="0"/>
        <w:rPr/>
      </w:pPr>
      <w:bookmarkStart w:id="26" w:name="_Toc232064796"/>
      <w:bookmarkStart w:id="27" w:name="_Toc51339695"/>
      <w:r>
        <w:rPr/>
        <w:t xml:space="preserve">Таблица 2. Перечень </w:t>
      </w:r>
      <w:bookmarkEnd w:id="27"/>
      <w:r>
        <w:rPr/>
        <w:t>и объем выполняемых работ</w:t>
      </w:r>
      <w:bookmarkEnd w:id="26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2"/>
        <w:gridCol w:w="4849"/>
        <w:gridCol w:w="1986"/>
        <w:gridCol w:w="2125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x-none"/>
              </w:rPr>
              <w:t>Внесение изменений в ПД и РД «Замена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1276" w:hanging="556"/>
        <w:rPr/>
      </w:pPr>
      <w:bookmarkStart w:id="28" w:name="_Toc232064797"/>
      <w:bookmarkStart w:id="29" w:name="_Toc51339696"/>
      <w:r>
        <w:rPr/>
        <w:t xml:space="preserve">Требования </w:t>
      </w:r>
      <w:bookmarkEnd w:id="29"/>
      <w:r>
        <w:rPr/>
        <w:t>к срокам выполнения работ</w:t>
      </w:r>
      <w:bookmarkEnd w:id="28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0" w:name="_Toc50125126"/>
      <w:bookmarkStart w:id="31" w:name="_Toc232064798"/>
      <w:bookmarkStart w:id="32" w:name="_Toc51339697"/>
      <w:bookmarkStart w:id="33" w:name="_Toc50125127"/>
      <w:bookmarkEnd w:id="3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4" w:name="_Hlk50465284"/>
      <w:r>
        <w:rPr/>
        <w:t xml:space="preserve">Требования по срокам </w:t>
      </w:r>
      <w:bookmarkEnd w:id="32"/>
      <w:bookmarkEnd w:id="33"/>
      <w:bookmarkEnd w:id="34"/>
      <w:r>
        <w:rPr>
          <w:lang w:val="ru-RU"/>
        </w:rPr>
        <w:t>выполнения работ</w:t>
      </w:r>
      <w:bookmarkEnd w:id="3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961"/>
        <w:gridCol w:w="1986"/>
        <w:gridCol w:w="1983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5" w:name="_Toc46743510"/>
            <w:r>
              <w:rPr>
                <w:b/>
                <w:sz w:val="24"/>
                <w:szCs w:val="24"/>
              </w:rPr>
              <w:t>4</w:t>
            </w:r>
            <w:bookmarkEnd w:id="35"/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Внесение изменений в ПД и РД «Замена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 Сунтарского района, подстанции 110/10 кВ «Онхой» Верхневилюйского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76" w:hanging="556"/>
        <w:rPr/>
      </w:pPr>
      <w:bookmarkStart w:id="36" w:name="_Toc51339698"/>
      <w:bookmarkStart w:id="37" w:name="_Toc232064799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37"/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hd w:fill="auto" w:val="clear"/>
        </w:rPr>
      </w:pPr>
      <w:bookmarkStart w:id="38" w:name="_Toc232064800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36"/>
      <w:r>
        <w:rPr>
          <w:lang w:val="ru-RU"/>
        </w:rPr>
        <w:t>качеству продукции</w:t>
      </w:r>
      <w:bookmarkEnd w:id="38"/>
    </w:p>
    <w:tbl>
      <w:tblPr>
        <w:tblStyle w:val="af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5"/>
        <w:gridCol w:w="2176"/>
        <w:gridCol w:w="7140"/>
        <w:gridCol w:w="2419"/>
        <w:gridCol w:w="2222"/>
      </w:tblGrid>
      <w:tr>
        <w:trPr/>
        <w:tc>
          <w:tcPr>
            <w:tcW w:w="78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7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4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1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Основание для проектирования 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/>
              <w:spacing w:before="60" w:after="60"/>
              <w:ind w:left="29" w:righ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изменений в ПД и РД для «Замены систем короткозамыкателей и отделителей на элегазовые высоковольтные выключатели на ПС 110/10 кВ «Кюндядя» Нюрбинского района, подстанции 110/10 киловольт «Шея» и подстанции 110/10 кВ «Эльгяй».</w:t>
            </w:r>
          </w:p>
        </w:tc>
        <w:tc>
          <w:tcPr>
            <w:tcW w:w="241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2"/>
                <w:szCs w:val="20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Общие требования к проектной и рабочей документации</w:t>
            </w:r>
          </w:p>
        </w:tc>
        <w:tc>
          <w:tcPr>
            <w:tcW w:w="714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4860" w:leader="none"/>
                <w:tab w:val="left" w:pos="-4680" w:leader="none"/>
                <w:tab w:val="left" w:pos="1418" w:leader="none"/>
                <w:tab w:val="left" w:pos="1701" w:leader="none"/>
              </w:tabs>
              <w:spacing w:before="0" w:after="0"/>
              <w:ind w:firstLine="181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kern w:val="0"/>
                <w:sz w:val="24"/>
                <w:szCs w:val="24"/>
                <w:lang w:val="ru-RU" w:eastAsia="ja-JP" w:bidi="ar-SA"/>
              </w:rPr>
              <w:t>Проектная и рабочая документация должна быть откорректирована в объеме, необходимом для выполнения строительно-монтажных работ на проектируемом объекте.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MS Mincho" w:cs="Times New Roman"/>
                <w:kern w:val="0"/>
                <w:sz w:val="24"/>
                <w:szCs w:val="24"/>
                <w:lang w:val="ru-RU" w:eastAsia="ja-JP" w:bidi="ar-SA"/>
              </w:rPr>
              <w:t>По всем разделам выполнить необходимые рабочие чертежи и схемы, полный пакет документов достаточный для выполнения строительно-монтажных работ Подрядчиком, а также для проверки и согласования работ Техническим надзором и при необходимости другими заинтересованными лицами.</w:t>
            </w:r>
          </w:p>
        </w:tc>
        <w:tc>
          <w:tcPr>
            <w:tcW w:w="241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0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14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Земельный кодекс Российской Федерации от 25.10.2001 № 136-ФЗ.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Лесной кодекс Российской Федерации от 04.12.2006 № 200-ФЗ.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Водный кодекс Российской Федерации от 03.06.2006 № 74-ФЗ.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Воздушный кодекс Российской Федерации от 19.03.1997 № 60-ФЗ.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Градостроительный кодекс Российской Федерации от 29.12.2004 № 190-ФЗ.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Правила технологического функционирования электроэнергетических систем, утвержденные постановлением Правительства Российской Федерации от 31.01.2024 №84.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Правила технической эксплуатации электрических станций и сетей Российской Федерации, утвержденные приказом Министерства энергетики Российской Федерации от 29.11.2024 № 2321.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Методические указания по проектированию развития энергосистем, утвержденные приказом Министерства энергетики Российской Федерации от 12.07.2024 № 864.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указания по устойчивости энергосистем», утвержденные приказом Министерства энергетики Российской Федерации от 28.12.2020 №1195.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Правила создания (модернизации) комплексов и устройств релейной защиты и автоматики в энергосистеме, утвержденные Приказом Министерства энергетики Российской Федерации от 13.07.2020 № 556.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релейной защите и автоматике различных видов и ее функционированию в составе энергосистемы, утвержденные приказом Министерства энергетики Российской Федерации от 10.07.2020 № 546.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по плавке гололеда на проводах и грозозащитных тросах линий электропередачи, утвержденные приказом Министерства энергетики Российской Федерации от 11.08.2023 № 629.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перегрузочной способности трансформаторов и автотрансформаторов, установленных на объектах электроэнергетики, и ее поддержанию, утвержденные приказом Министерства энергетики Российской Федерации от 03.08.2023 № 583.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предотвращения развития и ликвидации нарушений нормального режима электрической части энергосистем и объектов электроэнергетики», утвержденные приказом Министерства энергетики Российской Федерации от 13.02.2019 № 99.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утвержденные приказом Министерства энергетики Российской Федерации от 01.12.2023 №1104.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Требования к каналам связи для функционирования релейной защиты и автоматики, утвержденные приказом Министерства энергетики Российской Федерации от 13.02.2019 № 97.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Правила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Министерства энергетики Российской Федерации от 15.01.2024 № 7.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Постановление Правительства Российской Федерации от 31.10.2009 № 879 «Об утверждении Положения о единицах величин, допускаемых к применению в Российской Федерации».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Постановление Правительства Российской Федерации от 19.02.2015 №138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Постановление Главного государственного врача Российской Федерации от 09.09.2010 № 122 «Об утверждении СанПин 2.2.1/2.1.1.2739-10. Изменения и дополнения № 3 к СанПин 2.2.1/2.1.1.1200-03. Санитарно-защитные зоны и санитарная классификация предприятий, сооружений и иных объектов. Новая редакция».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«Об электроэнергетике» от 26.03.2003 № 35-ФЗ (в редакции от 25.10.2024 №349-ФЗ).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«Об обеспечении единства измерений» от 26.06.2008 № 102-ФЗ (в редакции от 08.08.2024 №232-ФЗ).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техническом регулировании» от 27.12.2002 № 184-ФЗ (в редакции от 25.12.2023 №651-ФЗ).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связи» от 07.07.2003 № 126-ФЗ (в редакции от 23.07.2025 №251-ФЗ).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«Об охране окружающей среды» от 10.01.2002 № 7 (в редакции от 08.08.2024 №296-ФЗ).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«Об охране атмосферного воздуха» от 04.05.1999 № 96 (в редакции от 08.08.2024 №232-ФЗ).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защите населения и территорий от чрезвычайных ситуаций природного и техногенного характера» от 21.12.1994 № 68-ФЗ (в редакции от 08.08.2024 №232-ФЗ).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пожарной безопасности» от 21.12.1994 № 69-ФЗ (в редакции от 08.08.2024 №232-ФЗ).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промышленной безопасности опасных производственных объектов» от 21.07.1997 № 116-ФЗ (в редакции от 08.08.2024 №311-ФЗ).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«Технический регламент о требованиях пожарной безопасности» от 22.07.2008 № 123-ФЗ (в редакции от 25.12.2023 №665-ФЗ).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«Технический регламент о безопасности зданий и сооружений» от 08.08.2024 №261-ФЗ.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Федерации» от 26.07.2017 № 191-ФЗ.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«Об отходах производства и потребления» от 24.06.1998 №89-ФЗ (в редакции от 26.12.2024 №497-ФЗ).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санитарно-эпидемиологическом благополучии населения» от 30.03.1999 № 52-ФЗ (в редакции от 26.12.2024 №485-ФЗ).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водоснабжении и водоотведении» от 07.12.2011 № 416-ФЗ (в редакции от 08.08.2024 №232-ФЗ).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Федеральный закон «О Государственном кадастре недвижимости» от 24.07.2007 № 221-ФЗ (редакция от 26.12.2024)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left="334" w:hanging="36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Закон от 21.02.1992 № 2395-1 «О недрах» (в редакции от 08.08.2024 №232-ФЗ).</w:t>
            </w:r>
          </w:p>
        </w:tc>
        <w:tc>
          <w:tcPr>
            <w:tcW w:w="241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lang w:val="ru-RU" w:eastAsia="x-none" w:bidi="ar-SA"/>
              </w:rPr>
              <w:t>Перечень вносимых изменений в существующую ПД и РД</w:t>
            </w:r>
          </w:p>
        </w:tc>
        <w:tc>
          <w:tcPr>
            <w:tcW w:w="714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55" w:leader="none"/>
              </w:tabs>
              <w:spacing w:before="0" w:after="0"/>
              <w:jc w:val="both"/>
              <w:rPr>
                <w:sz w:val="22"/>
                <w:highlight w:val="yellow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x-none" w:bidi="ar-SA"/>
              </w:rPr>
              <w:t>Замена систем АИИС КУЭ на двухуровневую систему АИИС КУЭ (Облачное хранилище (сервер) — прибор учета). Установка GSM оборудования «Телеофис» вместо УСПД.</w:t>
            </w:r>
          </w:p>
        </w:tc>
        <w:tc>
          <w:tcPr>
            <w:tcW w:w="241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322" w:hanging="10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0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71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Cs/>
                <w:sz w:val="22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0"/>
                <w:lang w:val="ru-RU" w:eastAsia="ru-RU" w:bidi="ar-SA"/>
              </w:rPr>
              <w:t xml:space="preserve">Допуск персонала подрядчика для выполнения работ должен осуществляться в соответствии с ИСМ РГ-00-032.06-24 «Регламентом допуска подрядных организаций к выполнению работ на объектах ПАО «Якутскэнерго», Стандарта ПАО «Якутскэнерго» «Положение по обращению с отходами», размещенных на сайте компании по адресу: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hyperlink r:id="rId5"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https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www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yakutskenergo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ru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/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company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/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integrirovannaya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sistema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-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en-US" w:eastAsia="ru-RU" w:bidi="ar-SA"/>
                </w:rPr>
                <w:t>menedzhmenta</w:t>
              </w:r>
              <w:r>
                <w:rPr>
                  <w:rStyle w:val="Hyperlink"/>
                  <w:rFonts w:eastAsia="Times New Roman" w:cs="Times New Roman"/>
                  <w:iCs/>
                  <w:kern w:val="0"/>
                  <w:sz w:val="22"/>
                  <w:szCs w:val="20"/>
                  <w:lang w:val="ru-RU" w:eastAsia="ru-RU" w:bidi="ar-SA"/>
                </w:rPr>
                <w:t>/</w:t>
              </w:r>
            </w:hyperlink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38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1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142" w:hanging="189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Cs/>
                <w:sz w:val="22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4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before="0" w:after="12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Выполнение проектных работ должно осуществляться силами:</w:t>
            </w:r>
          </w:p>
          <w:p>
            <w:pPr>
              <w:pStyle w:val="Normal"/>
              <w:widowControl/>
              <w:tabs>
                <w:tab w:val="clear" w:pos="708"/>
                <w:tab w:val="left" w:pos="250" w:leader="none"/>
              </w:tabs>
              <w:spacing w:before="0" w:after="12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ab/>
              <w:t>специалист-проектировщик – не менее 2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pacing w:before="0" w:after="12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руководителя работ – не менее 1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 о квалификации персонала, разряде и группе по электробезопасности  с приложением копий  удостоверений на производство специальных видов работ.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-10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71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2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4"/>
                <w:lang w:val="ru-RU" w:eastAsia="ru-RU" w:bidi="ar-SA"/>
              </w:rPr>
              <w:t>Подрядчик должен: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03" w:hanging="203"/>
              <w:contextualSpacing/>
              <w:jc w:val="left"/>
              <w:rPr>
                <w:iCs/>
                <w:sz w:val="22"/>
              </w:rPr>
            </w:pPr>
            <w:r>
              <w:rPr>
                <w:rFonts w:cs="Times New Roman"/>
                <w:iCs/>
                <w:kern w:val="0"/>
                <w:sz w:val="22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313" w:leader="none"/>
              </w:tabs>
              <w:spacing w:before="0" w:after="0"/>
              <w:ind w:left="720" w:hanging="690"/>
              <w:contextualSpacing/>
              <w:jc w:val="left"/>
              <w:rPr>
                <w:iCs/>
                <w:sz w:val="22"/>
              </w:rPr>
            </w:pPr>
            <w:r>
              <w:rPr>
                <w:rFonts w:cs="Times New Roman"/>
                <w:iCs/>
                <w:kern w:val="0"/>
                <w:sz w:val="22"/>
                <w:lang w:val="ru-RU" w:eastAsia="ru-RU" w:bidi="ar-SA"/>
              </w:rPr>
              <w:t>Подрядчик обязан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lang w:val="ru-RU" w:eastAsia="ru-RU" w:bidi="ar-SA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38" w:hanging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6.1.1.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0"/>
                <w:lang w:val="ru-RU" w:eastAsia="ru-RU" w:bidi="ar-SA"/>
              </w:rPr>
              <w:t xml:space="preserve">Состав подлежащих корректировке разделов ПД и РД </w:t>
            </w:r>
          </w:p>
        </w:tc>
        <w:tc>
          <w:tcPr>
            <w:tcW w:w="71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Проектная документация: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Том 5.1.4. 794-21-2-ИОС1.4;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Том 5.5. 794-21-2-ИОС5;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Том 11. 794-21-2-СМ.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Рабочая документация: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- 794-21-2-УЭ1;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- 794-21-2-УЭ2;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- 794-21-2-УЭ3;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- 794-21-2-УЭ4;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- 794-21-2-СС1;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- 794-21-2-СС2;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- 794-21-2-СС3;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- 794-21-2-СС4.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Технические требования: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- 794-21-2-ТТ14.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7.1.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0"/>
                <w:lang w:val="ru-RU" w:eastAsia="ru-RU" w:bidi="ar-SA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71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</w:tabs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0"/>
                <w:lang w:val="ru-RU" w:eastAsia="ru-RU" w:bidi="ar-SA"/>
              </w:rPr>
              <w:t xml:space="preserve">После утверждения проектной или рабочей документации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автор проекта формирует и направляет в ЗЭС ПАО «Якутскэнерго» четыре экземпляра документации в бумажном виде и один экземпляр в электронном виде в редактируемых форматах (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DOC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DOCX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XLS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XLSX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DWG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DXF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XML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GSFX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 и других), а также скомплектованные разделы в формате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PDF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 xml:space="preserve">. Текстовые документы, представляемые в формате 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en-US" w:eastAsia="ru-RU" w:bidi="ar-SA"/>
              </w:rPr>
              <w:t>PDF</w:t>
            </w: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, должны иметь текстовый слой (т.е. должна быть обеспечена возможность поиска по тексту документов).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Электронная версия документации должна соответствовать ведомости основного комплекта проектной документации и комплектоваться отдельно по каждому тому. Наименования файлов томов, сшивов чертежей должны соответствовать названию документации, представленной на бумажных носителях.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8.1.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 на результат работ</w:t>
            </w:r>
          </w:p>
        </w:tc>
        <w:tc>
          <w:tcPr>
            <w:tcW w:w="71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 должен составлять 36 месяцев с даты подписания Акта сдачи-приемки выполненных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8.2.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/>
              <w:spacing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подрядчика</w:t>
            </w:r>
          </w:p>
        </w:tc>
        <w:tc>
          <w:tcPr>
            <w:tcW w:w="71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Согласно условиям договора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9.</w:t>
            </w:r>
          </w:p>
        </w:tc>
        <w:tc>
          <w:tcPr>
            <w:tcW w:w="9316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ind w:left="142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9.1.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4"/>
                <w:lang w:val="ru-RU" w:eastAsia="ru-RU" w:bidi="ar-SA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1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4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39" w:name="_Toc51339699"/>
      <w:bookmarkStart w:id="40" w:name="_Toc46743519"/>
      <w:bookmarkStart w:id="41" w:name="_Toc232064801"/>
      <w:bookmarkStart w:id="42" w:name="_Toc53393312"/>
      <w:r>
        <w:rPr/>
        <w:t>Требования к документации по ценообразованию</w:t>
      </w:r>
      <w:bookmarkEnd w:id="42"/>
      <w:r>
        <w:rPr/>
        <w:t xml:space="preserve"> на этапе закупки</w:t>
      </w:r>
      <w:bookmarkEnd w:id="4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ListParagraph"/>
        <w:ind w:left="709" w:hanging="425"/>
        <w:rPr>
          <w:iCs/>
        </w:rPr>
      </w:pPr>
      <w:r>
        <w:rPr>
          <w:i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  <w:br/>
        <w:t>Стоимость предложений участников определяется по формуле:</w:t>
        <w:br/>
        <w:t>P=N*k,</w:t>
        <w:br/>
        <w:t>где P – стоимость предложения участника;</w:t>
        <w:br/>
        <w:t>N – 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закупке;</w:t>
        <w:br/>
        <w:t>k – 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запятой.</w:t>
      </w:r>
    </w:p>
    <w:p>
      <w:pPr>
        <w:pStyle w:val="ListParagraph"/>
        <w:ind w:left="709" w:hanging="425"/>
        <w:rPr>
          <w:b/>
          <w:iCs/>
          <w:lang w:val="x-none" w:eastAsia="x-none"/>
        </w:rPr>
      </w:pPr>
      <w:r>
        <w:rPr>
          <w:iCs/>
        </w:rPr>
        <w:t>3.2. Дополнительные документы по ценообразованию (сметная документация) в состав заявки Участника не включается.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rStyle w:val="Style8"/>
          <w:b/>
          <w:i w:val="false"/>
          <w:i w:val="false"/>
          <w:caps/>
          <w:shd w:fill="auto" w:val="clear"/>
        </w:rPr>
      </w:pPr>
      <w:bookmarkStart w:id="43" w:name="_Toc51339699"/>
      <w:bookmarkStart w:id="44" w:name="_Toc46743519"/>
      <w:bookmarkStart w:id="45" w:name="_Toc232064802"/>
      <w:r>
        <w:rPr/>
        <w:t>Приложения</w:t>
      </w:r>
      <w:bookmarkEnd w:id="43"/>
      <w:bookmarkEnd w:id="44"/>
      <w:bookmarkEnd w:id="4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4.1. Приложение №1: Проектная документация в составе: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1. Том 1. 794-21-2-ПЗ;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2. Том 2. 794-21-2-ПЗУ;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3. Том 4. 794-21-2-КР;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4. Том 5.1.1. 794-21-2-ИОС1.1;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5. Том 5.1.2. 794-21-2-ИОС1.2;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6. Том 5.1.4. 794-21-2-ИОС1.4;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7. Том 5.1.5. 794-21-2- ИОС1.5;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8. Том 5.5. 794-21-2-ИОС5;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9. Том 6. 794-21-2-ПОС;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10. Том 7. 794-21-2- ПОД;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11. Том 8. 794-21-2- ООС;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12. Том 9. 794-21-2-ПБ;</w:t>
      </w:r>
    </w:p>
    <w:p>
      <w:pPr>
        <w:pStyle w:val="Normal"/>
        <w:ind w:left="284" w:hanging="0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13. Том 10. 794-21-2-ЭЭ.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4.2. Приложение №2: Рабочая документация в составе: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1. 794-21-2-АС1;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46" w:name="_Ref40301253"/>
      <w:r>
        <w:rPr>
          <w:sz w:val="24"/>
          <w:szCs w:val="24"/>
        </w:rPr>
        <w:t>794-21-2-АС2;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3. 794-21-2-АС3;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4. 794-21-2-АС4;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5. 794-21-2-РЗА1;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6. 794-21-2-РЗА2;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7. 794-21-2-РЗА3;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8. 794-21-2-РЗА4;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9. 794-21-2-СОПТ1;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10. 794-21-2-СОПТ2;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11. 794-21-2-СОПТ3;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12. 794-21-2-СОПТ4;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13. 794-21-2-СС1;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14. 794-21-2-СС2;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15. 794-21-2-СС3;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16. 794-21-2-СС4;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17. 794-21-2-СС5;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18. 794-21-2-СС6;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19. 794-21-2-СС7;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20. 794-21-2-ССПИ1;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21. 794-21-2-ССПИ2;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22. 794-21-2-ССПИ3;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23. 794-21-2-ССПИ4;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24. 794-21-2-УЭ1;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25. 794-21-2-УЭ2;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26. 794-21-2-УЭ3;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27. 794-21-2-УЭ4;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28. 794-21-2-ЭР1;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29. 794-21-2-ЭР2;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30. 794-21-2-ЭР3;</w:t>
      </w:r>
    </w:p>
    <w:p>
      <w:pPr>
        <w:pStyle w:val="Normal"/>
        <w:ind w:left="284" w:hanging="0"/>
        <w:rPr>
          <w:sz w:val="24"/>
          <w:szCs w:val="24"/>
        </w:rPr>
      </w:pPr>
      <w:r>
        <w:rPr>
          <w:sz w:val="24"/>
          <w:szCs w:val="24"/>
        </w:rPr>
        <w:t>31. 794-21-2-ЭР4.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End w:id="4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Garamond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9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9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095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b476b3"/>
    <w:pPr>
      <w:keepNext w:val="true"/>
      <w:numPr>
        <w:ilvl w:val="2"/>
        <w:numId w:val="3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476b3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9e3c73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www.yakutskenergo.ru/company/integrirovannaya-sistema-menedzhmenta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104C-B2EB-44BF-A3EA-87070FC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AlterOffice/2025.3.1.0$Windows_X86_64 LibreOffice_project/431cd1b79110582f53535c95ed0a2449aadc8bf9</Application>
  <AppVersion>15.0000</AppVersion>
  <Pages>15</Pages>
  <Words>2474</Words>
  <Characters>17228</Characters>
  <CharactersWithSpaces>19381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2026-06-16T06:33:00Z</dcterms:created>
  <dc:creator>Быстров Олег Геннадьевич</dc:creator>
  <dc:description/>
  <dc:language>ru-RU</dc:language>
  <cp:lastModifiedBy>Виктор Данилович Киприянов</cp:lastModifiedBy>
  <cp:lastPrinted>2006-07-26T14:04:00Z</cp:lastPrinted>
  <dcterms:modified xsi:type="dcterms:W3CDTF">2026-06-17T17:07:33Z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