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"/>
        <w:numPr>
          <w:ilvl w:val="0"/>
          <w:numId w:val="0"/>
        </w:numPr>
        <w:spacing w:before="120" w:after="480"/>
        <w:ind w:left="0" w:hanging="0"/>
        <w:jc w:val="center"/>
        <w:rPr>
          <w:rFonts w:ascii="Times New Roman" w:hAnsi="Times New Roman"/>
          <w:sz w:val="28"/>
          <w:szCs w:val="28"/>
        </w:rPr>
      </w:pPr>
      <w:r>
        <w:rPr/>
        <w:drawing>
          <wp:inline distT="0" distB="0" distL="0" distR="0">
            <wp:extent cx="5886450" cy="100012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Запрос коммерческих предложений на</w:t>
      </w:r>
    </w:p>
    <w:p>
      <w:pPr>
        <w:pStyle w:val="Normal"/>
        <w:spacing w:lineRule="auto" w:line="240"/>
        <w:jc w:val="center"/>
        <w:rPr/>
      </w:pPr>
      <w:r>
        <w:rPr>
          <w:b/>
          <w:bCs/>
          <w:sz w:val="26"/>
          <w:szCs w:val="26"/>
        </w:rPr>
        <w:t>«</w:t>
      </w:r>
      <w:r>
        <w:rPr>
          <w:b/>
          <w:bCs/>
          <w:color w:val="0F1115"/>
          <w:kern w:val="2"/>
          <w:sz w:val="24"/>
          <w:szCs w:val="24"/>
        </w:rPr>
        <w:t>Комплекс услуг по восстановлению работоспособности терминалов ЭСМО Филиала ПАО «РусГидро» — «Бурейская ГЭС»</w:t>
      </w:r>
    </w:p>
    <w:p>
      <w:pPr>
        <w:pStyle w:val="Normal"/>
        <w:spacing w:lineRule="auto" w:line="240"/>
        <w:jc w:val="center"/>
        <w:rPr>
          <w:b/>
          <w:bCs/>
        </w:rPr>
      </w:pPr>
      <w:r>
        <w:rPr>
          <w:b/>
          <w:bCs/>
        </w:rPr>
      </w:r>
    </w:p>
    <w:p>
      <w:pPr>
        <w:pStyle w:val="BodyText"/>
        <w:numPr>
          <w:ilvl w:val="0"/>
          <w:numId w:val="0"/>
        </w:numPr>
        <w:spacing w:lineRule="auto" w:line="240" w:before="0" w:after="0"/>
        <w:ind w:left="0" w:right="0" w:hanging="0"/>
        <w:rPr>
          <w:sz w:val="26"/>
          <w:szCs w:val="26"/>
        </w:rPr>
      </w:pPr>
      <w:r>
        <w:rPr>
          <w:sz w:val="26"/>
          <w:szCs w:val="26"/>
        </w:rPr>
        <w:t xml:space="preserve">1. Филиал ПАО «РусГидро» - «Бурейская ГЭС»  (далее – Заказчик) сообщает о проведении анализа коммерческих предложений потенциальных исполнителей  на право заключения договора на </w:t>
      </w:r>
      <w:r>
        <w:rPr>
          <w:b w:val="false"/>
          <w:bCs w:val="false"/>
          <w:sz w:val="26"/>
          <w:szCs w:val="26"/>
        </w:rPr>
        <w:t>«</w:t>
      </w:r>
      <w:r>
        <w:rPr>
          <w:b w:val="false"/>
          <w:bCs w:val="false"/>
          <w:color w:val="0F1115"/>
          <w:spacing w:val="-4"/>
          <w:w w:val="105"/>
          <w:kern w:val="2"/>
          <w:sz w:val="24"/>
          <w:szCs w:val="24"/>
        </w:rPr>
        <w:t>Комплекс услуг по восстановлению работоспособности терминалов ЭСМО Филиала ПАО «РусГидро» — «Бурейская ГЭС»</w:t>
      </w:r>
      <w:r>
        <w:rPr>
          <w:b w:val="false"/>
          <w:bCs w:val="false"/>
          <w:sz w:val="26"/>
          <w:szCs w:val="26"/>
        </w:rPr>
        <w:t>.</w:t>
      </w:r>
    </w:p>
    <w:p>
      <w:pPr>
        <w:pStyle w:val="BodyText"/>
        <w:numPr>
          <w:ilvl w:val="0"/>
          <w:numId w:val="0"/>
        </w:numPr>
        <w:spacing w:lineRule="auto" w:line="240" w:before="0" w:after="0"/>
        <w:ind w:left="0" w:right="0" w:hanging="0"/>
        <w:rPr>
          <w:sz w:val="26"/>
          <w:szCs w:val="26"/>
        </w:rPr>
      </w:pPr>
      <w:r>
        <w:rPr>
          <w:sz w:val="26"/>
          <w:szCs w:val="26"/>
        </w:rPr>
        <w:t xml:space="preserve">2. Подробные требования к услугам (в том числе, сведения об объеме, месте, сроках их оказания) приведены в приложении 1 к настоящему запросу; </w:t>
      </w:r>
    </w:p>
    <w:p>
      <w:pPr>
        <w:pStyle w:val="BodyText"/>
        <w:numPr>
          <w:ilvl w:val="0"/>
          <w:numId w:val="0"/>
        </w:numPr>
        <w:spacing w:lineRule="auto" w:line="240" w:before="0" w:after="0"/>
        <w:ind w:left="0" w:right="0" w:hanging="0"/>
        <w:rPr>
          <w:sz w:val="26"/>
          <w:szCs w:val="26"/>
        </w:rPr>
      </w:pPr>
      <w:r>
        <w:rPr>
          <w:sz w:val="26"/>
          <w:szCs w:val="26"/>
        </w:rPr>
        <w:t>3. 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BodyText"/>
        <w:numPr>
          <w:ilvl w:val="0"/>
          <w:numId w:val="0"/>
        </w:numPr>
        <w:spacing w:lineRule="auto" w:line="240" w:before="0" w:after="0"/>
        <w:ind w:left="0" w:right="0" w:hanging="0"/>
        <w:rPr>
          <w:sz w:val="26"/>
          <w:szCs w:val="26"/>
        </w:rPr>
      </w:pPr>
      <w:r>
        <w:rPr>
          <w:sz w:val="26"/>
          <w:szCs w:val="26"/>
        </w:rPr>
        <w:t>4. Ответ с коммерческим предложением должен быть оформлен на официальном бланке Исполнителя и заверен подписью уполномоченного лица, а также печатью организации, и в обязательном порядке содержать следующую информацию: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right="0" w:hanging="0"/>
        <w:rPr>
          <w:sz w:val="26"/>
          <w:szCs w:val="26"/>
        </w:rPr>
      </w:pPr>
      <w:r>
        <w:rPr>
          <w:sz w:val="26"/>
          <w:szCs w:val="26"/>
        </w:rPr>
        <w:t>- дату направления предложения;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right="0" w:hanging="0"/>
        <w:rPr>
          <w:sz w:val="26"/>
          <w:szCs w:val="26"/>
        </w:rPr>
      </w:pPr>
      <w:r>
        <w:rPr>
          <w:sz w:val="26"/>
          <w:szCs w:val="26"/>
        </w:rPr>
        <w:t>- полное наименование Исполнителя,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right="0" w:hanging="0"/>
        <w:rPr>
          <w:sz w:val="26"/>
          <w:szCs w:val="26"/>
        </w:rPr>
      </w:pPr>
      <w:r>
        <w:rPr>
          <w:sz w:val="26"/>
          <w:szCs w:val="26"/>
        </w:rPr>
        <w:t>- юридический адрес, почтовый адрес, ИНН [для юридических лиц] / паспортные данные, адрес регистрации, ИНН (при наличии) [для физических лиц];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right="0" w:hanging="0"/>
        <w:rPr>
          <w:sz w:val="26"/>
          <w:szCs w:val="26"/>
        </w:rPr>
      </w:pPr>
      <w:r>
        <w:rPr>
          <w:sz w:val="26"/>
          <w:szCs w:val="26"/>
        </w:rPr>
        <w:t>- контактные данные: номер телефона, e-mail, ФИО контактного лица;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right="0" w:hanging="0"/>
        <w:rPr>
          <w:sz w:val="26"/>
          <w:szCs w:val="26"/>
        </w:rPr>
      </w:pPr>
      <w:r>
        <w:rPr>
          <w:sz w:val="26"/>
          <w:szCs w:val="26"/>
        </w:rPr>
        <w:t>- цену предложения в рублях (без учета НДС и с учетом НДС).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right="0" w:hanging="0"/>
        <w:rPr>
          <w:highlight w:val="none"/>
          <w:shd w:fill="auto" w:val="clear"/>
        </w:rPr>
      </w:pPr>
      <w:r>
        <w:rPr>
          <w:sz w:val="26"/>
          <w:szCs w:val="26"/>
          <w:shd w:fill="auto" w:val="clear"/>
        </w:rPr>
        <w:t>6. Срок подачи коммерческих предложений: до 09:00 (МСК) 2</w:t>
      </w:r>
      <w:r>
        <w:rPr>
          <w:sz w:val="26"/>
          <w:szCs w:val="26"/>
          <w:shd w:fill="auto" w:val="clear"/>
        </w:rPr>
        <w:t>3</w:t>
      </w:r>
      <w:r>
        <w:rPr>
          <w:sz w:val="26"/>
          <w:szCs w:val="26"/>
          <w:shd w:fill="auto" w:val="clear"/>
        </w:rPr>
        <w:t>.06.2026г.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right="0" w:hanging="0"/>
        <w:rPr/>
      </w:pPr>
      <w:bookmarkStart w:id="0" w:name="_GoBack"/>
      <w:bookmarkEnd w:id="0"/>
      <w:r>
        <w:rPr>
          <w:sz w:val="26"/>
          <w:szCs w:val="26"/>
        </w:rPr>
        <w:t xml:space="preserve">7. Предложения должны быть направлены в виде сканированной электронной копии и подаются по адресу ЭТП Электронная (торговая) площадка: АО «Российский аукционный дом» </w:t>
      </w:r>
      <w:hyperlink r:id="rId3">
        <w:r>
          <w:rPr>
            <w:rStyle w:val="Hyperlink"/>
            <w:rFonts w:eastAsia="" w:eastAsiaTheme="majorEastAsia"/>
            <w:sz w:val="26"/>
            <w:szCs w:val="26"/>
          </w:rPr>
          <w:t>https://tender.lot-online.ru</w:t>
        </w:r>
      </w:hyperlink>
    </w:p>
    <w:p>
      <w:pPr>
        <w:pStyle w:val="Normal"/>
        <w:keepNext w:val="true"/>
        <w:numPr>
          <w:ilvl w:val="0"/>
          <w:numId w:val="0"/>
        </w:numPr>
        <w:ind w:left="0" w:hanging="0"/>
        <w:jc w:val="lef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lineRule="auto" w:line="240"/>
        <w:ind w:left="0" w:hanging="0"/>
        <w:jc w:val="left"/>
        <w:rPr>
          <w:sz w:val="26"/>
          <w:szCs w:val="26"/>
        </w:rPr>
      </w:pPr>
      <w:r>
        <w:rPr>
          <w:sz w:val="26"/>
          <w:szCs w:val="26"/>
        </w:rPr>
        <w:t>Приложения:</w:t>
      </w:r>
    </w:p>
    <w:p>
      <w:pPr>
        <w:pStyle w:val="Normal"/>
        <w:numPr>
          <w:ilvl w:val="0"/>
          <w:numId w:val="0"/>
        </w:numPr>
        <w:spacing w:lineRule="auto" w:line="240"/>
        <w:ind w:left="0" w:hanging="0"/>
        <w:jc w:val="left"/>
        <w:rPr>
          <w:sz w:val="26"/>
          <w:szCs w:val="26"/>
        </w:rPr>
      </w:pPr>
      <w:r>
        <w:rPr>
          <w:sz w:val="26"/>
          <w:szCs w:val="26"/>
        </w:rPr>
        <w:t>1. Техническое задание.</w:t>
      </w:r>
    </w:p>
    <w:sectPr>
      <w:type w:val="nextPage"/>
      <w:pgSz w:w="11906" w:h="16838"/>
      <w:pgMar w:left="1418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d1c15"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8d1c15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8d1c15"/>
    <w:pPr>
      <w:keepNext w:val="true"/>
      <w:numPr>
        <w:ilvl w:val="2"/>
        <w:numId w:val="2"/>
      </w:numPr>
      <w:spacing w:lineRule="auto" w:line="240" w:before="120" w:after="120"/>
      <w:jc w:val="left"/>
      <w:outlineLvl w:val="2"/>
    </w:pPr>
    <w:rPr>
      <w:b/>
    </w:rPr>
  </w:style>
  <w:style w:type="paragraph" w:styleId="Heading4">
    <w:name w:val="Heading 4"/>
    <w:basedOn w:val="Normal"/>
    <w:next w:val="Normal"/>
    <w:link w:val="4"/>
    <w:qFormat/>
    <w:rsid w:val="008d1c15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pacing w:lineRule="auto" w:line="240" w:before="240" w:after="120"/>
      <w:ind w:left="1134" w:firstLine="567"/>
      <w:outlineLvl w:val="3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qFormat/>
    <w:rsid w:val="008d1c15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8d1c15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Style6" w:customStyle="1">
    <w:name w:val="Символ сноски"/>
    <w:uiPriority w:val="99"/>
    <w:qFormat/>
    <w:rsid w:val="008d1c15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7" w:customStyle="1">
    <w:name w:val="Текст сноски Знак"/>
    <w:basedOn w:val="DefaultParagraphFont"/>
    <w:uiPriority w:val="99"/>
    <w:qFormat/>
    <w:rsid w:val="008d1c1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комментарий"/>
    <w:qFormat/>
    <w:rsid w:val="008d1c15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8d1c15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ru-RU"/>
    </w:rPr>
  </w:style>
  <w:style w:type="character" w:styleId="Hyperlink">
    <w:name w:val="Hyperlink"/>
    <w:basedOn w:val="DefaultParagraphFont"/>
    <w:uiPriority w:val="99"/>
    <w:unhideWhenUsed/>
    <w:rsid w:val="00225e37"/>
    <w:rPr>
      <w:color w:val="0563C1" w:themeColor="hyperlink"/>
      <w:u w:val="single"/>
    </w:rPr>
  </w:style>
  <w:style w:type="character" w:styleId="Style9">
    <w:name w:val="Основной шрифт абзаца"/>
    <w:qFormat/>
    <w:rPr/>
  </w:style>
  <w:style w:type="character" w:styleId="31">
    <w:name w:val="Основной текст (3)_"/>
    <w:basedOn w:val="Style9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7"/>
      <w:szCs w:val="27"/>
      <w:u w:val="none"/>
    </w:rPr>
  </w:style>
  <w:style w:type="character" w:styleId="32">
    <w:name w:val="Основной текст (3) + Курсив"/>
    <w:basedOn w:val="31"/>
    <w:qFormat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vertAlign w:val="baseline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FootnoteText">
    <w:name w:val="Footnote Text"/>
    <w:basedOn w:val="Normal"/>
    <w:link w:val="Style7"/>
    <w:uiPriority w:val="99"/>
    <w:rsid w:val="008d1c15"/>
    <w:pPr>
      <w:spacing w:lineRule="auto" w:line="240"/>
    </w:pPr>
    <w:rPr>
      <w:sz w:val="20"/>
    </w:rPr>
  </w:style>
  <w:style w:type="paragraph" w:styleId="11" w:customStyle="1">
    <w:name w:val="Стиль Заголовок 1 + по ширине"/>
    <w:basedOn w:val="Heading1"/>
    <w:qFormat/>
    <w:rsid w:val="008d1c15"/>
    <w:pPr>
      <w:numPr>
        <w:ilvl w:val="0"/>
        <w:numId w:val="2"/>
      </w:numPr>
      <w:spacing w:lineRule="auto" w:line="240" w:before="480" w:after="24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tender.lot-online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AlterOffice/2025.3.1.0$Linux_X86_64 LibreOffice_project/431cd1b79110582f53535c95ed0a2449aadc8bf9</Application>
  <AppVersion>15.0000</AppVersion>
  <Pages>1</Pages>
  <Words>249</Words>
  <Characters>1699</Characters>
  <CharactersWithSpaces>1939</CharactersWithSpaces>
  <Paragraphs>16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2025-04-01T09:13:00Z</dcterms:created>
  <dc:creator>Лысенко Екатерина Алексеевна</dc:creator>
  <dc:description/>
  <dc:language>ru-RU</dc:language>
  <cp:lastModifiedBy>golovachevamvi@corp.gidroogk.com</cp:lastModifiedBy>
  <dcterms:modified xsi:type="dcterms:W3CDTF">2026-06-18T16:11:23Z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