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ТЕХНИЧЕСКИЕ ТРЕБОВАНИЯ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sz w:val="26"/>
          <w:szCs w:val="26"/>
        </w:rPr>
      </w:pPr>
      <w:r>
        <w:rPr>
          <w:rStyle w:val="Style"/>
          <w:rFonts w:cs="Times New Roman"/>
          <w:b w:val="false"/>
          <w:bCs/>
          <w:i w:val="false"/>
          <w:iCs/>
          <w:color w:val="000000"/>
          <w:sz w:val="26"/>
          <w:szCs w:val="26"/>
          <w:shd w:fill="FFFFFF" w:val="clear"/>
        </w:rPr>
        <w:t>ОКПД2 28.49 Поставка комплектующих для алмазной резки и сверления на Нижегородской ГЭС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(Лот № </w:t>
      </w:r>
      <w:r>
        <w:rPr>
          <w:rFonts w:eastAsia="Geneva" w:cs="Times New Roman"/>
          <w:color w:val="000000"/>
          <w:sz w:val="26"/>
          <w:szCs w:val="26"/>
          <w:shd w:fill="FFFFFF" w:val="clear"/>
        </w:rPr>
        <w:t>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sectPr>
          <w:type w:val="nextPage"/>
          <w:pgSz w:w="11906" w:h="16838"/>
          <w:pgMar w:left="1318" w:right="851" w:gutter="0" w:header="0" w:top="707" w:footer="0" w:bottom="649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4"/>
        <w:numPr>
          <w:ilvl w:val="0"/>
          <w:numId w:val="6"/>
        </w:numPr>
        <w:tabs>
          <w:tab w:val="clear" w:pos="709"/>
          <w:tab w:val="left" w:pos="0" w:leader="none"/>
        </w:tabs>
        <w:ind w:left="426" w:hanging="360"/>
        <w:jc w:val="center"/>
        <w:rPr>
          <w:color w:val="000000" w:themeColor="text1"/>
        </w:rPr>
      </w:pPr>
      <w:r>
        <w:rPr>
          <w:color w:val="000000" w:themeColor="text1"/>
        </w:rPr>
        <w:t>Общие сведения</w:t>
      </w:r>
    </w:p>
    <w:p>
      <w:pPr>
        <w:pStyle w:val="Heading4"/>
        <w:numPr>
          <w:ilvl w:val="1"/>
          <w:numId w:val="7"/>
        </w:numPr>
        <w:ind w:left="0" w:firstLine="709"/>
        <w:rPr>
          <w:color w:val="000000" w:themeColor="text1"/>
        </w:rPr>
      </w:pPr>
      <w:bookmarkStart w:id="0" w:name="_Toc46743506"/>
      <w:bookmarkStart w:id="1" w:name="_Toc75446569"/>
      <w:bookmarkStart w:id="2" w:name="_Toc75446568"/>
      <w:bookmarkEnd w:id="1"/>
      <w:r>
        <w:rPr>
          <w:color w:val="000000" w:themeColor="text1"/>
        </w:rPr>
        <w:t>Наименование закупаемой продукции</w:t>
      </w:r>
      <w:bookmarkEnd w:id="0"/>
      <w:bookmarkEnd w:id="2"/>
    </w:p>
    <w:p>
      <w:pPr>
        <w:pStyle w:val="Normal"/>
        <w:ind w:firstLine="419"/>
        <w:jc w:val="both"/>
        <w:rPr>
          <w:rFonts w:cs="Times New Roman"/>
          <w:color w:val="000000" w:themeColor="text1"/>
        </w:rPr>
      </w:pPr>
      <w:r>
        <w:rPr>
          <w:rStyle w:val="Style"/>
          <w:rFonts w:eastAsia="Calibri" w:cs="Times New Roman"/>
          <w:b w:val="false"/>
          <w:bCs/>
          <w:i w:val="false"/>
          <w:iCs/>
          <w:color w:val="000000"/>
          <w:sz w:val="24"/>
          <w:szCs w:val="24"/>
          <w:shd w:fill="FFFFFF" w:val="clear"/>
        </w:rPr>
        <w:t>ОКПД2 28.49 Поставка комплектующих для алмазной резки и сверления на Нижегородской ГЭС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Cs w:val="24"/>
        </w:rPr>
        <w:t>(далее – продукция).</w:t>
      </w:r>
    </w:p>
    <w:p>
      <w:pPr>
        <w:pStyle w:val="Normal"/>
        <w:ind w:firstLine="41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</w:p>
    <w:p>
      <w:pPr>
        <w:pStyle w:val="Heading4"/>
        <w:numPr>
          <w:ilvl w:val="1"/>
          <w:numId w:val="7"/>
        </w:numPr>
        <w:ind w:left="0" w:firstLine="709"/>
        <w:rPr>
          <w:color w:val="000000" w:themeColor="text1"/>
        </w:rPr>
      </w:pPr>
      <w:bookmarkStart w:id="3" w:name="_Toc46743507"/>
      <w:bookmarkStart w:id="4" w:name="_Toc75446569_Копия_1"/>
      <w:bookmarkEnd w:id="4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</w:p>
    <w:p>
      <w:pPr>
        <w:pStyle w:val="Heading4"/>
        <w:jc w:val="both"/>
        <w:rPr>
          <w:rStyle w:val="Style"/>
          <w:i w:val="false"/>
          <w:i w:val="false"/>
          <w:color w:val="000000" w:themeColor="text1"/>
          <w:shd w:fill="FFFFFF" w:val="clear"/>
        </w:rPr>
      </w:pPr>
      <w:r>
        <w:rPr>
          <w:rStyle w:val="Style"/>
          <w:b w:val="false"/>
          <w:bCs w:val="false"/>
          <w:i w:val="false"/>
          <w:iCs/>
          <w:color w:val="000000"/>
          <w:shd w:fill="FFFFFF" w:val="clear"/>
        </w:rPr>
        <w:t>Исполнение Договора подряда</w:t>
      </w:r>
    </w:p>
    <w:p>
      <w:pPr>
        <w:pStyle w:val="Heading4"/>
        <w:jc w:val="both"/>
        <w:rPr>
          <w:sz w:val="24"/>
          <w:szCs w:val="24"/>
        </w:rPr>
      </w:pPr>
      <w:r>
        <w:rPr>
          <w:rFonts w:cs="Times New Roman"/>
          <w:b w:val="false"/>
          <w:bCs/>
          <w:color w:val="000000"/>
          <w:sz w:val="24"/>
          <w:szCs w:val="24"/>
          <w:shd w:fill="FFFFFF" w:val="clear"/>
          <w:lang w:eastAsia="en-US"/>
        </w:rPr>
        <w:t xml:space="preserve">№ </w:t>
      </w:r>
      <w:r>
        <w:rPr>
          <w:rFonts w:cs="Times New Roman"/>
          <w:b w:val="false"/>
          <w:bCs/>
          <w:color w:val="000000"/>
          <w:sz w:val="24"/>
          <w:szCs w:val="24"/>
          <w:shd w:fill="FFFFFF" w:val="clear"/>
          <w:lang w:eastAsia="en-US"/>
        </w:rPr>
        <w:t>1240-129-2021 «Строительно-монтажные и пусконаладочные работы по замене гидроагрегата ст.№1,4,7», заключенный между ПАО «РусГидро» и АО «Гидроремонт-ВКК».</w:t>
      </w:r>
    </w:p>
    <w:p>
      <w:pPr>
        <w:pStyle w:val="Normal"/>
        <w:rPr>
          <w:rFonts w:cs="Times New Roman"/>
          <w:b w:val="false"/>
          <w:bCs/>
          <w:i w:val="false"/>
          <w:i w:val="false"/>
          <w:color w:val="000000" w:themeColor="text1"/>
          <w:sz w:val="24"/>
          <w:szCs w:val="24"/>
          <w:shd w:fill="FFFFFF" w:val="clear"/>
        </w:rPr>
      </w:pPr>
      <w:r>
        <w:rPr>
          <w:rFonts w:cs="Times New Roman"/>
          <w:b w:val="false"/>
          <w:bCs/>
          <w:i w:val="false"/>
          <w:color w:val="000000" w:themeColor="text1"/>
          <w:sz w:val="24"/>
          <w:szCs w:val="24"/>
          <w:shd w:fill="FFFFFF" w:val="clear"/>
        </w:rPr>
      </w:r>
    </w:p>
    <w:p>
      <w:pPr>
        <w:pStyle w:val="Heading1"/>
        <w:numPr>
          <w:ilvl w:val="0"/>
          <w:numId w:val="6"/>
        </w:numPr>
        <w:tabs>
          <w:tab w:val="clear" w:pos="0"/>
          <w:tab w:val="clear" w:pos="709"/>
        </w:tabs>
        <w:ind w:left="426" w:hanging="360"/>
        <w:jc w:val="center"/>
        <w:rPr>
          <w:caps/>
          <w:color w:val="000000" w:themeColor="text1"/>
          <w:sz w:val="24"/>
          <w:lang w:val="ru-RU"/>
        </w:rPr>
      </w:pPr>
      <w:bookmarkStart w:id="5" w:name="_Toc75446573"/>
      <w:bookmarkStart w:id="6" w:name="_Toc51339693"/>
      <w:r>
        <w:rPr>
          <w:color w:val="000000" w:themeColor="text1"/>
          <w:sz w:val="24"/>
        </w:rPr>
        <w:t>Требования к продукции</w:t>
      </w:r>
      <w:bookmarkEnd w:id="5"/>
      <w:bookmarkEnd w:id="6"/>
    </w:p>
    <w:p>
      <w:pPr>
        <w:pStyle w:val="Heading4"/>
        <w:numPr>
          <w:ilvl w:val="1"/>
          <w:numId w:val="6"/>
        </w:numPr>
        <w:tabs>
          <w:tab w:val="clear" w:pos="0"/>
          <w:tab w:val="left" w:pos="709" w:leader="none"/>
        </w:tabs>
        <w:ind w:left="1134" w:hanging="360"/>
        <w:rPr>
          <w:color w:val="000000" w:themeColor="text1"/>
        </w:rPr>
      </w:pPr>
      <w:bookmarkStart w:id="7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6"/>
        </w:numPr>
        <w:tabs>
          <w:tab w:val="clear" w:pos="0"/>
          <w:tab w:val="left" w:pos="709" w:leader="none"/>
        </w:tabs>
        <w:ind w:left="0" w:firstLine="709"/>
        <w:rPr>
          <w:color w:val="000000" w:themeColor="text1"/>
        </w:rPr>
      </w:pPr>
      <w:bookmarkStart w:id="8" w:name="_Toc75446575"/>
      <w:r>
        <w:rPr>
          <w:color w:val="000000" w:themeColor="text1"/>
        </w:rPr>
        <w:t>Перечень и объем закупаемой продукции</w:t>
      </w:r>
      <w:bookmarkEnd w:id="8"/>
    </w:p>
    <w:p>
      <w:pPr>
        <w:pStyle w:val="Normal"/>
        <w:jc w:val="both"/>
        <w:rPr>
          <w:rFonts w:cs="Times New Roman"/>
          <w:color w:val="000000" w:themeColor="text1"/>
          <w:szCs w:val="24"/>
        </w:rPr>
      </w:pPr>
      <w:bookmarkStart w:id="9" w:name="_Toc51339695"/>
      <w:bookmarkStart w:id="10" w:name="_Toc75446576"/>
      <w:r>
        <w:rPr>
          <w:rFonts w:cs="Times New Roman"/>
          <w:color w:val="000000" w:themeColor="text1"/>
          <w:szCs w:val="24"/>
        </w:rPr>
        <w:t xml:space="preserve">Таблица </w:t>
      </w:r>
      <w:r>
        <w:rPr>
          <w:rFonts w:cs="Times New Roman"/>
          <w:color w:val="000000" w:themeColor="text1"/>
          <w:szCs w:val="24"/>
        </w:rPr>
        <w:t>1</w:t>
      </w:r>
      <w:r>
        <w:rPr>
          <w:rFonts w:cs="Times New Roman"/>
          <w:color w:val="000000" w:themeColor="text1"/>
          <w:szCs w:val="24"/>
        </w:rPr>
        <w:t xml:space="preserve">.1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10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e"/>
        <w:tblW w:w="9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6"/>
        <w:gridCol w:w="5740"/>
        <w:gridCol w:w="1479"/>
        <w:gridCol w:w="1375"/>
        <w:gridCol w:w="244"/>
      </w:tblGrid>
      <w:tr>
        <w:trPr/>
        <w:tc>
          <w:tcPr>
            <w:tcW w:w="65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57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Единица измерения</w:t>
            </w:r>
          </w:p>
        </w:tc>
        <w:tc>
          <w:tcPr>
            <w:tcW w:w="13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</w:rPr>
            </w:pPr>
            <w:r>
              <w:rPr>
                <w:rFonts w:eastAsia="Calibri"/>
                <w:sz w:val="22"/>
              </w:rPr>
            </w:r>
          </w:p>
        </w:tc>
      </w:tr>
      <w:tr>
        <w:trPr/>
        <w:tc>
          <w:tcPr>
            <w:tcW w:w="6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7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</w:rPr>
            </w:pPr>
            <w:r>
              <w:rPr>
                <w:rFonts w:eastAsia="Calibri"/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</w:rPr>
            </w:r>
          </w:p>
        </w:tc>
        <w:tc>
          <w:tcPr>
            <w:tcW w:w="5740" w:type="dxa"/>
            <w:tcBorders>
              <w:top w:val="nil"/>
            </w:tcBorders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 xml:space="preserve">Коронка алмазная по бетону 152х450 мм 1 ¼ 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(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ru-RU" w:eastAsia="en-US" w:bidi="ar-SA"/>
              </w:rPr>
              <w:t>VOLL)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шт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5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</w:rPr>
            </w:pPr>
            <w:r>
              <w:rPr>
                <w:rFonts w:eastAsia="Calibri"/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</w:rPr>
            </w:r>
          </w:p>
        </w:tc>
        <w:tc>
          <w:tcPr>
            <w:tcW w:w="5740" w:type="dxa"/>
            <w:tcBorders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 xml:space="preserve">Коронка алмазная по бетону 52х450 мм 1 ¼ 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(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ru-RU" w:eastAsia="en-US" w:bidi="ar-SA"/>
              </w:rPr>
              <w:t>VOLL)</w:t>
            </w:r>
          </w:p>
        </w:tc>
        <w:tc>
          <w:tcPr>
            <w:tcW w:w="1479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шт</w:t>
            </w:r>
          </w:p>
        </w:tc>
        <w:tc>
          <w:tcPr>
            <w:tcW w:w="1375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1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</w:rPr>
            </w:pPr>
            <w:r>
              <w:rPr>
                <w:rFonts w:eastAsia="Calibri"/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</w:rPr>
            </w:r>
          </w:p>
        </w:tc>
        <w:tc>
          <w:tcPr>
            <w:tcW w:w="5740" w:type="dxa"/>
            <w:tcBorders>
              <w:top w:val="nil"/>
            </w:tcBorders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Удлинитель 1 1/4" 500мм TEAMDIAMONDPRO St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шт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12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</w:rPr>
            </w:pPr>
            <w:r>
              <w:rPr>
                <w:rFonts w:eastAsia="Calibri"/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</w:rPr>
            </w:r>
          </w:p>
        </w:tc>
        <w:tc>
          <w:tcPr>
            <w:tcW w:w="5740" w:type="dxa"/>
            <w:tcBorders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Удлинитель 1 1/4" 300мм TEAMDIAMONDPROSt</w:t>
            </w:r>
          </w:p>
        </w:tc>
        <w:tc>
          <w:tcPr>
            <w:tcW w:w="1479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шт</w:t>
            </w:r>
          </w:p>
        </w:tc>
        <w:tc>
          <w:tcPr>
            <w:tcW w:w="1375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</w:rPr>
            </w:pPr>
            <w:r>
              <w:rPr>
                <w:rFonts w:eastAsia="Calibri"/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</w:rPr>
            </w:r>
          </w:p>
        </w:tc>
        <w:tc>
          <w:tcPr>
            <w:tcW w:w="5740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 xml:space="preserve">Канат алмазный для резки по бетону и железобетону, диаметр 10,5 мм Прим. "TeamDiamond PRO G1 10.5D-44S" </w:t>
            </w:r>
            <w:r>
              <w:rPr>
                <w:rFonts w:eastAsia="Calibri" w:cs=""/>
                <w:kern w:val="0"/>
                <w:sz w:val="24"/>
                <w:szCs w:val="22"/>
                <w:lang w:val="ru-RU" w:eastAsia="en-US" w:bidi="ar-SA"/>
              </w:rPr>
              <w:t>Гальванический (синий)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м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3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4</w:t>
            </w: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</w:rPr>
            </w:pPr>
            <w:r>
              <w:rPr>
                <w:rFonts w:eastAsia="Calibri"/>
                <w:sz w:val="22"/>
              </w:rPr>
            </w:r>
          </w:p>
        </w:tc>
      </w:tr>
    </w:tbl>
    <w:p>
      <w:pPr>
        <w:pStyle w:val="Normal"/>
        <w:widowControl w:val="false"/>
        <w:spacing w:lineRule="exact" w:line="240"/>
        <w:jc w:val="both"/>
        <w:rPr>
          <w:rFonts w:cs="Times New Roman"/>
          <w:bCs/>
          <w:i/>
          <w:i/>
          <w:iCs/>
          <w:color w:val="000000"/>
          <w:sz w:val="28"/>
          <w:szCs w:val="24"/>
          <w:vertAlign w:val="superscript"/>
        </w:rPr>
      </w:pPr>
      <w:r>
        <w:rPr>
          <w:rFonts w:cs="Times New Roman"/>
          <w:bCs/>
          <w:i/>
          <w:iCs/>
          <w:color w:val="000000"/>
          <w:sz w:val="28"/>
          <w:szCs w:val="24"/>
          <w:vertAlign w:val="superscript"/>
        </w:rPr>
      </w:r>
    </w:p>
    <w:p>
      <w:pPr>
        <w:pStyle w:val="Heading3"/>
        <w:numPr>
          <w:ilvl w:val="2"/>
          <w:numId w:val="6"/>
        </w:numPr>
        <w:tabs>
          <w:tab w:val="clear" w:pos="0"/>
          <w:tab w:val="left" w:pos="709" w:leader="none"/>
        </w:tabs>
        <w:ind w:left="0" w:firstLine="709"/>
        <w:rPr>
          <w:color w:val="000000" w:themeColor="text1"/>
        </w:rPr>
      </w:pPr>
      <w:bookmarkStart w:id="11" w:name="_Toc75446578"/>
      <w:bookmarkStart w:id="12" w:name="_Toc51339696"/>
      <w:r>
        <w:rPr>
          <w:color w:val="000000" w:themeColor="text1"/>
        </w:rPr>
        <w:t xml:space="preserve">Требования </w:t>
      </w:r>
      <w:bookmarkEnd w:id="12"/>
      <w:r>
        <w:rPr>
          <w:color w:val="000000" w:themeColor="text1"/>
        </w:rPr>
        <w:t xml:space="preserve">к срокам поставки продукции </w:t>
      </w:r>
      <w:bookmarkEnd w:id="11"/>
    </w:p>
    <w:p>
      <w:pPr>
        <w:pStyle w:val="Normal"/>
        <w:rPr>
          <w:rFonts w:cs="Times New Roman"/>
          <w:color w:val="000000" w:themeColor="text1"/>
          <w:lang w:val="x-none" w:eastAsia="x-none"/>
        </w:rPr>
      </w:pPr>
      <w:r>
        <w:rPr>
          <w:rFonts w:cs="Times New Roman"/>
          <w:color w:val="000000" w:themeColor="text1"/>
          <w:lang w:val="x-none" w:eastAsia="x-none"/>
        </w:rPr>
      </w:r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3" w:name="_Toc75446579"/>
      <w:bookmarkStart w:id="14" w:name="_Toc50125127"/>
      <w:bookmarkStart w:id="15" w:name="_Toc5133969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</w:t>
      </w:r>
      <w:r>
        <w:rPr>
          <w:rFonts w:eastAsia="Calibri" w:cs="Times New Roman"/>
          <w:color w:val="000000" w:themeColor="text1"/>
          <w:szCs w:val="24"/>
          <w:lang w:eastAsia="x-none"/>
        </w:rPr>
        <w:t>1</w:t>
      </w:r>
      <w:r>
        <w:rPr>
          <w:rFonts w:eastAsia="Calibri" w:cs="Times New Roman"/>
          <w:color w:val="000000" w:themeColor="text1"/>
          <w:szCs w:val="24"/>
          <w:lang w:eastAsia="x-none"/>
        </w:rPr>
        <w:t xml:space="preserve">.2 </w:t>
      </w:r>
      <w:bookmarkStart w:id="16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4"/>
      <w:bookmarkEnd w:id="15"/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3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6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2"/>
        <w:gridCol w:w="4367"/>
        <w:gridCol w:w="2155"/>
        <w:gridCol w:w="228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4</w:t>
            </w:r>
          </w:p>
        </w:tc>
      </w:tr>
      <w:tr>
        <w:trPr>
          <w:trHeight w:val="1124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567" w:hang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Style w:val="Style"/>
                <w:rFonts w:eastAsia="Calibri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FFFFFF" w:val="clear"/>
              </w:rPr>
              <w:t>ОКПД2 28.49 Поставка комплектующих для алмазной резки и сверления на Нижегородской ГЭС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подписания договора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Cs w:val="24"/>
              </w:rPr>
              <w:t xml:space="preserve">В течение </w:t>
            </w:r>
            <w:r>
              <w:rPr>
                <w:rFonts w:cs="Times New Roman"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color w:val="000000" w:themeColor="text1"/>
                <w:szCs w:val="24"/>
              </w:rPr>
              <w:t>0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329" w:right="851" w:gutter="0" w:header="0" w:top="621" w:footer="307" w:bottom="6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7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143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60"/>
        <w:gridCol w:w="2686"/>
        <w:gridCol w:w="2915"/>
        <w:gridCol w:w="4135"/>
        <w:gridCol w:w="3721"/>
      </w:tblGrid>
      <w:tr>
        <w:trPr>
          <w:trHeight w:val="20" w:hRule="atLeast"/>
        </w:trPr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b/>
                <w:bCs/>
                <w:i w:val="false"/>
                <w:iCs w:val="false"/>
                <w:color w:val="000000" w:themeColor="text1"/>
                <w:szCs w:val="24"/>
                <w:u w:val="none"/>
              </w:rPr>
              <w:t>Наименование продукции (позиции № 1.1- 1.</w:t>
            </w:r>
            <w:r>
              <w:rPr>
                <w:rFonts w:cs="Times New Roman"/>
                <w:b/>
                <w:bCs/>
                <w:i w:val="false"/>
                <w:iCs w:val="false"/>
                <w:color w:val="000000" w:themeColor="text1"/>
                <w:szCs w:val="24"/>
                <w:u w:val="none"/>
              </w:rPr>
              <w:t>5</w:t>
            </w:r>
            <w:r>
              <w:rPr>
                <w:rFonts w:cs="Times New Roman"/>
                <w:b/>
                <w:bCs/>
                <w:i w:val="false"/>
                <w:iCs w:val="false"/>
                <w:color w:val="000000" w:themeColor="text1"/>
                <w:szCs w:val="24"/>
                <w:u w:val="none"/>
              </w:rPr>
              <w:t xml:space="preserve"> (Таблицы </w:t>
            </w:r>
            <w:r>
              <w:rPr>
                <w:rFonts w:cs="Times New Roman"/>
                <w:b/>
                <w:bCs/>
                <w:i w:val="false"/>
                <w:iCs w:val="false"/>
                <w:color w:val="000000" w:themeColor="text1"/>
                <w:szCs w:val="24"/>
                <w:u w:val="none"/>
              </w:rPr>
              <w:t>1</w:t>
            </w:r>
            <w:r>
              <w:rPr>
                <w:rFonts w:cs="Times New Roman"/>
                <w:b/>
                <w:bCs/>
                <w:i w:val="false"/>
                <w:iCs w:val="false"/>
                <w:color w:val="000000" w:themeColor="text1"/>
                <w:szCs w:val="24"/>
                <w:u w:val="none"/>
              </w:rPr>
              <w:t>.</w:t>
            </w:r>
            <w:r>
              <w:rPr>
                <w:rFonts w:cs="Times New Roman"/>
                <w:b/>
                <w:bCs/>
                <w:i w:val="false"/>
                <w:iCs w:val="false"/>
                <w:color w:val="000000" w:themeColor="text1"/>
                <w:szCs w:val="24"/>
                <w:u w:val="none"/>
              </w:rPr>
              <w:t>1</w:t>
            </w:r>
            <w:r>
              <w:rPr>
                <w:rFonts w:cs="Times New Roman"/>
                <w:b/>
                <w:bCs/>
                <w:i w:val="false"/>
                <w:iCs w:val="false"/>
                <w:color w:val="000000" w:themeColor="text1"/>
                <w:szCs w:val="24"/>
                <w:u w:val="none"/>
              </w:rPr>
              <w:t xml:space="preserve">): </w:t>
            </w:r>
            <w:r>
              <w:rPr>
                <w:rStyle w:val="Style"/>
                <w:rFonts w:cs="Times New Roman"/>
                <w:b/>
                <w:bCs/>
                <w:i w:val="false"/>
                <w:iCs w:val="false"/>
                <w:color w:val="000000"/>
                <w:sz w:val="26"/>
                <w:szCs w:val="26"/>
                <w:u w:val="none"/>
                <w:shd w:fill="FFFFFF" w:val="clear"/>
              </w:rPr>
              <w:t>ОКПД2 28.49 Поставка комплектующих для алмазной резки и сверления на Нижегородской ГЭС</w:t>
            </w:r>
          </w:p>
        </w:tc>
      </w:tr>
      <w:tr>
        <w:trPr>
          <w:trHeight w:val="20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18" w:name="_GoBack"/>
            <w:bookmarkEnd w:id="18"/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9911" w:leader="dot"/>
              </w:tabs>
              <w:jc w:val="center"/>
              <w:rPr>
                <w:rFonts w:eastAsia="Calibri" w:cs="Times New Roman"/>
                <w:b/>
                <w:bCs/>
                <w:color w:val="000000" w:themeColor="text1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Требования заказчика*</w:t>
            </w:r>
          </w:p>
          <w:p>
            <w:pPr>
              <w:pStyle w:val="Normal"/>
              <w:widowControl w:val="false"/>
              <w:tabs>
                <w:tab w:val="clear" w:pos="720"/>
                <w:tab w:val="right" w:pos="9911" w:leader="dot"/>
              </w:tabs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(параметры эквивалентности)</w:t>
            </w:r>
          </w:p>
        </w:tc>
      </w:tr>
      <w:tr>
        <w:trPr>
          <w:trHeight w:val="20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1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5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Коронка алмазная по бетону 152х450 мм 1 ¼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Диаметр, мм</w:t>
            </w: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color w:val="000000"/>
                <w:sz w:val="22"/>
              </w:rPr>
              <w:t>152</w:t>
            </w:r>
          </w:p>
        </w:tc>
      </w:tr>
      <w:tr>
        <w:trPr>
          <w:trHeight w:val="22" w:hRule="atLeast"/>
        </w:trPr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60" w:hanging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56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Длина, мм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450</w:t>
            </w:r>
          </w:p>
        </w:tc>
      </w:tr>
      <w:tr>
        <w:trPr>
          <w:trHeight w:val="68" w:hRule="atLeast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1.2</w:t>
            </w:r>
          </w:p>
        </w:tc>
        <w:tc>
          <w:tcPr>
            <w:tcW w:w="5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Коронка алмазная по бетону 52х450 мм 1 ¼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Диаметр, мм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color w:val="000000"/>
                <w:sz w:val="22"/>
              </w:rPr>
              <w:t>52</w:t>
            </w:r>
          </w:p>
        </w:tc>
      </w:tr>
      <w:tr>
        <w:trPr>
          <w:trHeight w:val="68" w:hRule="atLeast"/>
        </w:trPr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56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Длина, мм</w:t>
            </w: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450</w:t>
            </w:r>
          </w:p>
        </w:tc>
      </w:tr>
      <w:tr>
        <w:trPr>
          <w:trHeight w:val="85" w:hRule="atLeast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Cs w:val="24"/>
              </w:rPr>
              <w:t>1.3</w:t>
            </w:r>
          </w:p>
        </w:tc>
        <w:tc>
          <w:tcPr>
            <w:tcW w:w="5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Удлинитель 1 1/4" 500мм TEAMDIAMONDPRO St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Присоединение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 1/4"</w:t>
            </w:r>
          </w:p>
        </w:tc>
      </w:tr>
      <w:tr>
        <w:trPr>
          <w:trHeight w:val="21" w:hRule="atLeast"/>
        </w:trPr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60" w:hanging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56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Длина, мм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500</w:t>
            </w:r>
          </w:p>
        </w:tc>
      </w:tr>
      <w:tr>
        <w:trPr>
          <w:trHeight w:val="17" w:hRule="atLeast"/>
        </w:trPr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390" w:leader="none"/>
              </w:tabs>
              <w:ind w:left="-57" w:hanging="0"/>
              <w:jc w:val="center"/>
              <w:rPr/>
            </w:pPr>
            <w:r>
              <w:rPr>
                <w:rFonts w:eastAsia="Calibri"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5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Удлинитель 1 1/4" 300мм TEAMDIAMONDPRO</w:t>
            </w:r>
            <w:r>
              <w:rPr>
                <w:color w:val="auto"/>
                <w:sz w:val="22"/>
                <w:szCs w:val="22"/>
              </w:rPr>
              <w:t xml:space="preserve"> St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Присоединение</w:t>
            </w: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 1/4"</w:t>
            </w:r>
          </w:p>
        </w:tc>
      </w:tr>
      <w:tr>
        <w:trPr>
          <w:trHeight w:val="17" w:hRule="atLeast"/>
        </w:trPr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390" w:leader="none"/>
              </w:tabs>
              <w:ind w:left="-57" w:hanging="0"/>
              <w:jc w:val="center"/>
              <w:rPr/>
            </w:pPr>
            <w:r>
              <w:rPr/>
            </w:r>
          </w:p>
        </w:tc>
        <w:tc>
          <w:tcPr>
            <w:tcW w:w="56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Длина, мм</w:t>
            </w: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300</w:t>
            </w:r>
          </w:p>
        </w:tc>
      </w:tr>
      <w:tr>
        <w:trPr>
          <w:trHeight w:val="17" w:hRule="atLeast"/>
        </w:trPr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5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Канат алмазный для резки по бетону и железобетону, диаметр 10,5 мм Прим. "TeamDiamond PRO G1 10.5D-44S"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Диаметр, мм</w:t>
            </w: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10,5</w:t>
            </w:r>
          </w:p>
        </w:tc>
      </w:tr>
      <w:tr>
        <w:trPr>
          <w:trHeight w:val="1" w:hRule="atLeast"/>
        </w:trPr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56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Количество сегментов (перлин) на метр, шт</w:t>
            </w: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44</w:t>
            </w:r>
          </w:p>
        </w:tc>
      </w:tr>
      <w:tr>
        <w:trPr>
          <w:trHeight w:val="1" w:hRule="atLeast"/>
        </w:trPr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56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тип</w:t>
            </w: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4"/>
                <w:szCs w:val="22"/>
                <w:lang w:val="ru-RU" w:eastAsia="en-US" w:bidi="ar-SA"/>
              </w:rPr>
              <w:t>Алмазный г</w:t>
            </w:r>
            <w:r>
              <w:rPr>
                <w:rFonts w:eastAsia="Calibri" w:cs=""/>
                <w:color w:val="auto"/>
                <w:kern w:val="0"/>
                <w:sz w:val="24"/>
                <w:szCs w:val="22"/>
                <w:lang w:val="ru-RU" w:eastAsia="en-US" w:bidi="ar-SA"/>
              </w:rPr>
              <w:t>альванический (синий)</w:t>
            </w:r>
          </w:p>
        </w:tc>
      </w:tr>
      <w:tr>
        <w:trPr>
          <w:trHeight w:val="1" w:hRule="atLeast"/>
        </w:trPr>
        <w:tc>
          <w:tcPr>
            <w:tcW w:w="8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56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Материалы обработки</w:t>
            </w: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 xml:space="preserve">Гидротехнический ж/бетон с метал. облицовкой, </w:t>
            </w:r>
            <w:r>
              <w:rPr>
                <w:sz w:val="22"/>
              </w:rPr>
              <w:t>бетон, армированный бетон, высокоармированный бетон, сталь, железобетон, металл, кирпич</w:t>
            </w:r>
          </w:p>
        </w:tc>
      </w:tr>
      <w:tr>
        <w:trPr>
          <w:trHeight w:val="151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112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Место поставки</w:t>
            </w:r>
          </w:p>
        </w:tc>
        <w:tc>
          <w:tcPr>
            <w:tcW w:w="10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606520, Российская Федерация, Нижегородская область, г. Заволжье,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>ул. Привокзальная, д. 14</w:t>
            </w:r>
          </w:p>
        </w:tc>
      </w:tr>
      <w:tr>
        <w:trPr>
          <w:trHeight w:val="151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0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color w:val="000000"/>
                <w:szCs w:val="24"/>
              </w:rPr>
              <w:t>Приемка продукции осуществляется только в рабочие дни с 9-00 до 11-00 и с 13-00 до 16-00.</w:t>
            </w:r>
          </w:p>
        </w:tc>
      </w:tr>
      <w:tr>
        <w:trPr>
          <w:trHeight w:val="151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>
          <w:trHeight w:val="151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151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3.1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Сроки гарантии</w:t>
            </w:r>
          </w:p>
        </w:tc>
        <w:tc>
          <w:tcPr>
            <w:tcW w:w="10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1"/>
              </w:numPr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  <w:szCs w:val="22"/>
              </w:rPr>
              <w:t>равный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151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1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151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4.1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auto"/>
                <w:sz w:val="22"/>
                <w:szCs w:val="22"/>
              </w:rPr>
              <w:t>Поставщик обязан одновременно с передачей Продукции передать Покупателю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auto"/>
                <w:sz w:val="22"/>
                <w:szCs w:val="22"/>
              </w:rPr>
              <w:t>- Сертификат качества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auto"/>
                <w:sz w:val="22"/>
                <w:szCs w:val="22"/>
              </w:rPr>
              <w:t>- Технический паспорт на русском языке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auto"/>
                <w:sz w:val="22"/>
                <w:szCs w:val="22"/>
              </w:rPr>
              <w:t>- Инструкция по эксплуатации (монтажу и т.п.) на русском языке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auto"/>
                <w:sz w:val="22"/>
                <w:szCs w:val="22"/>
              </w:rPr>
              <w:t>- Упаковочный лист на Продукцию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auto"/>
                <w:sz w:val="22"/>
                <w:szCs w:val="22"/>
              </w:rPr>
              <w:t>- Сертификат о происхождении Продукции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auto"/>
                <w:sz w:val="22"/>
                <w:szCs w:val="22"/>
              </w:rPr>
              <w:t>-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auto"/>
                <w:sz w:val="22"/>
                <w:szCs w:val="22"/>
              </w:rPr>
              <w:t>Обязательные первичные документы: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 w:val="false"/>
                <w:iCs w:val="false"/>
                <w:color w:val="auto"/>
                <w:sz w:val="22"/>
                <w:szCs w:val="22"/>
              </w:rPr>
              <w:t xml:space="preserve">- 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1 экз. или Транспортную накладную ((для учета товарно-материальных ценностей и расчетов за их перевозки) по форме согласно Приложению 4 к Правилам перевозки грузов автомобильным транспортом (в ред. </w:t>
            </w:r>
            <w:hyperlink r:id="rId3">
              <w:r>
                <w:rPr>
                  <w:rStyle w:val="14"/>
                  <w:i w:val="false"/>
                  <w:iCs w:val="false"/>
                  <w:color w:val="auto"/>
                  <w:sz w:val="22"/>
                  <w:szCs w:val="22"/>
                  <w:u w:val="none"/>
                </w:rPr>
                <w:t>Постановления Правительства РФ от 21.12.2020 № 2200 (ред. от 30.12.2022</w:t>
              </w:r>
            </w:hyperlink>
            <w:r>
              <w:rPr>
                <w:i w:val="false"/>
                <w:iCs w:val="false"/>
                <w:color w:val="auto"/>
                <w:sz w:val="22"/>
                <w:szCs w:val="22"/>
              </w:rPr>
              <w:t>));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2"/>
                <w:szCs w:val="22"/>
                <w:lang w:val="ru-RU" w:eastAsia="x-none" w:bidi="ar-SA"/>
              </w:rPr>
              <w:t>- Товарную накладную по форме ТОРГ-12 или Универсальный передаточный документ (УПД).</w:t>
            </w:r>
          </w:p>
        </w:tc>
      </w:tr>
      <w:tr>
        <w:trPr>
          <w:trHeight w:val="151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1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151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5.1</w:t>
            </w:r>
          </w:p>
        </w:tc>
        <w:tc>
          <w:tcPr>
            <w:tcW w:w="1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  <w:lang w:eastAsia="x-none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x-none" w:bidi="ar-SA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jc w:val="center"/>
        <w:rPr>
          <w:rFonts w:cs="Times New Roman"/>
          <w:color w:val="000000" w:themeColor="text1"/>
        </w:rPr>
      </w:pPr>
      <w:r>
        <w:rPr/>
      </w:r>
    </w:p>
    <w:sectPr>
      <w:footerReference w:type="default" r:id="rId4"/>
      <w:footerReference w:type="first" r:id="rId5"/>
      <w:type w:val="nextPage"/>
      <w:pgSz w:orient="landscape" w:w="16838" w:h="11906"/>
      <w:pgMar w:left="1134" w:right="1134" w:gutter="0" w:header="0" w:top="525" w:footer="1" w:bottom="4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54017581"/>
    </w:sdtPr>
    <w:sdtContent>
      <w:p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Страница </w:t>
        </w:r>
        <w:r>
          <w:rPr>
            <w:b/>
            <w:bCs/>
            <w:sz w:val="22"/>
            <w:szCs w:val="22"/>
          </w:rPr>
          <w:fldChar w:fldCharType="begin"/>
        </w:r>
        <w:r>
          <w:rPr>
            <w:sz w:val="22"/>
            <w:b/>
            <w:szCs w:val="22"/>
            <w:bCs/>
          </w:rPr>
          <w:instrText xml:space="preserve"> PAGE </w:instrText>
        </w:r>
        <w:r>
          <w:rPr>
            <w:sz w:val="22"/>
            <w:b/>
            <w:szCs w:val="22"/>
            <w:bCs/>
          </w:rPr>
          <w:fldChar w:fldCharType="separate"/>
        </w:r>
        <w:r>
          <w:rPr>
            <w:sz w:val="22"/>
            <w:b/>
            <w:szCs w:val="22"/>
            <w:bCs/>
          </w:rPr>
          <w:t>2</w:t>
        </w:r>
        <w:r>
          <w:rPr>
            <w:sz w:val="22"/>
            <w:b/>
            <w:szCs w:val="22"/>
            <w:bCs/>
          </w:rPr>
          <w:fldChar w:fldCharType="end"/>
        </w:r>
        <w:r>
          <w:rPr>
            <w:sz w:val="22"/>
            <w:szCs w:val="22"/>
          </w:rPr>
          <w:t xml:space="preserve"> из </w:t>
        </w:r>
        <w:r>
          <w:rPr>
            <w:b/>
            <w:bCs/>
            <w:sz w:val="22"/>
            <w:szCs w:val="22"/>
          </w:rPr>
          <w:fldChar w:fldCharType="begin"/>
        </w:r>
        <w:r>
          <w:rPr>
            <w:sz w:val="22"/>
            <w:b/>
            <w:szCs w:val="22"/>
            <w:bCs/>
          </w:rPr>
          <w:instrText xml:space="preserve"> NUMPAGES </w:instrText>
        </w:r>
        <w:r>
          <w:rPr>
            <w:sz w:val="22"/>
            <w:b/>
            <w:szCs w:val="22"/>
            <w:bCs/>
          </w:rPr>
          <w:fldChar w:fldCharType="separate"/>
        </w:r>
        <w:r>
          <w:rPr>
            <w:sz w:val="22"/>
            <w:b/>
            <w:szCs w:val="22"/>
            <w:bCs/>
          </w:rPr>
          <w:t>4</w:t>
        </w:r>
        <w:r>
          <w:rPr>
            <w:sz w:val="22"/>
            <w:b/>
            <w:szCs w:val="22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44373056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0"/>
        </w:tabs>
        <w:ind w:left="550" w:hanging="5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2.%1"/>
      <w:lvlJc w:val="center"/>
      <w:pPr>
        <w:tabs>
          <w:tab w:val="num" w:pos="0"/>
        </w:tabs>
        <w:ind w:left="550" w:hanging="262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3"/>
      <w:numFmt w:val="decimal"/>
      <w:lvlText w:val="%1."/>
      <w:lvlJc w:val="left"/>
      <w:pPr>
        <w:tabs>
          <w:tab w:val="num" w:pos="0"/>
        </w:tabs>
        <w:ind w:left="550" w:hanging="262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20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Hyperlink">
    <w:name w:val="Hyperlink"/>
    <w:basedOn w:val="DefaultParagraphFont"/>
    <w:uiPriority w:val="99"/>
    <w:semiHidden/>
    <w:unhideWhenUsed/>
    <w:rsid w:val="00164316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character" w:styleId="14">
    <w:name w:val="Гиперссылка1"/>
    <w:qFormat/>
    <w:rPr>
      <w:color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1"/>
    <w:qFormat/>
    <w:rsid w:val="00cd6e45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34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2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20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20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20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paragraph" w:styleId="Style42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www.consultant.ru/document/cons_doc_LAW_371981/" TargetMode="Externa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5ED7-E545-439F-8348-603E73AC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6756</TotalTime>
  <Application>AlterOffice/3.4.0.9$Linux_X86_64 LibreOffice_project/b8daf9e823b1a5463a2f48435ddc2e8696e7d4fc</Application>
  <AppVersion>15.0000</AppVersion>
  <Pages>4</Pages>
  <Words>713</Words>
  <Characters>4569</Characters>
  <CharactersWithSpaces>5142</CharactersWithSpaces>
  <Paragraphs>140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2023-12-07T22:27:00Z</dcterms:created>
  <dc:creator>Вашкевич Ольга Владимировна</dc:creator>
  <dc:description/>
  <dc:language>ru-RU</dc:language>
  <cp:lastModifiedBy>kochetovsv@corp.gidroogk.com</cp:lastModifiedBy>
  <cp:lastPrinted>2024-07-23T10:15:00Z</cp:lastPrinted>
  <dcterms:modified xsi:type="dcterms:W3CDTF">2026-06-18T14:22:26Z</dcterms:modified>
  <cp:revision>1011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