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</w:rPr>
      </w:pPr>
      <w:r>
        <w:rPr>
          <w:b/>
          <w:bCs/>
        </w:rPr>
      </w:r>
      <w:bookmarkStart w:id="0" w:name="_GoBack"/>
      <w:bookmarkStart w:id="1" w:name="_GoBack"/>
      <w:bookmarkEnd w:id="1"/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 w:val="false"/>
          <w:i w:val="false"/>
          <w:caps w:val="false"/>
          <w:smallCaps w:val="false"/>
          <w:spacing w:val="0"/>
        </w:rPr>
        <w:t>ОКПД2 27.11.41.000 Поставка резервного электротехнического оборудования</w:t>
      </w:r>
      <w:r>
        <w:rPr>
          <w:b/>
          <w:caps w:val="false"/>
          <w:smallCaps w:val="false"/>
          <w:spacing w:val="0"/>
        </w:rPr>
        <w:t xml:space="preserve"> </w:t>
      </w:r>
      <w:r>
        <w:rPr>
          <w:b w:val="false"/>
          <w:i w:val="false"/>
          <w:caps w:val="false"/>
          <w:smallCaps w:val="false"/>
          <w:spacing w:val="0"/>
        </w:rPr>
        <w:t xml:space="preserve">(трансформатор </w:t>
      </w:r>
      <w:r>
        <w:rPr>
          <w:b w:val="false"/>
          <w:i w:val="false"/>
          <w:caps w:val="false"/>
          <w:smallCaps w:val="false"/>
          <w:spacing w:val="0"/>
        </w:rPr>
        <w:t>ТДН-10000 110/10</w:t>
      </w:r>
      <w:r>
        <w:rPr>
          <w:b w:val="false"/>
          <w:i w:val="false"/>
          <w:caps w:val="false"/>
          <w:smallCaps w:val="false"/>
          <w:spacing w:val="0"/>
        </w:rPr>
        <w:t xml:space="preserve"> — аварийный запас)</w:t>
      </w:r>
      <w:r>
        <w:br w:type="page"/>
      </w:r>
    </w:p>
    <w:p>
      <w:pPr>
        <w:pStyle w:val="Normal"/>
        <w:rPr>
          <w:b/>
        </w:rPr>
      </w:pPr>
      <w:r>
        <w:rPr>
          <w:b/>
        </w:rPr>
        <w:t>ОБОЗНАЧЕНИЯ И СОКРАЩЕНИЯ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ДПКМ - Дирекция по реализации крупных проектов</w:t>
      </w:r>
    </w:p>
    <w:p>
      <w:pPr>
        <w:pStyle w:val="Normal"/>
        <w:rPr/>
      </w:pPr>
      <w:r>
        <w:rPr/>
        <w:t>ПТС - Производственно-техническая служба</w:t>
      </w:r>
    </w:p>
    <w:p>
      <w:pPr>
        <w:pStyle w:val="Normal"/>
        <w:rPr/>
      </w:pPr>
      <w:r>
        <w:rPr/>
        <w:t>ГЭС – Гидроэлектростанция;</w:t>
      </w:r>
    </w:p>
    <w:p>
      <w:pPr>
        <w:pStyle w:val="Normal"/>
        <w:rPr/>
      </w:pPr>
      <w:r>
        <w:rPr/>
        <w:t>ТТ – Технические требования</w:t>
      </w:r>
    </w:p>
    <w:p>
      <w:pPr>
        <w:pStyle w:val="Normal"/>
        <w:rPr/>
      </w:pPr>
      <w:r>
        <w:rPr/>
        <w:t>СН – собственные нужды</w:t>
      </w:r>
    </w:p>
    <w:p>
      <w:pPr>
        <w:pStyle w:val="Normal"/>
        <w:rPr/>
      </w:pPr>
      <w:r>
        <w:rPr/>
        <w:t>ТС – Трансформатор собственных нужд</w:t>
      </w:r>
    </w:p>
    <w:p>
      <w:pPr>
        <w:pStyle w:val="Normal"/>
        <w:rPr/>
      </w:pPr>
      <w:r>
        <w:rPr/>
        <w:t>КРУ - Комплектное распределительное устройство</w:t>
      </w:r>
    </w:p>
    <w:p>
      <w:pPr>
        <w:pStyle w:val="Normal"/>
        <w:rPr/>
      </w:pPr>
      <w:r>
        <w:rPr/>
        <w:t>ЗРУ – Закрытое распределительное устройство</w:t>
      </w:r>
    </w:p>
    <w:p>
      <w:pPr>
        <w:pStyle w:val="Normal"/>
        <w:rPr/>
      </w:pPr>
      <w:r>
        <w:rPr/>
        <w:t>ОРУ – Открытое распределительное устройство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numPr>
          <w:ilvl w:val="0"/>
          <w:numId w:val="2"/>
        </w:numPr>
        <w:spacing w:lineRule="auto" w:line="240" w:before="120" w:after="120"/>
        <w:jc w:val="both"/>
        <w:rPr>
          <w:b/>
          <w:bCs/>
        </w:rPr>
      </w:pPr>
      <w:r>
        <w:rPr>
          <w:b/>
          <w:bCs/>
        </w:rPr>
        <w:t>Наименование закупаемой продукции (товаров, работ, услуг)</w:t>
      </w:r>
    </w:p>
    <w:p>
      <w:pPr>
        <w:pStyle w:val="Normal"/>
        <w:rPr>
          <w:b/>
          <w:i/>
          <w:i/>
        </w:rPr>
      </w:pPr>
      <w:r>
        <w:rPr/>
        <w:t>Поставка оборудования для</w:t>
      </w:r>
      <w:r>
        <w:rPr>
          <w:b/>
          <w:i/>
        </w:rPr>
        <w:t xml:space="preserve"> </w:t>
      </w:r>
      <w:r>
        <w:rPr>
          <w:b w:val="false"/>
          <w:bCs w:val="false"/>
          <w:i w:val="false"/>
          <w:iCs w:val="false"/>
        </w:rPr>
        <w:t>восполнения аварийного запаса Филиала.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spacing w:lineRule="auto" w:line="240" w:before="120" w:after="120"/>
        <w:jc w:val="both"/>
        <w:rPr>
          <w:b/>
          <w:bCs/>
        </w:rPr>
      </w:pPr>
      <w:r>
        <w:rPr>
          <w:b/>
          <w:bCs/>
        </w:rPr>
        <w:t xml:space="preserve">Заказчик (подразделение Заказчика) </w:t>
      </w:r>
    </w:p>
    <w:p>
      <w:pPr>
        <w:pStyle w:val="Normal"/>
        <w:rPr/>
      </w:pPr>
      <w:r>
        <w:rPr/>
        <w:t>Наименование филиала: филиал ПАО «РусГидро»-«Жигулевская ГЭС» (далее – Филиал).</w:t>
      </w:r>
    </w:p>
    <w:p>
      <w:pPr>
        <w:pStyle w:val="Normal"/>
        <w:rPr/>
      </w:pPr>
      <w:r>
        <w:rPr/>
        <w:t>Адрес филиала: Самарская обл., г.о. Жигулевск, ул. Московское шоссе №2.</w:t>
      </w:r>
    </w:p>
    <w:p>
      <w:pPr>
        <w:pStyle w:val="Normal"/>
        <w:rPr/>
      </w:pPr>
      <w:r>
        <w:rPr/>
        <w:t>Подразделение-куратор: группа электротехнического оборудования ПТС.</w:t>
      </w:r>
    </w:p>
    <w:p>
      <w:pPr>
        <w:pStyle w:val="Normal"/>
        <w:rPr/>
      </w:pPr>
      <w:r>
        <w:rPr/>
        <w:tab/>
      </w:r>
    </w:p>
    <w:p>
      <w:pPr>
        <w:pStyle w:val="Normal"/>
        <w:numPr>
          <w:ilvl w:val="0"/>
          <w:numId w:val="2"/>
        </w:numPr>
        <w:spacing w:lineRule="auto" w:line="240" w:before="120" w:after="120"/>
        <w:jc w:val="both"/>
        <w:rPr>
          <w:bCs/>
        </w:rPr>
      </w:pPr>
      <w:r>
        <w:rPr>
          <w:b/>
          <w:bCs/>
        </w:rPr>
        <w:t>Цели и задачи. Существующее положение</w:t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3.1.Цели и задачи </w:t>
      </w:r>
    </w:p>
    <w:p>
      <w:pPr>
        <w:pStyle w:val="Normal"/>
        <w:numPr>
          <w:ilvl w:val="2"/>
          <w:numId w:val="7"/>
        </w:numPr>
        <w:spacing w:lineRule="auto" w:line="240" w:before="120" w:after="120"/>
        <w:jc w:val="both"/>
        <w:rPr>
          <w:bCs/>
        </w:rPr>
      </w:pPr>
      <w:r>
        <w:rPr>
          <w:bCs/>
        </w:rPr>
        <w:t>Поставка оборудования в целях восполнения аварийного запаса Филиала.</w:t>
      </w:r>
    </w:p>
    <w:p>
      <w:pPr>
        <w:pStyle w:val="Normal"/>
        <w:numPr>
          <w:ilvl w:val="0"/>
          <w:numId w:val="0"/>
        </w:numPr>
        <w:spacing w:lineRule="auto" w:line="240" w:before="120" w:after="120"/>
        <w:ind w:left="1571" w:hanging="0"/>
        <w:jc w:val="both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spacing w:lineRule="auto" w:line="240" w:before="120" w:after="120"/>
        <w:jc w:val="both"/>
        <w:rPr>
          <w:b/>
          <w:bCs/>
        </w:rPr>
      </w:pPr>
      <w:r>
        <w:rPr>
          <w:b/>
          <w:bCs/>
        </w:rPr>
        <w:t xml:space="preserve">Требования к закупаемому </w:t>
      </w:r>
      <w:r>
        <w:rPr>
          <w:b/>
        </w:rPr>
        <w:t>оборудованию</w:t>
      </w:r>
      <w:r>
        <w:rPr>
          <w:b/>
          <w:bCs/>
        </w:rPr>
        <w:t xml:space="preserve"> (технические и иные характеристики)</w:t>
      </w:r>
    </w:p>
    <w:p>
      <w:pPr>
        <w:pStyle w:val="Normal"/>
        <w:rPr>
          <w:bCs/>
        </w:rPr>
      </w:pPr>
      <w:r>
        <w:rPr>
          <w:bCs/>
        </w:rPr>
        <w:t xml:space="preserve">                                                                                                           </w:t>
      </w:r>
      <w:r>
        <w:rPr>
          <w:bCs/>
        </w:rPr>
        <w:t>Таблица №1.</w:t>
      </w:r>
    </w:p>
    <w:tbl>
      <w:tblPr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242"/>
        <w:gridCol w:w="3288"/>
        <w:gridCol w:w="2715"/>
        <w:gridCol w:w="2927"/>
      </w:tblGrid>
      <w:tr>
        <w:trPr>
          <w:tblHeader w:val="true"/>
        </w:trPr>
        <w:tc>
          <w:tcPr>
            <w:tcW w:w="10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bCs/>
              </w:rPr>
              <w:t xml:space="preserve">Требования к параметрам </w:t>
            </w:r>
            <w:r>
              <w:rPr/>
              <w:t>оборудования</w:t>
            </w:r>
          </w:p>
        </w:tc>
      </w:tr>
      <w:tr>
        <w:trPr>
          <w:tblHeader w:val="true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№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п/п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Наименование параметра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Требование заказчика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firstLine="33"/>
              <w:rPr/>
            </w:pPr>
            <w:r>
              <w:rPr/>
              <w:t>Предложение Участника</w:t>
            </w:r>
            <w:r>
              <w:rPr>
                <w:rStyle w:val="FootnoteReference"/>
                <w:vertAlign w:val="superscript"/>
              </w:rPr>
              <w:footnoteReference w:id="2"/>
            </w:r>
          </w:p>
        </w:tc>
      </w:tr>
      <w:tr>
        <w:trPr>
          <w:tblHeader w:val="true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3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4</w:t>
            </w:r>
          </w:p>
        </w:tc>
      </w:tr>
      <w:tr>
        <w:trPr>
          <w:trHeight w:val="311" w:hRule="atLeast"/>
        </w:trPr>
        <w:tc>
          <w:tcPr>
            <w:tcW w:w="10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vertAlign w:val="superscript"/>
              </w:rPr>
            </w:pPr>
            <w:r>
              <w:rPr>
                <w:bCs/>
              </w:rPr>
              <w:t>Обязательные требования</w:t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bCs/>
              </w:rPr>
              <w:t>Требования к техническим параметрам, характеристикам, функциям</w:t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Изготовитель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указать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Заводской тип (марка)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ТДН-10000/110 ВМ УХЛ1 (либо аналог)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Количество, шт.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2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Номинальное напряжение обмотки ВН, кВ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115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Номинальное напряжение обмотки НН, кВ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11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Номинальная рабочая частота, Гц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50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Схема и группа соединений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Yн/Д-11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Допустимые превышения температуры отдельных элементов трансформатора над температурой окружающей среды, °С, не более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В соответствии с ГОСТ Р 52719-2007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Потери ХХ, кВт, не более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18,0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Потери КЗ, кВт, не более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58 +10%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Передвижение трансформатора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Продольно- поперечное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Ширина колеи по ГОСТ 12965-85:</w:t>
            </w:r>
          </w:p>
          <w:p>
            <w:pPr>
              <w:pStyle w:val="Normal"/>
              <w:widowControl w:val="false"/>
              <w:rPr/>
            </w:pPr>
            <w:r>
              <w:rPr/>
              <w:t>- продольного, мм;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- поперечного, мм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1524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1524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Форма катков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С ребордой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Возможность параллельной работы (да/нет)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Да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Способ и диапазон регулирования напряжения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РПН ±16% (±9х1,78%)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Сторона регулирования РПН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ВН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Система охлаждения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Д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Напряжение короткого замыкания, %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ВН-НН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10,5±7,5%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Ток холостого хода, %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0,65+30%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Режим работы нейтрали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Изолированная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Удельная длина пути утечки внешней изоляции, см/кВ, не менее (ВН/НН)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2,5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Cs/>
              </w:rPr>
            </w:pPr>
            <w:bookmarkStart w:id="2" w:name="_Toc443550543"/>
            <w:bookmarkStart w:id="3" w:name="_Toc443550584"/>
            <w:bookmarkStart w:id="4" w:name="_Toc443550910"/>
            <w:bookmarkStart w:id="5" w:name="_Toc443551178"/>
            <w:r>
              <w:rPr>
                <w:bCs/>
              </w:rPr>
              <w:t>Требования к ремонтопригодности</w:t>
            </w:r>
            <w:bookmarkEnd w:id="2"/>
            <w:bookmarkEnd w:id="3"/>
            <w:bookmarkEnd w:id="4"/>
            <w:bookmarkEnd w:id="5"/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Ремонтопригоден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bCs/>
              </w:rPr>
              <w:t>Требования к конструкции</w:t>
            </w:r>
            <w:r>
              <w:rPr/>
              <w:t xml:space="preserve">, </w:t>
            </w:r>
            <w:r>
              <w:rPr>
                <w:bCs/>
              </w:rPr>
              <w:t>изготовлению и материалам оборудования:</w:t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Требования к материалам</w:t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3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Наличие при поставке сертификатов соответствия масла, залитого в оборудование, нормативной документации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120" w:after="120"/>
              <w:jc w:val="both"/>
              <w:rPr/>
            </w:pPr>
            <w:r>
              <w:rPr/>
              <w:t>Наличие паспорта качества содержащего данные:</w:t>
            </w:r>
          </w:p>
          <w:p>
            <w:pPr>
              <w:pStyle w:val="Normal"/>
              <w:widowControl w:val="false"/>
              <w:numPr>
                <w:ilvl w:val="1"/>
                <w:numId w:val="6"/>
              </w:numPr>
              <w:spacing w:lineRule="auto" w:line="240" w:before="120" w:after="120"/>
              <w:jc w:val="both"/>
              <w:rPr/>
            </w:pPr>
            <w:r>
              <w:rPr/>
              <w:t>Наименование, обозначение марки и назначение продукции;</w:t>
            </w:r>
          </w:p>
          <w:p>
            <w:pPr>
              <w:pStyle w:val="Normal"/>
              <w:widowControl w:val="false"/>
              <w:numPr>
                <w:ilvl w:val="1"/>
                <w:numId w:val="6"/>
              </w:numPr>
              <w:spacing w:lineRule="auto" w:line="240" w:before="120" w:after="120"/>
              <w:jc w:val="both"/>
              <w:rPr/>
            </w:pPr>
            <w:r>
              <w:rPr/>
              <w:t>Наименование изготовителя, его товарный знак, местонахождение,</w:t>
            </w:r>
          </w:p>
          <w:p>
            <w:pPr>
              <w:pStyle w:val="Normal"/>
              <w:widowControl w:val="false"/>
              <w:numPr>
                <w:ilvl w:val="1"/>
                <w:numId w:val="6"/>
              </w:numPr>
              <w:spacing w:lineRule="auto" w:line="240" w:before="120" w:after="120"/>
              <w:jc w:val="both"/>
              <w:rPr/>
            </w:pPr>
            <w:r>
              <w:rPr/>
              <w:t>Нормативные значения показателей безопасности продукции и фактические результаты испытаний;</w:t>
            </w:r>
          </w:p>
          <w:p>
            <w:pPr>
              <w:pStyle w:val="Normal"/>
              <w:widowControl w:val="false"/>
              <w:numPr>
                <w:ilvl w:val="1"/>
                <w:numId w:val="6"/>
              </w:numPr>
              <w:spacing w:lineRule="auto" w:line="240" w:before="120" w:after="120"/>
              <w:jc w:val="both"/>
              <w:rPr/>
            </w:pPr>
            <w:r>
              <w:rPr/>
              <w:t>Обозначение документа, в соответствии с которым производится продукция (при наличии);</w:t>
            </w:r>
          </w:p>
          <w:p>
            <w:pPr>
              <w:pStyle w:val="Normal"/>
              <w:widowControl w:val="false"/>
              <w:numPr>
                <w:ilvl w:val="1"/>
                <w:numId w:val="6"/>
              </w:numPr>
              <w:spacing w:lineRule="auto" w:line="240" w:before="120" w:after="120"/>
              <w:jc w:val="both"/>
              <w:rPr/>
            </w:pPr>
            <w:r>
              <w:rPr/>
              <w:t>Значения показателей продукции установленные  в нормативной документации (международной спецификации, международным или национальным стандартам, техническим условиям);</w:t>
            </w:r>
          </w:p>
          <w:p>
            <w:pPr>
              <w:pStyle w:val="Normal"/>
              <w:widowControl w:val="false"/>
              <w:numPr>
                <w:ilvl w:val="1"/>
                <w:numId w:val="6"/>
              </w:numPr>
              <w:spacing w:lineRule="auto" w:line="240" w:before="120" w:after="120"/>
              <w:jc w:val="both"/>
              <w:rPr/>
            </w:pPr>
            <w:r>
              <w:rPr/>
              <w:t>Номер паспорта;</w:t>
            </w:r>
          </w:p>
          <w:p>
            <w:pPr>
              <w:pStyle w:val="Normal"/>
              <w:widowControl w:val="false"/>
              <w:numPr>
                <w:ilvl w:val="1"/>
                <w:numId w:val="6"/>
              </w:numPr>
              <w:spacing w:lineRule="auto" w:line="240" w:before="120" w:after="120"/>
              <w:jc w:val="both"/>
              <w:rPr/>
            </w:pPr>
            <w:r>
              <w:rPr/>
              <w:t>Дата испытания (месяц, год);</w:t>
            </w:r>
          </w:p>
          <w:p>
            <w:pPr>
              <w:pStyle w:val="Normal"/>
              <w:widowControl w:val="false"/>
              <w:numPr>
                <w:ilvl w:val="1"/>
                <w:numId w:val="6"/>
              </w:numPr>
              <w:spacing w:lineRule="auto" w:line="240" w:before="120" w:after="120"/>
              <w:jc w:val="both"/>
              <w:rPr/>
            </w:pPr>
            <w:r>
              <w:rPr/>
              <w:t>Подпись лица, оформившего паспорт.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120" w:after="120"/>
              <w:jc w:val="both"/>
              <w:rPr/>
            </w:pPr>
            <w:r>
              <w:rPr/>
              <w:t>Наличие паспорта безопасной химической продукции содержащего данные:</w:t>
            </w:r>
          </w:p>
          <w:p>
            <w:pPr>
              <w:pStyle w:val="Normal"/>
              <w:widowControl w:val="false"/>
              <w:numPr>
                <w:ilvl w:val="1"/>
                <w:numId w:val="6"/>
              </w:numPr>
              <w:spacing w:lineRule="auto" w:line="240" w:before="120" w:after="120"/>
              <w:jc w:val="both"/>
              <w:rPr/>
            </w:pPr>
            <w:r>
              <w:rPr/>
              <w:t>Сведения об опасных свойствах химической продукции;</w:t>
            </w:r>
          </w:p>
          <w:p>
            <w:pPr>
              <w:pStyle w:val="Normal"/>
              <w:widowControl w:val="false"/>
              <w:numPr>
                <w:ilvl w:val="1"/>
                <w:numId w:val="6"/>
              </w:numPr>
              <w:spacing w:lineRule="auto" w:line="240" w:before="120" w:after="120"/>
              <w:jc w:val="both"/>
              <w:rPr/>
            </w:pPr>
            <w:r>
              <w:rPr/>
              <w:t>Сведения об изготовителях;</w:t>
            </w:r>
          </w:p>
          <w:p>
            <w:pPr>
              <w:pStyle w:val="Normal"/>
              <w:widowControl w:val="false"/>
              <w:numPr>
                <w:ilvl w:val="1"/>
                <w:numId w:val="6"/>
              </w:numPr>
              <w:spacing w:lineRule="auto" w:line="240" w:before="120" w:after="120"/>
              <w:jc w:val="both"/>
              <w:rPr/>
            </w:pPr>
            <w:r>
              <w:rPr/>
              <w:t>Меры предупреждения и требования для обеспечения безопасного обращения химической продукции.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120" w:after="120"/>
              <w:jc w:val="both"/>
              <w:rPr/>
            </w:pPr>
            <w:r>
              <w:rPr/>
              <w:t>Предоставление сертификата соответствия.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Предоставление копии Свидетельства о государственной аккредитации испытательной лаборатории, подтвердившей соответствие качества масла требованиям нормативной документации (международной спецификации, международным или национальным стандартам, техническим условиям).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3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Показатели масла из бака трансформатора и контактора устройства РПН: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- пробивное напряжение после заливки, не хуже</w:t>
            </w:r>
          </w:p>
          <w:p>
            <w:pPr>
              <w:pStyle w:val="Normal"/>
              <w:widowControl w:val="false"/>
              <w:rPr/>
            </w:pPr>
            <w:r>
              <w:rPr/>
              <w:t>- кислотное число, мг КОН /г масла, (после заливки) не более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- температура вспышки в закрытом тигле, </w:t>
            </w:r>
            <w:r>
              <w:rPr>
                <w:vertAlign w:val="superscript"/>
              </w:rPr>
              <w:t>о</w:t>
            </w:r>
            <w:r>
              <w:rPr/>
              <w:t>С, не ниже</w:t>
            </w:r>
          </w:p>
          <w:p>
            <w:pPr>
              <w:pStyle w:val="Normal"/>
              <w:widowControl w:val="false"/>
              <w:rPr/>
            </w:pPr>
            <w:r>
              <w:rPr/>
              <w:t>- тангенс угла диэлектрических потерь при температуре 90°С(после заливки)</w:t>
            </w:r>
          </w:p>
          <w:p>
            <w:pPr>
              <w:pStyle w:val="Normal"/>
              <w:widowControl w:val="false"/>
              <w:rPr/>
            </w:pPr>
            <w:r>
              <w:rPr/>
              <w:t>- влагосодержание, г/т</w:t>
            </w:r>
          </w:p>
          <w:p>
            <w:pPr>
              <w:pStyle w:val="Normal"/>
              <w:widowControl w:val="false"/>
              <w:rPr/>
            </w:pPr>
            <w:r>
              <w:rPr/>
              <w:t>- содержание механических примесей (класс чистоты)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- содержание водорастворимых кислот и щелочей (качественно)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Должны соответствовать требованиям нормативной документации  ПТЭ ЭС и С РФ, Объем и Нормы испытаний электрооборудования СО 34.45-51.300-97 и СТО РусГидро 02.01.112-2015.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60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0,02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135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2,0</w:t>
            </w:r>
          </w:p>
          <w:p>
            <w:pPr>
              <w:pStyle w:val="Normal"/>
              <w:widowControl w:val="false"/>
              <w:rPr/>
            </w:pPr>
            <w:r>
              <w:rPr/>
              <w:t>10</w:t>
            </w:r>
          </w:p>
          <w:p>
            <w:pPr>
              <w:pStyle w:val="Normal"/>
              <w:widowControl w:val="false"/>
              <w:rPr/>
            </w:pPr>
            <w:r>
              <w:rPr/>
              <w:t>отсутствие (12)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отсутствие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3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Провод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Скальпированный или иной, изготовленный по технологии, обеспечивающей отсутствие заусенцев, эмалированный со склейкой, транспонированный.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3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Требование к контрольным кабелям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Кабели  экранированные, должны иметь изоляцию, не поддерживающую горение, с малым дымовыделением; материал кабелей – медь.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Требования к конструкции</w:t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3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Конструкция вводов и трансформатора должна допускать демонтаж и замену вводов без съёма крышки, бака, выемки активной части, слива масла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Да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3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Ввод ВН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С твердой (RIP) изоляцией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3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Ввод НН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Маслоподпорный, фарфор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3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Ввод нейтрали ВН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Маслоподпорный, фарфор, либо аналог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3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Количество вводов на:</w:t>
            </w:r>
          </w:p>
          <w:p>
            <w:pPr>
              <w:pStyle w:val="Normal"/>
              <w:widowControl w:val="false"/>
              <w:rPr/>
            </w:pPr>
            <w:r>
              <w:rPr/>
              <w:t>-ВН</w:t>
            </w:r>
          </w:p>
          <w:p>
            <w:pPr>
              <w:pStyle w:val="Normal"/>
              <w:widowControl w:val="false"/>
              <w:rPr/>
            </w:pPr>
            <w:r>
              <w:rPr/>
              <w:t>-НН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-нейтрали ВН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3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Консольная нагрузка на ввод, Н, не менее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1000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3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Наличие измерительного вывода от изоляции  ввода ВН для возможности его диагностики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Да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3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  <w:bookmarkStart w:id="6" w:name="_Ref443550720"/>
            <w:bookmarkStart w:id="7" w:name="_Ref443550720"/>
            <w:bookmarkEnd w:id="7"/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Термосифонный фильтр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Да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3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Индикатор температуры обмоток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Да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3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Конструкция трансформатора должна предусматривать перекатку в продольном и поперечном направлениях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Да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3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Габаритные размеры, мм, не более:</w:t>
            </w:r>
          </w:p>
          <w:p>
            <w:pPr>
              <w:pStyle w:val="Normal"/>
              <w:widowControl w:val="false"/>
              <w:rPr/>
            </w:pPr>
            <w:r>
              <w:rPr/>
              <w:t>- длина;</w:t>
            </w:r>
          </w:p>
          <w:p>
            <w:pPr>
              <w:pStyle w:val="Normal"/>
              <w:widowControl w:val="false"/>
              <w:rPr/>
            </w:pPr>
            <w:r>
              <w:rPr/>
              <w:t>- ширина;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- высота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6100</w:t>
            </w:r>
          </w:p>
          <w:p>
            <w:pPr>
              <w:pStyle w:val="Normal"/>
              <w:widowControl w:val="false"/>
              <w:rPr/>
            </w:pPr>
            <w:r>
              <w:rPr/>
              <w:t>3500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5400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Встроенные трансформаторы тока</w:t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3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На вводе ВН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Без встроенных трансформаторов тока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3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На вводе нейтрали ВН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Без встроенных трансформаторов тока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Система охлаждения</w:t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3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Вид системы охлаждения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Д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3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Компоновка охладителей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Навесная на баке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3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Конструкция радиаторов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Пластинчатая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3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Автоматика управления системой охлаждения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Да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3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Возможность ручного управления системой охлаждения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Да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3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Срок эксплуатации вентиляторов системы охлаждения, лет, не менее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30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3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Номинальное напряжение двигателей, В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~380, 50Гц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3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Напряжение питания, В:</w:t>
            </w:r>
          </w:p>
          <w:p>
            <w:pPr>
              <w:pStyle w:val="Normal"/>
              <w:widowControl w:val="false"/>
              <w:rPr/>
            </w:pPr>
            <w:r>
              <w:rPr/>
              <w:t>- электродвигателей вентиляторов переменного тока</w:t>
            </w:r>
          </w:p>
          <w:p>
            <w:pPr>
              <w:pStyle w:val="Normal"/>
              <w:widowControl w:val="false"/>
              <w:rPr/>
            </w:pPr>
            <w:r>
              <w:rPr/>
              <w:t>- цепей управления переменного тока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- цепей сигнализации постоянного тока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380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220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220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Расширительный бак</w:t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3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Ёмкость расширителя должна обеспечивать постоянное наличие в нем масла вне зависимости от режима работы трансформатора и температуры окружающей среды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Да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3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Плёночная защита масла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Да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3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Система защиты надпленочного пространства расширителя должна осуществляться через воздухоосушитель с силикагелем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Да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3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Предусмотреть защиту надмаслянного пространства отсека РПН расширителя при помощи воздухоосушителя с техническим и индикаторным  селикагелем (в случае применения маслонаполненого РПН)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Да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3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Маслоуказатель расширителя с датчиками максимального и минимального уровня масла: -45°С (мин), +40°С (макс)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Да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3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Контрольные метки на шкале маслоуказателя для следующих температур масла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минус 45; плюс 15; плюс 40ºС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Устройство регулирования напряжения</w:t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3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Тип, производитель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указать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3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Расположение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РПН в нейтрали ВН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3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Диапазон регулирования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±9 х 1,78%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3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Ресурс по механической износостойкости РПН без нагрузки, переключений, не менее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500000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3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Ресурс по электрической износостойкости  контактов контакторов РПН разрывающих ток при переключении, не менее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100000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3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Количество переключений до замены масла в контакторе, не менее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50000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3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Привод РПН должен быть оборудован системой обогрева (с автоматикой)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Да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3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Устройство РПН должно быть снабжено: струйным реле, датчиком положения, датчиком температуры с уставкой от -25°С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Да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Ручное и автоматическе управление приводом РПН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Да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Cs/>
              </w:rPr>
            </w:pPr>
            <w:bookmarkStart w:id="8" w:name="_Toc443550545"/>
            <w:bookmarkStart w:id="9" w:name="_Toc443550586"/>
            <w:bookmarkStart w:id="10" w:name="_Toc443550912"/>
            <w:bookmarkStart w:id="11" w:name="_Toc443551180"/>
            <w:r>
              <w:rPr>
                <w:bCs/>
              </w:rPr>
              <w:t>Цвет по RAL</w:t>
            </w:r>
            <w:bookmarkEnd w:id="8"/>
            <w:bookmarkEnd w:id="9"/>
            <w:bookmarkEnd w:id="10"/>
            <w:bookmarkEnd w:id="11"/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RAL 7035 (светло-серый)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Cs/>
              </w:rPr>
            </w:pPr>
            <w:r>
              <w:rPr>
                <w:bCs/>
              </w:rPr>
              <w:t>Требования к климатическому исполнению и стойкости к воздействующим климатическим факторам:</w:t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Климатическое исполнение и категория размещения по ГОСТ 15150-69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УХЛ1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Верхнее значение температуры окружающего воздуха, °С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+40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Нижнее значение температуры окружающего воздуха, °С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-60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Допустимая скорость ветра при отсутствии гололеда, м/с, не менее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36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Ветровое давление, кПа, не менее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0,38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Допустимая толщина стенки гололеда, мм, при скорости ветра 15 м/с, не менее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20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Высота установки над уровнем моря, м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1000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Сейсмостойкость по шкале MSK-64, баллов, не менее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7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bCs/>
              </w:rPr>
              <w:t>Требования к экономическим параметрам поставляемого оборудования:</w:t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Наработка на отказ по всему объему оборудования, часов не менее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25000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Cs/>
              </w:rPr>
            </w:pPr>
            <w:bookmarkStart w:id="12" w:name="_Toc443550546"/>
            <w:bookmarkStart w:id="13" w:name="_Toc443550587"/>
            <w:bookmarkStart w:id="14" w:name="_Toc443550913"/>
            <w:bookmarkStart w:id="15" w:name="_Toc443551181"/>
            <w:r>
              <w:rPr>
                <w:lang w:val="x-none"/>
              </w:rPr>
              <w:t>Назначенный срок службы</w:t>
            </w:r>
            <w:r>
              <w:rPr/>
              <w:t>, лет, не менее</w:t>
            </w:r>
            <w:bookmarkEnd w:id="12"/>
            <w:bookmarkEnd w:id="13"/>
            <w:bookmarkEnd w:id="14"/>
            <w:bookmarkEnd w:id="15"/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30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Cs/>
              </w:rPr>
            </w:pPr>
            <w:bookmarkStart w:id="16" w:name="_Toc443550547"/>
            <w:bookmarkStart w:id="17" w:name="_Toc443550588"/>
            <w:bookmarkStart w:id="18" w:name="_Toc443550914"/>
            <w:bookmarkStart w:id="19" w:name="_Toc443551182"/>
            <w:r>
              <w:rPr/>
              <w:t>Периодичность выполнения и объем ремонтов</w:t>
            </w:r>
            <w:bookmarkEnd w:id="16"/>
            <w:bookmarkEnd w:id="17"/>
            <w:bookmarkEnd w:id="18"/>
            <w:bookmarkEnd w:id="19"/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i/>
                <w:i/>
              </w:rPr>
            </w:pPr>
            <w:r>
              <w:rPr/>
              <w:t>Согласно заводской документации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bookmarkStart w:id="20" w:name="_Toc443550548"/>
            <w:bookmarkStart w:id="21" w:name="_Toc443550589"/>
            <w:bookmarkStart w:id="22" w:name="_Toc443550915"/>
            <w:bookmarkStart w:id="23" w:name="_Toc443551183"/>
            <w:r>
              <w:rPr/>
              <w:t>Периодичность выполнения и объем ТО</w:t>
            </w:r>
            <w:bookmarkEnd w:id="20"/>
            <w:bookmarkEnd w:id="21"/>
            <w:bookmarkEnd w:id="22"/>
            <w:bookmarkEnd w:id="23"/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Согласно заводской документации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bookmarkStart w:id="24" w:name="_Toc443550549"/>
            <w:bookmarkStart w:id="25" w:name="_Toc443550590"/>
            <w:bookmarkStart w:id="26" w:name="_Toc443550916"/>
            <w:bookmarkStart w:id="27" w:name="_Toc443551184"/>
            <w:r>
              <w:rPr/>
              <w:t>Коэффициент готовности</w:t>
            </w:r>
            <w:bookmarkEnd w:id="24"/>
            <w:bookmarkEnd w:id="25"/>
            <w:bookmarkEnd w:id="26"/>
            <w:bookmarkEnd w:id="27"/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100%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bCs/>
              </w:rPr>
              <w:t>Требования к маркировке, упаковке, транспортировке, условиям  хранения:</w:t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Cs/>
              </w:rPr>
            </w:pPr>
            <w:bookmarkStart w:id="28" w:name="_Toc443550550"/>
            <w:bookmarkStart w:id="29" w:name="_Toc443550591"/>
            <w:bookmarkStart w:id="30" w:name="_Toc443550917"/>
            <w:bookmarkStart w:id="31" w:name="_Toc443551185"/>
            <w:r>
              <w:rPr>
                <w:bCs/>
              </w:rPr>
              <w:t>Маркировка, упаковка и консервация</w:t>
            </w:r>
            <w:bookmarkEnd w:id="28"/>
            <w:bookmarkEnd w:id="29"/>
            <w:bookmarkEnd w:id="30"/>
            <w:bookmarkEnd w:id="31"/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Да.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Заливка трансформаторов маслом с последующей консервацией на территории Заказчика для длительного хранения на открытой площадке с сохранением гарантии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Cs/>
              </w:rPr>
            </w:pPr>
            <w:bookmarkStart w:id="32" w:name="_Toc443550551"/>
            <w:bookmarkStart w:id="33" w:name="_Toc443550592"/>
            <w:bookmarkStart w:id="34" w:name="_Toc443550918"/>
            <w:bookmarkStart w:id="35" w:name="_Toc443551186"/>
            <w:r>
              <w:rPr>
                <w:bCs/>
                <w:lang w:val="x-none"/>
              </w:rPr>
              <w:t>Условия транспортирования</w:t>
            </w:r>
            <w:bookmarkEnd w:id="32"/>
            <w:bookmarkEnd w:id="33"/>
            <w:bookmarkEnd w:id="34"/>
            <w:bookmarkEnd w:id="35"/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Транспортирование оборудования может производиться автомобильным транспортом соответствующей грузоподъёмности согласно действующим правилам перевозки на данном виде транспорта.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Упаковка должна соответствовать установленным стандартам или техническим условиям и обеспечивать сохранность во время транспортировки  любым транспортом, а также при проведении погрузо-разгрузочных работ.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открытое хранение.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Cs/>
              </w:rPr>
            </w:pPr>
            <w:bookmarkStart w:id="36" w:name="_Toc443550552"/>
            <w:bookmarkStart w:id="37" w:name="_Toc443550593"/>
            <w:bookmarkStart w:id="38" w:name="_Toc443550919"/>
            <w:bookmarkStart w:id="39" w:name="_Toc443551187"/>
            <w:r>
              <w:rPr>
                <w:bCs/>
                <w:lang w:val="x-none"/>
              </w:rPr>
              <w:t>Срок хранения в упаковке изготовителя, отдельно хранящихся деталей, сборочных единиц, ЗИП</w:t>
            </w:r>
            <w:bookmarkEnd w:id="36"/>
            <w:bookmarkEnd w:id="37"/>
            <w:bookmarkEnd w:id="38"/>
            <w:bookmarkEnd w:id="39"/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Не менее  3 лет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Наличие «шок-индикатора» на транспортной упаковке для контроля условий транспортирования (да/нет)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Да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Cs/>
              </w:rPr>
            </w:pPr>
            <w:bookmarkStart w:id="40" w:name="_Toc443550553"/>
            <w:bookmarkStart w:id="41" w:name="_Toc443550594"/>
            <w:bookmarkStart w:id="42" w:name="_Toc443550920"/>
            <w:bookmarkStart w:id="43" w:name="_Toc443551188"/>
            <w:r>
              <w:rPr>
                <w:lang w:val="x-none"/>
              </w:rPr>
              <w:t>Наличие сертификатов соответствия ГОСТ, на поставляемое оборудование</w:t>
            </w:r>
            <w:bookmarkEnd w:id="40"/>
            <w:bookmarkEnd w:id="41"/>
            <w:bookmarkEnd w:id="42"/>
            <w:bookmarkEnd w:id="43"/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Силовые трансформаторы и вспомогательное оборудование, кабельную продукцию, ЗИП в соответствии с технической спецификацией от изготовителя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bookmarkStart w:id="44" w:name="_Toc443550554"/>
            <w:bookmarkStart w:id="45" w:name="_Toc443550595"/>
            <w:bookmarkStart w:id="46" w:name="_Toc443550921"/>
            <w:bookmarkStart w:id="47" w:name="_Toc443551189"/>
            <w:r>
              <w:rPr/>
              <w:t>Наличие сервисного центра в РФ</w:t>
            </w:r>
            <w:bookmarkEnd w:id="44"/>
            <w:bookmarkEnd w:id="45"/>
            <w:bookmarkEnd w:id="46"/>
            <w:bookmarkEnd w:id="47"/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Обязательно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Cs/>
              </w:rPr>
            </w:pPr>
            <w:bookmarkStart w:id="48" w:name="_Toc443550555"/>
            <w:bookmarkStart w:id="49" w:name="_Toc443550596"/>
            <w:bookmarkStart w:id="50" w:name="_Toc443550922"/>
            <w:bookmarkStart w:id="51" w:name="_Toc443551190"/>
            <w:r>
              <w:rPr>
                <w:bCs/>
              </w:rPr>
              <w:t>Срок  гарантии на оборудование, месяцев, не менее</w:t>
            </w:r>
            <w:bookmarkEnd w:id="48"/>
            <w:bookmarkEnd w:id="49"/>
            <w:bookmarkEnd w:id="50"/>
            <w:bookmarkEnd w:id="51"/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36 месяцев с даты получения разрешения на ввод в эксплуатацию, но не более 48 месяцев с даты поставки и подписания товарной накладной по форме ТОРГ-12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Cs/>
              </w:rPr>
            </w:pPr>
            <w:bookmarkStart w:id="52" w:name="_Toc443550557"/>
            <w:bookmarkStart w:id="53" w:name="_Toc443550598"/>
            <w:bookmarkStart w:id="54" w:name="_Toc443550924"/>
            <w:bookmarkStart w:id="55" w:name="_Toc443551192"/>
            <w:r>
              <w:rPr>
                <w:bCs/>
              </w:rPr>
              <w:t>Место поставки оборудования</w:t>
            </w:r>
            <w:bookmarkEnd w:id="52"/>
            <w:bookmarkEnd w:id="53"/>
            <w:bookmarkEnd w:id="54"/>
            <w:bookmarkEnd w:id="55"/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bidi="ru-RU"/>
              </w:rPr>
            </w:pPr>
            <w:r>
              <w:rPr>
                <w:lang w:bidi="ru-RU"/>
              </w:rPr>
              <w:t>На территорию Заказчика с оформлением через склад. Погрузочно-разгрузочные работы производит Поставщик с использованием собственных ГПМ.</w:t>
            </w:r>
          </w:p>
          <w:p>
            <w:pPr>
              <w:pStyle w:val="Normal"/>
              <w:widowControl w:val="false"/>
              <w:rPr>
                <w:lang w:bidi="ru-RU"/>
              </w:rPr>
            </w:pPr>
            <w:r>
              <w:rPr>
                <w:lang w:bidi="ru-RU"/>
              </w:rPr>
              <w:t>Почтовый адрес: 445350, Самарская область, г. Жигулевск, ул. Московское шоссе,2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 xml:space="preserve"> </w:t>
            </w:r>
            <w:r>
              <w:rPr/>
              <w:t>Оборудование должно пройти все, предусмотренные законодательством Российской Федерации (и применимым законодательством других государств), процедуры таможенной очистки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Cs/>
              </w:rPr>
            </w:pPr>
            <w:bookmarkStart w:id="56" w:name="_Toc443550558"/>
            <w:bookmarkStart w:id="57" w:name="_Toc443550599"/>
            <w:bookmarkStart w:id="58" w:name="_Toc443550925"/>
            <w:bookmarkStart w:id="59" w:name="_Toc443551193"/>
            <w:r>
              <w:rPr>
                <w:bCs/>
              </w:rPr>
              <w:t>Объем поставки  оборудования</w:t>
            </w:r>
            <w:bookmarkEnd w:id="56"/>
            <w:bookmarkEnd w:id="57"/>
            <w:bookmarkEnd w:id="58"/>
            <w:bookmarkEnd w:id="59"/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Силовые трансформаторы и вспомогательное оборудование, кабельная продукция, ЗИП в соответствии с технической спецификацией от изготовителя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Cs/>
              </w:rPr>
            </w:pPr>
            <w:r>
              <w:rPr>
                <w:bCs/>
              </w:rPr>
              <w:t>Объем комплектации:</w:t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Трансформатор в сборе (да/нет)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Да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Комплектующие изделия в соответствии с нормативной документацией на трансформатор конкретного типа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Да, ГОСТ Р52719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Масло в полном объёме (транспортное, для дозаливки)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Да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Резервное количество масла для долива при монтаже и технологических операциях, 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Согласно заводской документации.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Газовое реле с двумя сигнальными и двумя отключающими контактами (да/нет)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Да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Указатели уровней масла в расширителях трансформатора и бака РПН со шкалой и возможностью дистанционного контроля уровней масла, с контактами минимального и максимального уровня (да/нет)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Да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Струйное реле отсека РПН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да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Индикатор температуры масла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Да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Предохранительный клапан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Да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Шкаф электрических соединений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Да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Комплект приспособлений для сервисного обслуживания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Требуется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Техническая документация на русском языке:</w:t>
            </w:r>
          </w:p>
          <w:p>
            <w:pPr>
              <w:pStyle w:val="Normal"/>
              <w:widowControl w:val="false"/>
              <w:rPr/>
            </w:pPr>
            <w:r>
              <w:rPr/>
              <w:t>- паспорт трансформатора;</w:t>
            </w:r>
          </w:p>
          <w:p>
            <w:pPr>
              <w:pStyle w:val="Normal"/>
              <w:widowControl w:val="false"/>
              <w:rPr/>
            </w:pPr>
            <w:r>
              <w:rPr/>
              <w:t>- паспорта комплектующих изделий;</w:t>
            </w:r>
          </w:p>
          <w:p>
            <w:pPr>
              <w:pStyle w:val="Normal"/>
              <w:widowControl w:val="false"/>
              <w:rPr/>
            </w:pPr>
            <w:r>
              <w:rPr/>
              <w:t>- руководство по эксплуатации трансформатора и комплектующих изделий;</w:t>
            </w:r>
          </w:p>
          <w:p>
            <w:pPr>
              <w:pStyle w:val="Normal"/>
              <w:widowControl w:val="false"/>
              <w:rPr/>
            </w:pPr>
            <w:r>
              <w:rPr/>
              <w:t>- инструкция по транспортированию, разгрузке, хранению, монтажу и вводу в эксплуатацию трансформатора;</w:t>
            </w:r>
          </w:p>
          <w:p>
            <w:pPr>
              <w:pStyle w:val="Normal"/>
              <w:widowControl w:val="false"/>
              <w:rPr/>
            </w:pPr>
            <w:r>
              <w:rPr/>
              <w:t>- чертежи важнейших составных частей в соответствии с НД на трансформаторы конкретных видов;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- протоколы приемосдаточных испытаний.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Да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Cs/>
              </w:rPr>
            </w:pPr>
            <w:bookmarkStart w:id="60" w:name="_Toc443550559"/>
            <w:bookmarkStart w:id="61" w:name="_Toc443550600"/>
            <w:bookmarkStart w:id="62" w:name="_Toc443550926"/>
            <w:bookmarkStart w:id="63" w:name="_Toc443551194"/>
            <w:r>
              <w:rPr>
                <w:bCs/>
              </w:rPr>
              <w:t>Условия поставки</w:t>
            </w:r>
            <w:bookmarkEnd w:id="60"/>
            <w:bookmarkEnd w:id="61"/>
            <w:bookmarkEnd w:id="62"/>
            <w:bookmarkEnd w:id="63"/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Транспортирование оборудования производится  силами и средствами поставщика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spacing w:lineRule="auto" w:line="240" w:before="120" w:after="120"/>
        <w:jc w:val="both"/>
        <w:rPr>
          <w:b/>
          <w:bCs/>
        </w:rPr>
      </w:pPr>
      <w:r>
        <w:rPr>
          <w:b/>
          <w:bCs/>
        </w:rPr>
        <w:t xml:space="preserve">Сроки поставки оборудования </w:t>
      </w:r>
    </w:p>
    <w:p>
      <w:pPr>
        <w:pStyle w:val="Normal"/>
        <w:rPr>
          <w:bCs/>
        </w:rPr>
      </w:pPr>
      <w:r>
        <w:rPr>
          <w:bCs/>
        </w:rPr>
        <w:t xml:space="preserve">                                                                                                            </w:t>
      </w:r>
      <w:r>
        <w:rPr>
          <w:bCs/>
        </w:rPr>
        <w:t>Таблица №2.</w:t>
      </w:r>
    </w:p>
    <w:tbl>
      <w:tblPr>
        <w:tblW w:w="10229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75"/>
        <w:gridCol w:w="3261"/>
        <w:gridCol w:w="3968"/>
        <w:gridCol w:w="2324"/>
      </w:tblGrid>
      <w:tr>
        <w:trPr>
          <w:cantSplit w:val="true"/>
        </w:trPr>
        <w:tc>
          <w:tcPr>
            <w:tcW w:w="10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Сроки поставки оборудования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№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Наименование параметра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Требование заказчика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vertAlign w:val="superscript"/>
              </w:rPr>
            </w:pPr>
            <w:r>
              <w:rPr/>
              <w:t>Предложение Участника</w:t>
            </w:r>
            <w:r>
              <w:rPr>
                <w:vertAlign w:val="superscript"/>
              </w:rPr>
              <w:t>1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4</w:t>
            </w:r>
          </w:p>
        </w:tc>
      </w:tr>
      <w:tr>
        <w:trPr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Cs/>
              </w:rPr>
            </w:pPr>
            <w:bookmarkStart w:id="64" w:name="_Toc443550561"/>
            <w:bookmarkStart w:id="65" w:name="_Toc443550602"/>
            <w:bookmarkStart w:id="66" w:name="_Toc443550928"/>
            <w:bookmarkStart w:id="67" w:name="_Toc443551196"/>
            <w:r>
              <w:rPr>
                <w:bCs/>
              </w:rPr>
              <w:t>Срок поставки оборудования</w:t>
            </w:r>
            <w:bookmarkEnd w:id="64"/>
            <w:bookmarkEnd w:id="65"/>
            <w:bookmarkEnd w:id="66"/>
            <w:bookmarkEnd w:id="67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i/>
                <w:i/>
              </w:rPr>
            </w:pPr>
            <w:r>
              <w:rPr/>
              <w:t>В течение 10 месяцев с даты вступления договора в силу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spacing w:lineRule="auto" w:line="240" w:before="120" w:after="120"/>
        <w:jc w:val="both"/>
        <w:rPr>
          <w:b/>
          <w:bCs/>
        </w:rPr>
      </w:pPr>
      <w:r>
        <w:rPr>
          <w:b/>
          <w:bCs/>
        </w:rPr>
        <w:t>Иные условия поставки товаров, выполнения работ, оказания услуг</w:t>
      </w:r>
    </w:p>
    <w:p>
      <w:pPr>
        <w:pStyle w:val="Normal"/>
        <w:rPr>
          <w:b/>
          <w:bCs/>
        </w:rPr>
      </w:pPr>
      <w:r>
        <w:rPr>
          <w:b/>
          <w:bCs/>
        </w:rPr>
        <w:t>6.1.Основные этапы выполнения поставки:</w:t>
      </w:r>
    </w:p>
    <w:p>
      <w:pPr>
        <w:pStyle w:val="Normal"/>
        <w:numPr>
          <w:ilvl w:val="2"/>
          <w:numId w:val="8"/>
        </w:numPr>
        <w:spacing w:lineRule="auto" w:line="240" w:before="120" w:after="120"/>
        <w:jc w:val="both"/>
        <w:rPr>
          <w:bCs/>
        </w:rPr>
      </w:pPr>
      <w:r>
        <w:rPr>
          <w:bCs/>
        </w:rPr>
        <w:t>Разработка конструкторской документации;</w:t>
      </w:r>
    </w:p>
    <w:p>
      <w:pPr>
        <w:pStyle w:val="Normal"/>
        <w:numPr>
          <w:ilvl w:val="2"/>
          <w:numId w:val="8"/>
        </w:numPr>
        <w:spacing w:lineRule="auto" w:line="240" w:before="120" w:after="120"/>
        <w:jc w:val="both"/>
        <w:rPr>
          <w:bCs/>
        </w:rPr>
      </w:pPr>
      <w:r>
        <w:rPr>
          <w:bCs/>
        </w:rPr>
        <w:t>Изготовление оборудование;</w:t>
      </w:r>
    </w:p>
    <w:p>
      <w:pPr>
        <w:pStyle w:val="Normal"/>
        <w:numPr>
          <w:ilvl w:val="2"/>
          <w:numId w:val="8"/>
        </w:numPr>
        <w:spacing w:lineRule="auto" w:line="240" w:before="120" w:after="120"/>
        <w:jc w:val="both"/>
        <w:rPr>
          <w:bCs/>
        </w:rPr>
      </w:pPr>
      <w:r>
        <w:rPr>
          <w:bCs/>
        </w:rPr>
        <w:t>Приемочные испытания оборудования;</w:t>
      </w:r>
    </w:p>
    <w:p>
      <w:pPr>
        <w:pStyle w:val="Normal"/>
        <w:numPr>
          <w:ilvl w:val="2"/>
          <w:numId w:val="8"/>
        </w:numPr>
        <w:spacing w:lineRule="auto" w:line="240" w:before="120" w:after="120"/>
        <w:jc w:val="both"/>
        <w:rPr>
          <w:bCs/>
        </w:rPr>
      </w:pPr>
      <w:r>
        <w:rPr>
          <w:bCs/>
        </w:rPr>
        <w:t>Подготовка оборудования к транспортировке;</w:t>
      </w:r>
    </w:p>
    <w:p>
      <w:pPr>
        <w:pStyle w:val="Normal"/>
        <w:numPr>
          <w:ilvl w:val="2"/>
          <w:numId w:val="8"/>
        </w:numPr>
        <w:spacing w:lineRule="auto" w:line="240" w:before="120" w:after="120"/>
        <w:jc w:val="both"/>
        <w:rPr>
          <w:bCs/>
        </w:rPr>
      </w:pPr>
      <w:r>
        <w:rPr>
          <w:bCs/>
        </w:rPr>
        <w:t>Транспортировка к месту хранения (территория Филиала);</w:t>
      </w:r>
    </w:p>
    <w:p>
      <w:pPr>
        <w:pStyle w:val="Normal"/>
        <w:numPr>
          <w:ilvl w:val="2"/>
          <w:numId w:val="8"/>
        </w:numPr>
        <w:spacing w:lineRule="auto" w:line="240" w:before="120" w:after="120"/>
        <w:jc w:val="both"/>
        <w:rPr>
          <w:bCs/>
        </w:rPr>
      </w:pPr>
      <w:r>
        <w:rPr>
          <w:bCs/>
        </w:rPr>
        <w:t>Производство погрузочно-разгрузочных работ на месте хранения;</w:t>
      </w:r>
    </w:p>
    <w:p>
      <w:pPr>
        <w:pStyle w:val="Normal"/>
        <w:numPr>
          <w:ilvl w:val="2"/>
          <w:numId w:val="8"/>
        </w:numPr>
        <w:spacing w:lineRule="auto" w:line="240" w:before="120" w:after="120"/>
        <w:jc w:val="both"/>
        <w:rPr>
          <w:bCs/>
        </w:rPr>
      </w:pPr>
      <w:r>
        <w:rPr>
          <w:bCs/>
        </w:rPr>
        <w:t>Консервация на период хранения на открытой площадке с сохранением гарантии продолжительностью до 3х лет (выполняется с заливкой трансформаторов маслом и организацией других сопутствующих мероприятий в соответствии с требованиями по хранению, устанавливаемых заводом-изготовителем).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jc w:val="both"/>
        <w:rPr/>
      </w:pPr>
      <w:r>
        <w:rPr>
          <w:b/>
          <w:bCs/>
        </w:rPr>
        <w:t>Требования к Участнику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</w:t>
      </w:r>
      <w:r>
        <w:rPr/>
        <w:t>Таблица №3</w:t>
      </w:r>
    </w:p>
    <w:tbl>
      <w:tblPr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94"/>
        <w:gridCol w:w="3356"/>
        <w:gridCol w:w="4110"/>
        <w:gridCol w:w="2112"/>
      </w:tblGrid>
      <w:tr>
        <w:trPr>
          <w:trHeight w:val="413" w:hRule="atLeast"/>
        </w:trPr>
        <w:tc>
          <w:tcPr>
            <w:tcW w:w="10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bCs/>
              </w:rPr>
              <w:t>Требования к Участнику</w:t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№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п/п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Наименование параметра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Требование заказчика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Предложение Участника</w:t>
            </w:r>
            <w:r>
              <w:rPr>
                <w:vertAlign w:val="superscript"/>
              </w:rPr>
              <w:t>1</w:t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4</w:t>
            </w:r>
          </w:p>
        </w:tc>
      </w:tr>
      <w:tr>
        <w:trPr>
          <w:trHeight w:val="311" w:hRule="atLeast"/>
        </w:trPr>
        <w:tc>
          <w:tcPr>
            <w:tcW w:w="10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bCs/>
              </w:rPr>
              <w:t>Обязательные требования</w:t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lang w:val="x-none"/>
              </w:rPr>
            </w:pPr>
            <w:r>
              <w:rPr>
                <w:lang w:val="x-none"/>
              </w:rPr>
            </w:r>
          </w:p>
        </w:tc>
        <w:tc>
          <w:tcPr>
            <w:tcW w:w="9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bCs/>
              </w:rPr>
              <w:t>Наличие соглашений, свидетельств, лицензии:</w:t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pacing w:lineRule="auto" w:line="240" w:before="120" w:after="120"/>
              <w:jc w:val="both"/>
              <w:rPr>
                <w:lang w:val="x-none"/>
              </w:rPr>
            </w:pPr>
            <w:r>
              <w:rPr>
                <w:lang w:val="x-none"/>
              </w:rPr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Cs/>
              </w:rPr>
            </w:pPr>
            <w:r>
              <w:rPr>
                <w:bCs/>
              </w:rPr>
              <w:t>Соглашение с производителем оборудования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Представить письмо производителя, гарантирующее готовность завода-изготовителя осуществить поставку оборудования на условиях и в срок согласно настоящим Техническим требованиям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lang w:val="x-none"/>
              </w:rPr>
            </w:pPr>
            <w:r>
              <w:rPr>
                <w:lang w:val="x-none"/>
              </w:rPr>
            </w:r>
          </w:p>
        </w:tc>
        <w:tc>
          <w:tcPr>
            <w:tcW w:w="9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bCs/>
              </w:rPr>
              <w:t>Требования к опыту:</w:t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pacing w:lineRule="auto" w:line="240" w:before="120" w:after="120"/>
              <w:jc w:val="both"/>
              <w:rPr>
                <w:lang w:val="x-none"/>
              </w:rPr>
            </w:pPr>
            <w:r>
              <w:rPr>
                <w:lang w:val="x-none"/>
              </w:rPr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Cs/>
              </w:rPr>
            </w:pPr>
            <w:r>
              <w:rPr>
                <w:bCs/>
              </w:rPr>
              <w:t>Специальный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Cs/>
              </w:rPr>
            </w:pPr>
            <w:r>
              <w:rPr/>
              <w:t xml:space="preserve"> </w:t>
            </w:r>
            <w:r>
              <w:rPr>
                <w:bCs/>
              </w:rPr>
              <w:t xml:space="preserve">Наличие опыта </w:t>
            </w:r>
            <w:r>
              <w:rPr/>
              <w:t xml:space="preserve"> </w:t>
            </w:r>
            <w:r>
              <w:rPr>
                <w:bCs/>
              </w:rPr>
              <w:t>поставки трансформаторов 110 кВ и выше  за последние 3 года в общем объеме не менее  30 % от НМЦ. Соответствие установленному требованию подтверждается путем представления участником закупки в составе заявки сведений о ранее выполненных договорах по форме  «Справка о перечне и годовых объемах выполнения аналогичных договоров», приведенной в Документации о закупке. При этом Заказчик вправе запросить подтверждающие документы (копии договоров и актов выполненных работ, подписанных с обеих сторон).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numPr>
          <w:ilvl w:val="0"/>
          <w:numId w:val="0"/>
        </w:numPr>
        <w:spacing w:lineRule="auto" w:line="240" w:before="120" w:after="120"/>
        <w:ind w:left="720" w:hanging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ind w:left="720" w:hanging="0"/>
        <w:rPr/>
      </w:pPr>
      <w:r>
        <w:rPr/>
      </w:r>
    </w:p>
    <w:p>
      <w:pPr>
        <w:pStyle w:val="Normal"/>
        <w:rPr/>
      </w:pPr>
      <w:r>
        <w:rPr/>
        <w:t xml:space="preserve"> </w:t>
      </w:r>
      <w:bookmarkStart w:id="68" w:name="_Toc443550562"/>
      <w:bookmarkStart w:id="69" w:name="_Toc443550603"/>
      <w:bookmarkStart w:id="70" w:name="_Toc443550929"/>
      <w:bookmarkStart w:id="71" w:name="_Toc443551197"/>
      <w:bookmarkStart w:id="72" w:name="_Toc443550563"/>
      <w:bookmarkStart w:id="73" w:name="_Toc443550604"/>
      <w:bookmarkStart w:id="74" w:name="_Toc443550930"/>
      <w:bookmarkStart w:id="75" w:name="_Toc443551198"/>
      <w:bookmarkStart w:id="76" w:name="_Toc443550565"/>
      <w:bookmarkStart w:id="77" w:name="_Toc443550606"/>
      <w:bookmarkStart w:id="78" w:name="_Toc443550932"/>
      <w:bookmarkStart w:id="79" w:name="_Toc443551200"/>
      <w:bookmarkStart w:id="80" w:name="_Toc443550567"/>
      <w:bookmarkStart w:id="81" w:name="_Toc443550608"/>
      <w:bookmarkStart w:id="82" w:name="_Toc443550934"/>
      <w:bookmarkStart w:id="83" w:name="_Toc443551202"/>
      <w:bookmarkStart w:id="84" w:name="_Toc443550569"/>
      <w:bookmarkStart w:id="85" w:name="_Toc443550610"/>
      <w:bookmarkStart w:id="86" w:name="_Toc443550936"/>
      <w:bookmarkStart w:id="87" w:name="_Toc443551204"/>
      <w:bookmarkStart w:id="88" w:name="_Toc443550571"/>
      <w:bookmarkStart w:id="89" w:name="_Toc443550612"/>
      <w:bookmarkStart w:id="90" w:name="_Toc443550938"/>
      <w:bookmarkStart w:id="91" w:name="_Toc443551206"/>
      <w:bookmarkStart w:id="92" w:name="_Toc443550572"/>
      <w:bookmarkStart w:id="93" w:name="_Toc443550613"/>
      <w:bookmarkStart w:id="94" w:name="_Toc443550939"/>
      <w:bookmarkStart w:id="95" w:name="_Toc443551207"/>
      <w:bookmarkStart w:id="96" w:name="_Toc443550574"/>
      <w:bookmarkStart w:id="97" w:name="_Toc443550615"/>
      <w:bookmarkStart w:id="98" w:name="_Toc443550941"/>
      <w:bookmarkStart w:id="99" w:name="_Toc443551209"/>
      <w:bookmarkStart w:id="100" w:name="_Toc443550575"/>
      <w:bookmarkStart w:id="101" w:name="_Toc443550616"/>
      <w:bookmarkStart w:id="102" w:name="_Toc443550942"/>
      <w:bookmarkStart w:id="103" w:name="_Toc443551210"/>
      <w:bookmarkStart w:id="104" w:name="_Toc443550578"/>
      <w:bookmarkStart w:id="105" w:name="_Toc443550619"/>
      <w:bookmarkStart w:id="106" w:name="_Toc443550945"/>
      <w:bookmarkStart w:id="107" w:name="_Toc443551213"/>
      <w:bookmarkStart w:id="108" w:name="_Toc443550580"/>
      <w:bookmarkStart w:id="109" w:name="_Toc443550621"/>
      <w:bookmarkStart w:id="110" w:name="_Toc443550947"/>
      <w:bookmarkStart w:id="111" w:name="_Toc443551215"/>
      <w:bookmarkStart w:id="112" w:name="_Toc443550582"/>
      <w:bookmarkStart w:id="113" w:name="_Toc443550623"/>
      <w:bookmarkStart w:id="114" w:name="_Toc443550949"/>
      <w:bookmarkStart w:id="115" w:name="_Toc443551217"/>
      <w:bookmarkStart w:id="116" w:name="RANGE!A1%253AJ66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p>
      <w:pPr>
        <w:pStyle w:val="Normal"/>
        <w:spacing w:before="0" w:after="0"/>
        <w:ind w:left="-1440" w:right="10480" w:hanging="0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/>
      </w:pPr>
      <w:r>
        <w:rPr>
          <w:rStyle w:val="Style10"/>
        </w:rPr>
        <w:footnoteRef/>
      </w:r>
      <w:r>
        <w:rPr/>
        <w:t xml:space="preserve"> </w:t>
      </w:r>
      <w:r>
        <w:rPr/>
        <w:t>Не допускается Участникам конкурентных процедур в предложении ограничиваться типовыми фразами («готовы выполнить все в соответствии с ТТ», «со всем согласны» и т.д.) или копированием конкретных требований из ТТ, необходимо самостоятельно заполнить все ячейки с описанием предлагаемых характеристик оборудования, технологий выполнения работ , значений, величин и т.д.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/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/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5"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/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fals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675" w:hanging="67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72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36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8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12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64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76" w:hanging="2160"/>
      </w:pPr>
      <w:rPr/>
    </w:lvl>
  </w:abstractNum>
  <w:abstractNum w:abstractNumId="8">
    <w:lvl w:ilvl="0">
      <w:start w:val="6"/>
      <w:numFmt w:val="decimal"/>
      <w:lvlText w:val="%1."/>
      <w:lvlJc w:val="left"/>
      <w:pPr>
        <w:tabs>
          <w:tab w:val="num" w:pos="0"/>
        </w:tabs>
        <w:ind w:left="675" w:hanging="67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21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сноски Знак"/>
    <w:basedOn w:val="DefaultParagraphFont"/>
    <w:uiPriority w:val="99"/>
    <w:qFormat/>
    <w:rsid w:val="00224f77"/>
    <w:rPr>
      <w:rFonts w:ascii="Times New Roman" w:hAnsi="Times New Roman" w:eastAsia="Times New Roman" w:cs="Times New Roman"/>
      <w:sz w:val="20"/>
      <w:szCs w:val="20"/>
    </w:rPr>
  </w:style>
  <w:style w:type="character" w:styleId="Style10">
    <w:name w:val="Символ сноски"/>
    <w:uiPriority w:val="99"/>
    <w:qFormat/>
    <w:rsid w:val="00224f7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>
    <w:name w:val="Символ концевой сноски"/>
    <w:qFormat/>
    <w:rPr/>
  </w:style>
  <w:style w:type="character" w:styleId="EndnoteReference">
    <w:name w:val="Endnote Reference"/>
    <w:rPr>
      <w:vertAlign w:val="superscript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 Unicode MS"/>
    </w:rPr>
  </w:style>
  <w:style w:type="paragraph" w:styleId="Style14" w:customStyle="1">
    <w:name w:val="Название раздела инструкции"/>
    <w:basedOn w:val="Normal"/>
    <w:autoRedefine/>
    <w:qFormat/>
    <w:rsid w:val="00224f77"/>
    <w:pPr>
      <w:keepNext w:val="true"/>
      <w:numPr>
        <w:ilvl w:val="0"/>
        <w:numId w:val="5"/>
      </w:numPr>
      <w:spacing w:lineRule="auto" w:line="240" w:before="0" w:after="0"/>
      <w:outlineLvl w:val="0"/>
    </w:pPr>
    <w:rPr>
      <w:rFonts w:ascii="Times New Roman" w:hAnsi="Times New Roman" w:eastAsia="Times New Roman" w:cs="Times New Roman"/>
      <w:color w:val="auto"/>
      <w:sz w:val="28"/>
      <w:szCs w:val="28"/>
      <w:lang w:val="x-none" w:eastAsia="x-none"/>
    </w:rPr>
  </w:style>
  <w:style w:type="paragraph" w:styleId="FootnoteText">
    <w:name w:val="Footnote Text"/>
    <w:basedOn w:val="Normal"/>
    <w:link w:val="Style9"/>
    <w:uiPriority w:val="99"/>
    <w:rsid w:val="00224f77"/>
    <w:pPr>
      <w:spacing w:lineRule="auto" w:line="240" w:before="0" w:after="0"/>
    </w:pPr>
    <w:rPr>
      <w:rFonts w:ascii="Times New Roman" w:hAnsi="Times New Roman" w:eastAsia="Times New Roman" w:cs="Times New Roman"/>
      <w:color w:val="aut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AlterOffice/2025.3.0.0$Linux_X86_64 LibreOffice_project/4ba31b6a4271509a884f95065d0a726e9cb2bdbb</Application>
  <AppVersion>15.0000</AppVersion>
  <Pages>19</Pages>
  <Words>1824</Words>
  <Characters>12872</Characters>
  <CharactersWithSpaces>14567</CharactersWithSpaces>
  <Paragraphs>456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2017-02-27T08:17:00Z</dcterms:created>
  <dc:creator/>
  <dc:description/>
  <dc:language>ru-RU</dc:language>
  <cp:lastModifiedBy>nikulshinrv@corp.gidroogk.com</cp:lastModifiedBy>
  <dcterms:modified xsi:type="dcterms:W3CDTF">2026-06-18T12:31:26Z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