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567"/>
        <w:jc w:val="right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Разработка подразделов проектной документации в части объектов хвостового хозяйства I и II очереди «Мероприятия по обеспечению пожарной безопасности» и «Сети связи» по объекту строительства:</w:t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«ГМК «Удокан». II очередь строительства производительностью не менее 36,0 млн тонн руды в год. Строительство хвостохранилища II очереди».</w:t>
      </w:r>
    </w:p>
    <w:p>
      <w:pPr>
        <w:pStyle w:val="Normal"/>
        <w:widowControl w:val="false"/>
        <w:ind w:firstLine="567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  <w:r>
        <w:rPr>
          <w:rFonts w:eastAsia="Calibri"/>
          <w:b/>
          <w:sz w:val="26"/>
          <w:szCs w:val="26"/>
        </w:rPr>
        <w:t>0467-ОСН ПРОД-ДОХ-2026-ВНИИГ</w:t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67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widowControl w:val="false"/>
        <w:ind w:firstLine="567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  <w:rFonts w:eastAsia="Calibri"/>
            </w:rPr>
            <w:fldChar w:fldCharType="separate"/>
          </w:r>
          <w:hyperlink w:anchor="_Toc228283023">
            <w:r>
              <w:rPr>
                <w:webHidden/>
                <w:rStyle w:val="Style12"/>
                <w:rFonts w:eastAsia="Calibri"/>
                <w:vanish w:val="false"/>
              </w:rPr>
              <w:t>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24">
            <w:r>
              <w:rPr>
                <w:webHidden/>
                <w:rStyle w:val="Style12"/>
                <w:rFonts w:eastAsia="Calibri"/>
                <w:iCs/>
                <w:vanish w:val="false"/>
              </w:rPr>
              <w:t>1.1.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25">
            <w:r>
              <w:rPr>
                <w:webHidden/>
                <w:rStyle w:val="Style12"/>
                <w:rFonts w:eastAsia="Calibri"/>
                <w:iCs/>
                <w:vanish w:val="false"/>
              </w:rPr>
              <w:t>1.2.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26">
            <w:r>
              <w:rPr>
                <w:webHidden/>
                <w:rStyle w:val="Style12"/>
                <w:rFonts w:eastAsia="Calibri"/>
                <w:iCs/>
                <w:vanish w:val="false"/>
              </w:rPr>
              <w:t>1.3.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Цель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27">
            <w:r>
              <w:rPr>
                <w:webHidden/>
                <w:rStyle w:val="Style12"/>
                <w:rFonts w:eastAsia="Calibri"/>
                <w:iCs/>
                <w:vanish w:val="false"/>
              </w:rPr>
              <w:t>1.4.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- ведомости объёмов работ и ведомости объемов материалов к каждому подразделу в объеме, достаточном для прохождения всех необходимых согласований и экспертиз. 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28">
            <w:r>
              <w:rPr>
                <w:webHidden/>
                <w:rStyle w:val="Style12"/>
                <w:rFonts w:eastAsia="Calibri"/>
                <w:iCs/>
                <w:vanish w:val="false"/>
              </w:rPr>
              <w:t>1.5.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Генподрядчиком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29">
            <w:r>
              <w:rPr>
                <w:webHidden/>
                <w:rStyle w:val="Style12"/>
                <w:rFonts w:eastAsia="Calibri"/>
                <w:iCs/>
                <w:vanish w:val="false"/>
              </w:rPr>
              <w:t>1.6.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Исходные данные передаются в соответствии с условиями проекта Договора.Иные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8283030">
            <w:r>
              <w:rPr>
                <w:webHidden/>
                <w:rStyle w:val="Style12"/>
                <w:rFonts w:eastAsia="Calibri"/>
                <w:vanish w:val="false"/>
              </w:rPr>
              <w:t>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31">
            <w:r>
              <w:rPr>
                <w:webHidden/>
                <w:rStyle w:val="Style12"/>
                <w:rFonts w:eastAsia="Calibri"/>
                <w:iCs/>
                <w:vanish w:val="false"/>
              </w:rPr>
              <w:t>2.1.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Общие требования к составу и объёму разрабатываемых разделов: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32">
            <w:r>
              <w:rPr>
                <w:webHidden/>
                <w:rStyle w:val="Style12"/>
                <w:rFonts w:eastAsia="Calibri"/>
                <w:iCs/>
                <w:vanish w:val="false"/>
              </w:rPr>
              <w:t>2.2.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 xml:space="preserve">Перечень нормативной документации, в соответствии с требованиями которых необходимо выполнить разработку раздела проектной документации </w:t>
            </w:r>
            <w:r>
              <w:rPr>
                <w:rStyle w:val="Style12"/>
                <w:rFonts w:eastAsia="Calibri"/>
                <w:i/>
              </w:rPr>
              <w:t>Раздел 5. Сведения об инженерном оборудовании, о сетях и системах инженерно-технического обеспечения. Подраздел 5. Сети связи.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33">
            <w:r>
              <w:rPr>
                <w:webHidden/>
                <w:rStyle w:val="Style12"/>
                <w:rFonts w:eastAsia="Calibri"/>
                <w:i/>
                <w:vanish w:val="false"/>
              </w:rPr>
              <w:t>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34">
            <w:r>
              <w:rPr>
                <w:webHidden/>
                <w:rStyle w:val="Style12"/>
                <w:rFonts w:eastAsia="Calibri"/>
                <w:iCs/>
                <w:vanish w:val="false"/>
              </w:rPr>
              <w:t>2.3.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 xml:space="preserve">Перечень нормативной документации, в соответствии с требованиями которых необходимо выполнить разработку раздела проектной документации  </w:t>
            </w:r>
            <w:r>
              <w:rPr>
                <w:rStyle w:val="Style12"/>
                <w:rFonts w:eastAsia="Calibri"/>
                <w:i/>
              </w:rPr>
              <w:t>Раздел 9. Мероприятия по обеспечению пожарной безопасности.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35">
            <w:r>
              <w:rPr>
                <w:webHidden/>
                <w:rStyle w:val="Style12"/>
                <w:rFonts w:eastAsia="Calibri"/>
                <w:iCs/>
                <w:vanish w:val="false"/>
              </w:rPr>
              <w:t>2.4.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36">
            <w:r>
              <w:rPr>
                <w:webHidden/>
                <w:rStyle w:val="Style12"/>
                <w:rFonts w:eastAsia="Calibri"/>
                <w:vanish w:val="false"/>
              </w:rPr>
              <w:t>2.4.1.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37">
            <w:r>
              <w:rPr>
                <w:webHidden/>
                <w:rStyle w:val="Style12"/>
                <w:rFonts w:eastAsia="Calibri"/>
                <w:vanish w:val="false"/>
              </w:rPr>
              <w:t>2.4.2.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8283038">
            <w:r>
              <w:rPr>
                <w:webHidden/>
                <w:rStyle w:val="Style12"/>
                <w:rFonts w:eastAsia="Calibri"/>
                <w:iCs/>
                <w:vanish w:val="false"/>
              </w:rPr>
              <w:t>2.5.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_Toc228283038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10055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</w:numPr>
        <w:ind w:left="0" w:firstLine="567"/>
        <w:rPr/>
      </w:pPr>
      <w:r>
        <w:rPr/>
      </w:r>
    </w:p>
    <w:p>
      <w:pPr>
        <w:pStyle w:val="Normal"/>
        <w:widowControl w:val="false"/>
        <w:ind w:firstLine="567"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  <w:r>
        <w:br w:type="page"/>
      </w:r>
    </w:p>
    <w:p>
      <w:pPr>
        <w:pStyle w:val="Heading1"/>
        <w:ind w:left="0" w:firstLine="567"/>
        <w:rPr>
          <w:lang w:val="ru-RU"/>
        </w:rPr>
      </w:pPr>
      <w:bookmarkStart w:id="0" w:name="_Toc228283023"/>
      <w:bookmarkStart w:id="1" w:name="_Toc51339692"/>
      <w:r>
        <w:rPr/>
        <w:t>Общие сведения</w:t>
      </w:r>
      <w:bookmarkEnd w:id="0"/>
      <w:bookmarkEnd w:id="1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26"/>
        </w:numPr>
        <w:ind w:firstLine="567"/>
        <w:rPr/>
      </w:pPr>
      <w:bookmarkStart w:id="2" w:name="_Toc228283024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widowControl w:val="false"/>
        <w:ind w:firstLine="567"/>
        <w:jc w:val="both"/>
        <w:rPr>
          <w:szCs w:val="24"/>
        </w:rPr>
      </w:pPr>
      <w:r>
        <w:rPr>
          <w:szCs w:val="24"/>
        </w:rPr>
      </w:r>
    </w:p>
    <w:tbl>
      <w:tblPr>
        <w:tblStyle w:val="affff4"/>
        <w:tblW w:w="9488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2"/>
        <w:gridCol w:w="7645"/>
      </w:tblGrid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ГТС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Гидротехническое сооружение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ГРЭС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Государственная районная электростанция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ГОСТ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Государственные стандарты РФ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СП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Свод правил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СанПиН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Санитарные (санитарно-эпидемиологические) правила и нормы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ЦММ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Цифровая модель местности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МПБ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Мероприятия по обеспечению пожарной безопасности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АУПС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Автоматическая установка пожарной сигнализации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СОУЭ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Система оповещения и управления эвакуацией людей при пожаре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СПС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Система пожарной сигнализации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СОУЭ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Система оповещения и управления эвакуацией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АПТ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Автоматическое пожаротушение (система автоматического пожаротушения)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ТБЭ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Требования к обеспечению безопасной эксплуатации объектов капитального строительства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ИОС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Инженерное оборудование, сети и системы инженерно-технического обеспечения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ПД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Проектная документация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ТЗ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Техническое задание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СС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Сети связи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ТЗ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Техническое задание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НСОВ</w:t>
            </w:r>
          </w:p>
        </w:tc>
        <w:tc>
          <w:tcPr>
            <w:tcW w:w="7645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Насосная станция оборотного водоснабжения</w:t>
            </w:r>
          </w:p>
        </w:tc>
      </w:tr>
    </w:tbl>
    <w:p>
      <w:pPr>
        <w:pStyle w:val="Normal"/>
        <w:widowControl w:val="false"/>
        <w:ind w:firstLine="567"/>
        <w:jc w:val="both"/>
        <w:rPr>
          <w:szCs w:val="24"/>
        </w:rPr>
      </w:pPr>
      <w:r>
        <w:rPr>
          <w:szCs w:val="24"/>
        </w:rPr>
      </w:r>
    </w:p>
    <w:p>
      <w:pPr>
        <w:pStyle w:val="Heading4"/>
        <w:keepNext w:val="true"/>
        <w:widowControl/>
        <w:numPr>
          <w:ilvl w:val="1"/>
          <w:numId w:val="27"/>
        </w:numPr>
        <w:ind w:left="431" w:firstLine="567"/>
        <w:rPr/>
      </w:pPr>
      <w:bookmarkStart w:id="4" w:name="_Toc228283025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подразделов проектной документации  в части объектов хвостового хозяйства I и II очереди по объекту строительства: «ГМК «Удокан». II очередь строительства производительностью не менее 36,0 млн тонн руды в год. Строительство хвостохранилища II очереди».</w:t>
      </w:r>
    </w:p>
    <w:p>
      <w:pPr>
        <w:pStyle w:val="Heading4"/>
        <w:numPr>
          <w:ilvl w:val="1"/>
          <w:numId w:val="28"/>
        </w:numPr>
        <w:ind w:firstLine="567"/>
        <w:rPr/>
      </w:pPr>
      <w:bookmarkStart w:id="6" w:name="_Toc228283026"/>
      <w:bookmarkStart w:id="7" w:name="_Toc46743507"/>
      <w:r>
        <w:rPr/>
        <w:t xml:space="preserve">Цель </w:t>
      </w:r>
      <w:bookmarkEnd w:id="7"/>
      <w:r>
        <w:rPr/>
        <w:t>выполнения работ</w:t>
      </w:r>
      <w:bookmarkEnd w:id="6"/>
      <w:r>
        <w:rPr/>
        <w:t xml:space="preserve"> 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подразделов проектной документации  по объектам «ГМК «Удокан». II очередь строительства производительностью не менее 36,0 млн. тонн руды в год. Строительство хвостохранилища II очереди» и «ГМК «Удокан». II очередь строительства производительностью не менее 36,0 млн. тонн руды в год. Реконструкция отдельных сооружений хвостохранилища I очереди» в части: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Раздел 5. Сети связи; 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Раздел 9. Мероприятия по обеспечению пожарной безопасности;</w:t>
      </w:r>
    </w:p>
    <w:p>
      <w:pPr>
        <w:pStyle w:val="Heading4"/>
        <w:numPr>
          <w:ilvl w:val="1"/>
          <w:numId w:val="29"/>
        </w:numPr>
        <w:ind w:firstLine="567"/>
        <w:rPr/>
      </w:pPr>
      <w:bookmarkStart w:id="8" w:name="_Toc228283027"/>
      <w:r>
        <w:rPr>
          <w:sz w:val="26"/>
          <w:szCs w:val="26"/>
        </w:rPr>
        <w:t xml:space="preserve">- ведомости объёмов работ и ведомости объемов материалов к каждому подразделу в объеме, достаточном для прохождения всех необходимых согласований и экспертиз. </w:t>
      </w:r>
      <w:bookmarkStart w:id="9" w:name="_Toc46743508"/>
      <w:r>
        <w:rPr/>
        <w:t>Существующее положение</w:t>
      </w:r>
      <w:bookmarkEnd w:id="8"/>
      <w:bookmarkEnd w:id="9"/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Удоканское месторождение меди расположено в Каларском районе Забайкальского края в 40 км к юго-востоку от районного центра поселка Чара (23 км к югу от поселка Новая Чара) и одноименной железнодорожной станции Восточно-Сибирской железной дороги Байкало-Амурской магистрали, и в 650 км к северо-востоку от административного центра Забайкальского края – города Чита.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Район месторождения имеет сложный интенсивно расчлененный горный рельеф с высотой вершин 1950 – 2050 м и крутыми склонами. Среднегорный рельеф в пределах хребта Удокан с абсолютными отметками поверхности 1100 - 1800 м. Склоны крутые, средней крутизны и пологие, с развитыми на них обширными полями курумов. Участок строительства относится к зоне распространения многолетнемерзлых грунтов.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Хвостохранилища I и II очередей предназначено для складирования сгущенных хвостов обогащения I и II очередей ГМК «Удокан».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Хвостохранилища I и II очередей являются объектами размещения отходов производства.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Сейсмичность в районе строительства – 8 баллов.</w:t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spacing w:before="0" w:after="240"/>
        <w:rPr>
          <w:rStyle w:val="Style7"/>
          <w:b w:val="false"/>
          <w:bCs/>
          <w:szCs w:val="24"/>
        </w:rPr>
      </w:pPr>
      <w:r>
        <w:rPr>
          <w:b/>
        </w:rPr>
        <w:t>Таблица 1. Перечень объектов заказчика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2"/>
        <w:gridCol w:w="2268"/>
        <w:gridCol w:w="2977"/>
        <w:gridCol w:w="2131"/>
        <w:gridCol w:w="1843"/>
      </w:tblGrid>
      <w:tr>
        <w:trPr>
          <w:trHeight w:val="881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  <w:t>(место производства работ)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>
          <w:trHeight w:val="291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ind w:left="0" w:hanging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«ГМК «Удокан». II очередь строительства производительностью не менее 36,0 млн тонн руды в год. Строительство хвостохранилища II очереди» и «ГМК «Удокан». II очередь строительства производительностью не менее 36,0 млн тонн руды в год. Реконструкция отдельных сооружений хвостохранилища I очереди»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Забайкальский край, Каларский район, пос. Удокан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«ГМК «Удокан». II очередь строительства производительностью не менее 36,0 млн тонн руды в год. Хвостовое хозяйство»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left="567" w:hanging="0"/>
        <w:rPr/>
      </w:pPr>
      <w:r>
        <w:rPr/>
      </w:r>
    </w:p>
    <w:p>
      <w:pPr>
        <w:pStyle w:val="Heading4"/>
        <w:numPr>
          <w:ilvl w:val="1"/>
          <w:numId w:val="30"/>
        </w:numPr>
        <w:ind w:left="0" w:firstLine="567"/>
        <w:rPr/>
      </w:pPr>
      <w:bookmarkStart w:id="10" w:name="_Toc228283028"/>
      <w:r>
        <w:rPr/>
        <w:t xml:space="preserve">Информация в отношении исполнения договора, </w:t>
      </w:r>
      <w:bookmarkStart w:id="11" w:name="_Hlk46492347"/>
      <w:r>
        <w:rPr/>
        <w:t xml:space="preserve">которая должна быть учтена при подготовке заявки </w:t>
      </w:r>
      <w:bookmarkEnd w:id="11"/>
      <w:r>
        <w:rPr/>
        <w:t>(в том числе перечень ресурсов, услуг и документов, предоставляемых</w:t>
      </w:r>
      <w:r>
        <w:rPr>
          <w:lang w:val="ru-RU"/>
        </w:rPr>
        <w:t xml:space="preserve"> Генподрядчиком</w:t>
      </w:r>
      <w:r>
        <w:rPr/>
        <w:t xml:space="preserve"> на этапе исполнения договора)</w:t>
      </w:r>
      <w:bookmarkEnd w:id="10"/>
      <w:r>
        <w:rPr>
          <w:lang w:val="ru-RU"/>
        </w:rPr>
        <w:t xml:space="preserve"> </w:t>
      </w:r>
    </w:p>
    <w:p>
      <w:pPr>
        <w:pStyle w:val="Normal"/>
        <w:ind w:firstLine="567"/>
        <w:jc w:val="both"/>
        <w:rPr>
          <w:b/>
        </w:rPr>
      </w:pPr>
      <w:bookmarkStart w:id="12" w:name="_Toc50125126"/>
      <w:bookmarkEnd w:id="12"/>
      <w:r>
        <w:rPr>
          <w:b/>
        </w:rPr>
        <w:t>1.5.1. Перечень исходных данных, предоставляемых для разработки разделов проектной документации: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Технические условия на подключение к сетям связи;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2. Схема планировочной организации земельного участка;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3. Объемно-планировочные и архитектурные решения;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4. Конструктивные решения;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5. Сведения об инженерном оборудовании, о сетях и системах инженерно-технического обеспечения. Подраздел 1. Система электроснабжения;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5. Сведения об инженерном оборудовании, о сетях и системах инженерно-технического обеспечения. Подраздел 4. Отопление, вентиляция и кондиционирование воздуха, тепловые сети;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Раздел 6. Технологические решения;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  <w:tab/>
        <w:t>Технические отчеты по инженерным изысканиям.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Перечень исходных данных может быть расширен по мере необходимости при выполнении работ.</w:t>
      </w:r>
    </w:p>
    <w:p>
      <w:pPr>
        <w:pStyle w:val="Normal"/>
        <w:widowControl w:val="false"/>
        <w:spacing w:lineRule="auto" w:line="276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1"/>
        </w:numPr>
        <w:ind w:left="0" w:firstLine="567"/>
        <w:rPr>
          <w:sz w:val="26"/>
          <w:szCs w:val="26"/>
          <w:lang w:val="ru-RU"/>
        </w:rPr>
      </w:pPr>
      <w:bookmarkStart w:id="13" w:name="_Toc228283029"/>
      <w:r>
        <w:rPr>
          <w:sz w:val="26"/>
          <w:szCs w:val="26"/>
        </w:rPr>
        <w:t>Исходные данные передаются в соответствии с условиями проекта Договора.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Иные требования и сведения общего характера</w:t>
      </w:r>
      <w:bookmarkEnd w:id="13"/>
    </w:p>
    <w:p>
      <w:pPr>
        <w:pStyle w:val="Normal"/>
        <w:spacing w:lineRule="auto" w:line="276"/>
        <w:ind w:firstLine="851"/>
        <w:jc w:val="both"/>
        <w:rPr>
          <w:szCs w:val="24"/>
        </w:rPr>
      </w:pPr>
      <w:r>
        <w:rPr>
          <w:szCs w:val="24"/>
        </w:rPr>
        <w:t>Субподрядчик в рамках договорных обязательств выполняет сопровождение при прохождении государственной экспертизы и государственной экологической экспертизы проектной документации и согласования документации с Заказчиком до получения всех необходимых согласований и положительных заключений.</w:t>
      </w:r>
    </w:p>
    <w:p>
      <w:pPr>
        <w:pStyle w:val="Normal"/>
        <w:spacing w:lineRule="auto" w:line="276"/>
        <w:ind w:firstLine="851"/>
        <w:jc w:val="both"/>
        <w:rPr>
          <w:szCs w:val="24"/>
        </w:rPr>
      </w:pPr>
      <w:r>
        <w:rPr>
          <w:szCs w:val="24"/>
        </w:rPr>
        <w:t>Субподрядчик в рамках договорных обязательств отрабатывает, снимает замечания и сопровождает при согласовании  разделов проектной документации с Генеральным Заказчиком.</w:t>
      </w:r>
    </w:p>
    <w:p>
      <w:pPr>
        <w:pStyle w:val="Heading1"/>
        <w:ind w:left="0" w:hanging="0"/>
        <w:rPr>
          <w:lang w:val="ru-RU"/>
        </w:rPr>
      </w:pPr>
      <w:bookmarkStart w:id="14" w:name="_Toc228283030"/>
      <w:bookmarkStart w:id="15" w:name="_Toc51339693"/>
      <w:r>
        <w:rPr/>
        <w:t>Требования к продукции</w:t>
      </w:r>
      <w:bookmarkEnd w:id="14"/>
      <w:bookmarkEnd w:id="15"/>
    </w:p>
    <w:p>
      <w:pPr>
        <w:pStyle w:val="Heading4"/>
        <w:numPr>
          <w:ilvl w:val="1"/>
          <w:numId w:val="32"/>
        </w:numPr>
        <w:ind w:firstLine="567"/>
        <w:jc w:val="both"/>
        <w:rPr>
          <w:lang w:val="ru-RU"/>
        </w:rPr>
      </w:pPr>
      <w:bookmarkStart w:id="16" w:name="_Toc228283031"/>
      <w:r>
        <w:rPr>
          <w:lang w:val="ru-RU"/>
        </w:rPr>
        <w:t>Общие требования к составу и объёму разрабатываемых разделов:</w:t>
      </w:r>
      <w:bookmarkEnd w:id="16"/>
    </w:p>
    <w:p>
      <w:pPr>
        <w:pStyle w:val="ListParagraph"/>
        <w:numPr>
          <w:ilvl w:val="0"/>
          <w:numId w:val="0"/>
        </w:numPr>
        <w:tabs>
          <w:tab w:val="clear" w:pos="708"/>
          <w:tab w:val="left" w:pos="464" w:leader="none"/>
          <w:tab w:val="left" w:pos="890" w:leader="none"/>
        </w:tabs>
        <w:suppressAutoHyphens w:val="true"/>
        <w:bidi w:val="0"/>
        <w:ind w:left="113" w:right="0" w:hanging="0"/>
        <w:jc w:val="both"/>
        <w:rPr/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- Всё электротехническое оборудование должно иметь местное управление по локальной системе;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64" w:leader="none"/>
          <w:tab w:val="left" w:pos="890" w:leader="none"/>
        </w:tabs>
        <w:suppressAutoHyphens w:val="true"/>
        <w:bidi w:val="0"/>
        <w:ind w:left="113" w:right="0" w:hanging="0"/>
        <w:jc w:val="both"/>
        <w:rPr/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- Для всего электротехнического оборудования должна быть предусмотрена возможность реализации системы мониторинга состояния оборудования по двум каналам (основной и резервный);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464" w:leader="none"/>
          <w:tab w:val="left" w:pos="890" w:leader="none"/>
        </w:tabs>
        <w:suppressAutoHyphens w:val="true"/>
        <w:bidi w:val="0"/>
        <w:spacing w:before="0" w:after="120"/>
        <w:ind w:left="113" w:right="0" w:hanging="0"/>
        <w:contextualSpacing/>
        <w:jc w:val="both"/>
        <w:rPr>
          <w:lang w:eastAsia="x-none"/>
        </w:rPr>
      </w:pPr>
      <w:r>
        <w:rPr>
          <w:b w:val="false"/>
          <w:bCs w:val="false"/>
          <w:szCs w:val="24"/>
          <w:shd w:fill="auto" w:val="clear"/>
          <w:lang w:eastAsia="x-none"/>
        </w:rPr>
        <w:t xml:space="preserve"> </w:t>
      </w:r>
      <w:r>
        <w:rPr>
          <w:b w:val="false"/>
          <w:bCs w:val="false"/>
          <w:szCs w:val="24"/>
          <w:shd w:fill="auto" w:val="clear"/>
          <w:lang w:eastAsia="x-none"/>
        </w:rPr>
        <w:t>- В рамках комплектов проектной документации Субподрядчик разрабатывает и прикладывает технические требования/опросные листы на проектируемое оборудование.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3"/>
        </w:numPr>
        <w:jc w:val="center"/>
        <w:rPr>
          <w:i/>
          <w:i/>
          <w:lang w:val="ru-RU"/>
        </w:rPr>
      </w:pPr>
      <w:bookmarkStart w:id="17" w:name="_Toc228283032"/>
      <w:r>
        <w:rPr/>
        <w:t xml:space="preserve">Перечень нормативной документации, в соответствии с требованиями которых необходимо выполнить </w:t>
      </w:r>
      <w:r>
        <w:rPr>
          <w:lang w:val="ru-RU"/>
        </w:rPr>
        <w:t xml:space="preserve">разработку раздела проектной документации </w:t>
      </w:r>
      <w:r>
        <w:rPr>
          <w:i/>
        </w:rPr>
        <w:t>Раздел 5. Сведения об инженерном оборудовании, о сетях и системах инженерно-технического</w:t>
      </w:r>
      <w:r>
        <w:rPr>
          <w:i/>
          <w:lang w:val="ru-RU"/>
        </w:rPr>
        <w:t xml:space="preserve"> </w:t>
      </w:r>
      <w:r>
        <w:rPr>
          <w:i/>
        </w:rPr>
        <w:t>обеспечения. Подраздел 5. Сети связи.</w:t>
      </w:r>
      <w:bookmarkEnd w:id="17"/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ind w:left="0" w:firstLine="851"/>
        <w:jc w:val="both"/>
        <w:rPr>
          <w:lang w:eastAsia="x-none"/>
        </w:rPr>
      </w:pPr>
      <w:r>
        <w:rPr>
          <w:lang w:eastAsia="x-none"/>
        </w:rPr>
        <w:t xml:space="preserve">Постановление Правительства Российской Федерации №87 от 16.02.2008 г. «О составе разделов проектной документации и требованиях к их содержанию» </w:t>
      </w:r>
      <w:hyperlink r:id="rId2">
        <w:r>
          <w:rPr>
            <w:lang w:eastAsia="x-none"/>
          </w:rPr>
          <w:t>https://docs.cntd.ru/document/902087949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284" w:leader="none"/>
          <w:tab w:val="left" w:pos="464" w:leader="none"/>
          <w:tab w:val="left" w:pos="890" w:leader="none"/>
        </w:tabs>
        <w:ind w:left="0" w:firstLine="851"/>
        <w:jc w:val="both"/>
        <w:rPr/>
      </w:pPr>
      <w:r>
        <w:rPr/>
        <w:t xml:space="preserve">Градостроительный кодекс Российской Федерации. Кодекс РФ от 29.12.2004 № 190-ФЗ </w:t>
      </w:r>
      <w:hyperlink r:id="rId3">
        <w:r>
          <w:rPr/>
          <w:t>https://www.consultant.ru/document/cons_doc_LAW_51040/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284" w:leader="none"/>
          <w:tab w:val="left" w:pos="464" w:leader="none"/>
        </w:tabs>
        <w:ind w:left="0" w:firstLine="851"/>
        <w:jc w:val="both"/>
        <w:rPr/>
      </w:pPr>
      <w:r>
        <w:rPr/>
        <w:t xml:space="preserve">ГОСТ Р 21.101-2020 Система проектной документации для строительства. Основные требования к проектной и рабочей документации </w:t>
      </w:r>
      <w:hyperlink r:id="rId4">
        <w:r>
          <w:rPr/>
          <w:t>https://meganorm.ru/Data2/1/4293720/4293720404.htm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284" w:leader="none"/>
          <w:tab w:val="left" w:pos="464" w:leader="none"/>
        </w:tabs>
        <w:ind w:left="0" w:firstLine="851"/>
        <w:jc w:val="both"/>
        <w:rPr/>
      </w:pPr>
      <w:r>
        <w:rPr/>
        <w:t xml:space="preserve">ГОСТ 21.001-2021. Система проектной документации для строительства (СПДС). Общие положения </w:t>
      </w:r>
      <w:hyperlink r:id="rId5">
        <w:r>
          <w:rPr/>
          <w:t>https://files.stroyinf.ru/Data/769/76902.pdf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284" w:leader="none"/>
          <w:tab w:val="left" w:pos="464" w:leader="none"/>
        </w:tabs>
        <w:ind w:left="0" w:firstLine="851"/>
        <w:jc w:val="both"/>
        <w:rPr/>
      </w:pPr>
      <w:r>
        <w:rPr/>
        <w:t xml:space="preserve">ГОСТ 21.110-2013. Система проектной документации для строительства (СПДС). Спецификация оборудования, изделий и материалов </w:t>
      </w:r>
      <w:hyperlink r:id="rId6">
        <w:r>
          <w:rPr/>
          <w:t>https://files.stroyinf.ru/Data2/1/4293774/4293774399.pdf</w:t>
        </w:r>
      </w:hyperlink>
    </w:p>
    <w:p>
      <w:pPr>
        <w:pStyle w:val="ListParagraph"/>
        <w:numPr>
          <w:ilvl w:val="0"/>
          <w:numId w:val="8"/>
        </w:numPr>
        <w:tabs>
          <w:tab w:val="clear" w:pos="708"/>
          <w:tab w:val="left" w:pos="284" w:leader="none"/>
          <w:tab w:val="left" w:pos="464" w:leader="none"/>
        </w:tabs>
        <w:ind w:left="0" w:firstLine="851"/>
        <w:jc w:val="both"/>
        <w:rPr/>
      </w:pPr>
      <w:r>
        <w:rPr/>
        <w:t xml:space="preserve"> </w:t>
      </w:r>
      <w:r>
        <w:rPr>
          <w:lang w:val="x-none"/>
        </w:rPr>
        <w:t>СП 519.1325800.2023 «Сети связи. Правила проектирования»</w:t>
      </w:r>
      <w:r>
        <w:rPr/>
        <w:t xml:space="preserve"> </w:t>
      </w:r>
      <w:hyperlink r:id="rId7">
        <w:r>
          <w:rPr>
            <w:color w:val="auto"/>
            <w:u w:val="none"/>
          </w:rPr>
          <w:t>https://www.minstroyrf.gov.ru/upload/iblock/196/7hth38ftzl10ypxt57yhutke6pf5yjyq/SP-519.pdf</w:t>
        </w:r>
      </w:hyperlink>
    </w:p>
    <w:p>
      <w:pPr>
        <w:pStyle w:val="Normal"/>
        <w:tabs>
          <w:tab w:val="clear" w:pos="708"/>
          <w:tab w:val="left" w:pos="464" w:leader="none"/>
        </w:tabs>
        <w:jc w:val="both"/>
        <w:rPr/>
      </w:pPr>
      <w:r>
        <w:rPr/>
      </w:r>
    </w:p>
    <w:p>
      <w:pPr>
        <w:pStyle w:val="ListParagraph"/>
        <w:tabs>
          <w:tab w:val="clear" w:pos="708"/>
          <w:tab w:val="left" w:pos="464" w:leader="none"/>
        </w:tabs>
        <w:ind w:left="851" w:hanging="0"/>
        <w:jc w:val="both"/>
        <w:rPr/>
      </w:pPr>
      <w:r>
        <w:rPr/>
      </w:r>
    </w:p>
    <w:p>
      <w:pPr>
        <w:pStyle w:val="Heading4"/>
        <w:numPr>
          <w:ilvl w:val="1"/>
          <w:numId w:val="34"/>
        </w:numPr>
        <w:jc w:val="center"/>
        <w:rPr>
          <w:i/>
          <w:i/>
          <w:lang w:val="ru-RU"/>
        </w:rPr>
      </w:pPr>
      <w:bookmarkStart w:id="18" w:name="_Toc228283034"/>
      <w:r>
        <w:rPr/>
        <w:t xml:space="preserve">Перечень нормативной документации, в соответствии с требованиями которых необходимо выполнить </w:t>
      </w:r>
      <w:r>
        <w:rPr>
          <w:lang w:val="ru-RU"/>
        </w:rPr>
        <w:t xml:space="preserve">разработку раздела проектной документации  </w:t>
      </w:r>
      <w:r>
        <w:rPr>
          <w:i/>
          <w:lang w:val="ru-RU"/>
        </w:rPr>
        <w:t>Раздел 9. Мероприятия по обеспечению пожарной безопасности.</w:t>
      </w:r>
      <w:bookmarkEnd w:id="18"/>
    </w:p>
    <w:p>
      <w:pPr>
        <w:pStyle w:val="ListParagraph"/>
        <w:numPr>
          <w:ilvl w:val="0"/>
          <w:numId w:val="5"/>
        </w:numPr>
        <w:ind w:left="0" w:firstLine="927"/>
        <w:jc w:val="both"/>
        <w:rPr>
          <w:lang w:eastAsia="x-none"/>
        </w:rPr>
      </w:pPr>
      <w:r>
        <w:rPr/>
        <w:t xml:space="preserve">Федеральный закон от 22.07.2008 г. № 123-ФЗ «Технический регламент о требованиях пожарной безопасности» </w:t>
      </w:r>
      <w:r>
        <w:rPr>
          <w:color w:val="auto"/>
          <w:u w:val="none"/>
        </w:rPr>
        <w:t>https://www.consultant.ru/document/cons_doc_LAW_78699/?ysclid=moijkvmh29471098425</w:t>
      </w:r>
    </w:p>
    <w:p>
      <w:pPr>
        <w:pStyle w:val="ListParagraph"/>
        <w:numPr>
          <w:ilvl w:val="0"/>
          <w:numId w:val="5"/>
        </w:numPr>
        <w:ind w:left="0" w:firstLine="927"/>
        <w:jc w:val="both"/>
        <w:rPr>
          <w:lang w:eastAsia="x-none"/>
        </w:rPr>
      </w:pPr>
      <w:r>
        <w:rPr/>
        <w:t xml:space="preserve">Федеральный закон от 30.12.2009 г. № 384-ФЗ «Технический регламент о безопасности зданий и сооружений» </w:t>
      </w:r>
      <w:hyperlink r:id="rId8">
        <w:r>
          <w:rPr>
            <w:color w:val="auto"/>
            <w:u w:val="none"/>
          </w:rPr>
          <w:t>https://www.consultant.ru/document/cons_doc_LAW_95720/?ysclid=moijmczuht559866768</w:t>
        </w:r>
      </w:hyperlink>
    </w:p>
    <w:p>
      <w:pPr>
        <w:pStyle w:val="ListParagraph"/>
        <w:numPr>
          <w:ilvl w:val="0"/>
          <w:numId w:val="5"/>
        </w:numPr>
        <w:ind w:left="0" w:firstLine="927"/>
        <w:jc w:val="both"/>
        <w:rPr>
          <w:lang w:eastAsia="x-none"/>
        </w:rPr>
      </w:pPr>
      <w:r>
        <w:rPr/>
        <w:t xml:space="preserve">Постановление Правительства Российской Федерации от 28.05.2021г.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здания и сооружений» </w:t>
      </w:r>
      <w:hyperlink r:id="rId9">
        <w:r>
          <w:rPr>
            <w:color w:val="auto"/>
            <w:u w:val="none"/>
          </w:rPr>
          <w:t>https://base.garant.ru/400832303/</w:t>
        </w:r>
      </w:hyperlink>
      <w:r>
        <w:rPr/>
        <w:t xml:space="preserve"> </w:t>
      </w:r>
    </w:p>
    <w:p>
      <w:pPr>
        <w:pStyle w:val="ListParagraph"/>
        <w:numPr>
          <w:ilvl w:val="0"/>
          <w:numId w:val="5"/>
        </w:numPr>
        <w:ind w:left="0" w:firstLine="927"/>
        <w:jc w:val="both"/>
        <w:rPr>
          <w:lang w:eastAsia="x-none"/>
        </w:rPr>
      </w:pPr>
      <w:r>
        <w:rPr>
          <w:lang w:eastAsia="x-none"/>
        </w:rPr>
        <w:t xml:space="preserve">Постановление Правительства Российской Федерации №87 от 16.02.2008 г. «О составе разделов проектной документации и требованиях к их содержанию» </w:t>
      </w:r>
      <w:hyperlink r:id="rId10">
        <w:r>
          <w:rPr>
            <w:lang w:eastAsia="x-none"/>
          </w:rPr>
          <w:t>https://docs.cntd.ru/document/902087949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927"/>
        <w:jc w:val="both"/>
        <w:rPr/>
      </w:pPr>
      <w:r>
        <w:rPr/>
        <w:t xml:space="preserve">Градостроительный кодекс Российской Федерации. Кодекс РФ от 29.12.2004 № 190-ФЗ </w:t>
      </w:r>
      <w:hyperlink r:id="rId11">
        <w:r>
          <w:rPr/>
          <w:t>https://www.consultant.ru/document/cons_doc_LAW_51040/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927"/>
        <w:jc w:val="both"/>
        <w:rPr/>
      </w:pPr>
      <w:r>
        <w:rPr/>
        <w:t xml:space="preserve">СП 44.13330.2011 «Административные и бытовые здания» </w:t>
      </w:r>
      <w:hyperlink r:id="rId12">
        <w:r>
          <w:rPr>
            <w:color w:val="auto"/>
            <w:u w:val="none"/>
          </w:rPr>
          <w:t>https://www.minstroyrf.gov.ru/upload/iblock/1d2/%D0%A1%D0%9F44.13330.2011%20%D0%90%D0%B4%D0%BC%D0%B8%D0%BD%D0%B8%D1%81%D1%82%D1%80%D0%B0%D1%82%D0%B8%D0%B2%D0%BD%D1%8B%D0%B5%20%D0%B8%20%D0%B1%D1%8B%D1%82%D0%BE%D0%B2%D1%8B%D0%B5%20%D0%B7%D0%B4%D0%B0%D0%BD%D0%B8%D1%8F.pdf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СП 131.13330.2020 «Строительная климатология СНиП 23-01-99*» </w:t>
      </w:r>
      <w:r>
        <w:rPr>
          <w:color w:val="auto"/>
          <w:u w:val="none"/>
        </w:rPr>
        <w:t>https://istkult.ru/upload/medialibrary/998/e6b5nxn6oe3hzau5xni7bpn5aby7t81u/SP-131.13330.2020.-Stroitelnaya-klimatologiya..pdf?ysclid=moijvzpobq967089323</w:t>
      </w:r>
      <w:r>
        <w:rPr/>
        <w:t xml:space="preserve">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>СанПиН 2.1.3684-21 «Санитарно-эпидемиологич</w:t>
      </w:r>
      <w:bookmarkStart w:id="19" w:name="_GoBack"/>
      <w:bookmarkEnd w:id="19"/>
      <w:r>
        <w:rPr/>
        <w:t xml:space="preserve">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</w:t>
      </w:r>
      <w:hyperlink r:id="rId13">
        <w:r>
          <w:rPr>
            <w:color w:val="auto"/>
            <w:u w:val="none"/>
          </w:rPr>
          <w:t>https://docs.cntd.ru/document/573536177?ysclid=moijxgr7n5904979105</w:t>
        </w:r>
      </w:hyperlink>
      <w:r>
        <w:rPr/>
        <w:t>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ГОСТ 12.4.009-83. Система стандартов безопасности труда. Пожарная техника для защиты объектов. Основные виды. Размещение и обслуживание. </w:t>
      </w:r>
      <w:hyperlink r:id="rId14">
        <w:r>
          <w:rPr>
            <w:color w:val="auto"/>
            <w:u w:val="none"/>
          </w:rPr>
          <w:t>https://docs.cntd.ru/document/1200003611?ysclid=moik0huhyn539192652.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СП 7.13130.2013. Отопление, вентиляция и кондиционирование. Требования пожарной безопасности. </w:t>
      </w:r>
      <w:hyperlink r:id="rId15">
        <w:r>
          <w:rPr>
            <w:color w:val="auto"/>
            <w:u w:val="none"/>
          </w:rPr>
          <w:t>https://docs.cntd.ru/document/1200098833?ysclid=moik1addwm809065365.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СП 3.13130.2009. Системы противопожарной защиты. Система оповещения и управления эвакуацией людей при пожаре. Требования пожарной безопасности </w:t>
      </w:r>
      <w:hyperlink r:id="rId16">
        <w:r>
          <w:rPr>
            <w:color w:val="auto"/>
            <w:u w:val="none"/>
          </w:rPr>
          <w:t>https://docs.cntd.ru/document/1200071145?ysclid=moik215jnm955646897.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СП 485.1311500.2020. Системы противопожарной защиты. Установки пожаротушения автоматические. Нормы и правила проектирования. </w:t>
      </w:r>
      <w:hyperlink r:id="rId17">
        <w:r>
          <w:rPr>
            <w:color w:val="auto"/>
            <w:u w:val="none"/>
          </w:rPr>
          <w:t>https://docs.cntd.ru/document/573004280?ysclid=moik2sce3k596525423.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СП 484.1311500.2020. Системы противопожарной защиты. Системы пожарной сигнализации и автоматизация систем противопожарной защиты. Нормы и правила проектирования. </w:t>
      </w:r>
      <w:hyperlink r:id="rId18">
        <w:r>
          <w:rPr>
            <w:color w:val="auto"/>
            <w:u w:val="none"/>
          </w:rPr>
          <w:t>https://docs.cntd.ru/document/566249686?ysclid=moik37larj460936338.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СП 118.13330.2022. Общественные здания и сооружения. </w:t>
      </w:r>
      <w:hyperlink r:id="rId19">
        <w:r>
          <w:rPr>
            <w:color w:val="auto"/>
            <w:u w:val="none"/>
          </w:rPr>
          <w:t>https://docs.cntd.ru/document/351102147?ysclid=moik3xs512151904554.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СП 1.13130.2020. Системы противопожарной защиты. Эвакуационные пути и выходы. </w:t>
      </w:r>
      <w:hyperlink r:id="rId20">
        <w:r>
          <w:rPr>
            <w:color w:val="auto"/>
            <w:u w:val="none"/>
          </w:rPr>
          <w:t>https://docs.cntd.ru/document/565248961?ysclid=moik4imgwb881864776.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ГОСТ 12.1.004-91. Система стандартов безопасности труда. Пожарная безопасность. Общие требования. </w:t>
      </w:r>
      <w:hyperlink r:id="rId21">
        <w:r>
          <w:rPr>
            <w:color w:val="auto"/>
            <w:u w:val="none"/>
          </w:rPr>
          <w:t>https://docs.cntd.ru/document/9051953?ysclid=moik57yl3d355140158.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СП 2.13130.2020. Системы противопожарной защиты. Обеспечение огнестойкости объектов защиты. </w:t>
      </w:r>
      <w:hyperlink r:id="rId22">
        <w:r>
          <w:rPr>
            <w:color w:val="auto"/>
            <w:u w:val="none"/>
          </w:rPr>
          <w:t>https://docs.cntd.ru/document/565248963?ysclid=moik5pxbvh493247816.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927"/>
        <w:jc w:val="both"/>
        <w:rPr/>
      </w:pPr>
      <w:r>
        <w:rPr/>
        <w:t xml:space="preserve">СП 90.13330.2012 Электростанции тепловые. Актуализированная редакция СНиП </w:t>
      </w:r>
      <w:r>
        <w:rPr>
          <w:lang w:val="en-US"/>
        </w:rPr>
        <w:t>II</w:t>
      </w:r>
      <w:r>
        <w:rPr/>
        <w:t xml:space="preserve">-58-75 </w:t>
      </w:r>
      <w:hyperlink r:id="rId23">
        <w:r>
          <w:rPr/>
          <w:t>https://meganorm.ru/Data2/1/4293788/4293788797.pdf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927"/>
        <w:jc w:val="both"/>
        <w:rPr/>
      </w:pPr>
      <w:r>
        <w:rPr/>
        <w:t xml:space="preserve">СанПиН 2.2.4.548-96 Санитарные правила и нормы. Гигиенические требования к микроклимату производственных помещений </w:t>
      </w:r>
      <w:hyperlink r:id="rId24">
        <w:r>
          <w:rPr/>
          <w:t>https://meganorm.ru/Data2/1/4294851/4294851474.htm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  <w:tab w:val="left" w:pos="890" w:leader="none"/>
        </w:tabs>
        <w:ind w:left="0" w:firstLine="927"/>
        <w:jc w:val="both"/>
        <w:rPr/>
      </w:pPr>
      <w:r>
        <w:rPr/>
        <w:t xml:space="preserve">Федеральный закон от 30.03.1999 № 52-ФЗ «О санитарно-эпидемиологическом благополучии населения» </w:t>
      </w:r>
      <w:hyperlink r:id="rId25">
        <w:r>
          <w:rPr/>
          <w:t>https://docs.cntd.ru/document/901729631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ГОСТ Р 21.101-2020 Система проектной документации для строительства. Основные требования к проектной и рабочей документации </w:t>
      </w:r>
      <w:hyperlink r:id="rId26">
        <w:r>
          <w:rPr/>
          <w:t>https://meganorm.ru/Data2/1/4293720/4293720404.htm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ГОСТ 21.001-2021. Система проектной документации для строительства (СПДС). Общие положения </w:t>
      </w:r>
      <w:hyperlink r:id="rId27">
        <w:r>
          <w:rPr/>
          <w:t>https://files.stroyinf.ru/Data/769/76902.pdf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927"/>
        <w:jc w:val="both"/>
        <w:rPr/>
      </w:pPr>
      <w:r>
        <w:rPr/>
        <w:t xml:space="preserve">ГОСТ 21.110-2013. Система проектной документации для строительства (СПДС). Спецификация оборудования, изделий и материалов </w:t>
      </w:r>
      <w:hyperlink r:id="rId28">
        <w:r>
          <w:rPr/>
          <w:t>https://files.stroyinf.ru/Data2/1/4293774/4293774399.pdf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851"/>
        <w:jc w:val="both"/>
        <w:rPr/>
      </w:pPr>
      <w:r>
        <w:rPr/>
        <w:t xml:space="preserve">ГОСТ 12.1.003-2014. Система стандартов безопасности труда (ССБТ). Шум. Общие требования безопасности </w:t>
      </w:r>
      <w:hyperlink r:id="rId29">
        <w:r>
          <w:rPr/>
          <w:t>https://meganorm.ru/Data2/1/4293765/4293765641.pdf</w:t>
        </w:r>
      </w:hyperlink>
    </w:p>
    <w:p>
      <w:pPr>
        <w:pStyle w:val="ListParagraph"/>
        <w:numPr>
          <w:ilvl w:val="0"/>
          <w:numId w:val="6"/>
        </w:numPr>
        <w:tabs>
          <w:tab w:val="clear" w:pos="708"/>
          <w:tab w:val="left" w:pos="464" w:leader="none"/>
        </w:tabs>
        <w:ind w:left="0" w:firstLine="851"/>
        <w:jc w:val="both"/>
        <w:rPr>
          <w:rStyle w:val="Hyperlink"/>
          <w:color w:val="auto"/>
          <w:u w:val="none"/>
        </w:rPr>
      </w:pPr>
      <w:r>
        <w:rPr/>
        <w:t xml:space="preserve">СП 14.13330.2018. Строительство в сейсмических районах. Актуализированная редакция СНиП II-7-81* </w:t>
      </w:r>
      <w:hyperlink r:id="rId30">
        <w:r>
          <w:rPr/>
          <w:t>https://meganorm.ru/Data2/1/4293736/4293736459.pdf</w:t>
        </w:r>
      </w:hyperlink>
    </w:p>
    <w:p>
      <w:pPr>
        <w:pStyle w:val="Normal"/>
        <w:tabs>
          <w:tab w:val="clear" w:pos="708"/>
          <w:tab w:val="left" w:pos="464" w:leader="none"/>
        </w:tabs>
        <w:jc w:val="both"/>
        <w:rPr/>
      </w:pPr>
      <w:r>
        <w:rPr/>
      </w:r>
    </w:p>
    <w:p>
      <w:pPr>
        <w:pStyle w:val="Heading4"/>
        <w:keepNext w:val="true"/>
        <w:widowControl/>
        <w:numPr>
          <w:ilvl w:val="1"/>
          <w:numId w:val="35"/>
        </w:numPr>
        <w:ind w:left="0" w:hanging="0"/>
        <w:jc w:val="center"/>
        <w:rPr>
          <w:lang w:val="ru-RU"/>
        </w:rPr>
      </w:pPr>
      <w:bookmarkStart w:id="20" w:name="_Toc228283035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20"/>
    </w:p>
    <w:p>
      <w:pPr>
        <w:pStyle w:val="Heading3"/>
        <w:numPr>
          <w:ilvl w:val="2"/>
          <w:numId w:val="36"/>
        </w:numPr>
        <w:ind w:firstLine="567"/>
        <w:rPr/>
      </w:pPr>
      <w:bookmarkStart w:id="21" w:name="_Toc228283036"/>
      <w:r>
        <w:rPr/>
        <w:t>Требования к видам и объемам работ</w:t>
      </w:r>
      <w:bookmarkEnd w:id="21"/>
    </w:p>
    <w:p>
      <w:pPr>
        <w:pStyle w:val="Normal"/>
        <w:keepNext w:val="true"/>
        <w:spacing w:before="0" w:after="240"/>
        <w:rPr>
          <w:b/>
        </w:rPr>
      </w:pPr>
      <w:bookmarkStart w:id="22" w:name="_Toc51339695"/>
      <w:r>
        <w:rPr>
          <w:b/>
        </w:rPr>
        <w:t xml:space="preserve">Таблица 2. Перечень </w:t>
      </w:r>
      <w:bookmarkEnd w:id="22"/>
      <w:r>
        <w:rPr>
          <w:b/>
        </w:rPr>
        <w:t>и объем выполняемых работ</w:t>
      </w:r>
    </w:p>
    <w:tbl>
      <w:tblPr>
        <w:tblW w:w="966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50"/>
        <w:gridCol w:w="5135"/>
        <w:gridCol w:w="1703"/>
        <w:gridCol w:w="1972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п/п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Наименование работ / этапа работ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Единица измерения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Количество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ind w:left="33" w:hanging="0"/>
              <w:jc w:val="center"/>
              <w:rPr/>
            </w:pPr>
            <w:r>
              <w:rPr/>
              <w:t>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360" w:hanging="327"/>
              <w:jc w:val="center"/>
              <w:rPr/>
            </w:pPr>
            <w:r>
              <w:rPr/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5. Сети связи. </w:t>
              <w:br/>
              <w:t>Текстовая часть. Объекты хвостового хозяйства. Хвостохранилище II оч.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360" w:hanging="327"/>
              <w:jc w:val="center"/>
              <w:rPr/>
            </w:pPr>
            <w:r>
              <w:rPr/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5. Сети связи. </w:t>
              <w:br/>
              <w:t>Графическая часть. Объекты хвостового хозяйства. Хвостохранилище II оч.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360" w:hanging="327"/>
              <w:jc w:val="center"/>
              <w:rPr/>
            </w:pPr>
            <w:r>
              <w:rPr/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5. Сети связи. </w:t>
              <w:br/>
              <w:t>Ведомость объемов работ. Объекты хвостового хозяйства. Хвостохранилище II оч.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360" w:hanging="327"/>
              <w:jc w:val="center"/>
              <w:rPr/>
            </w:pPr>
            <w:r>
              <w:rPr/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 xml:space="preserve">Раздел 9. Мероприятия по обеспечению пожарной безопасности. </w:t>
              <w:br/>
              <w:t>Текстовая часть.  Объекты хвостового хозяйства. Хвостохранилище II оч.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360" w:hanging="327"/>
              <w:jc w:val="center"/>
              <w:rPr/>
            </w:pPr>
            <w:r>
              <w:rPr/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 xml:space="preserve">Раздел 9. Мероприятия по обеспечению пожарной безопасности. </w:t>
              <w:br/>
              <w:t>Графическая часть. Объекты хвостового хозяйства. Хвостохранилище II оч.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360" w:hanging="327"/>
              <w:jc w:val="center"/>
              <w:rPr/>
            </w:pPr>
            <w:r>
              <w:rPr/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 xml:space="preserve">Раздел 9. Мероприятия по обеспечению пожарной безопасности. </w:t>
              <w:br/>
              <w:t>Ведомость объемов работ. Объекты хвостового хозяйства. Хвостохранилище II оч.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Условная единица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567"/>
        <w:rPr>
          <w:bCs/>
          <w:i/>
          <w:i/>
          <w:szCs w:val="24"/>
          <w:shd w:fill="FFFF99" w:val="clear"/>
        </w:rPr>
      </w:pPr>
      <w:r>
        <w:rPr>
          <w:bCs/>
          <w:i/>
          <w:szCs w:val="24"/>
          <w:shd w:fill="FFFF99" w:val="clear"/>
        </w:rPr>
      </w:r>
    </w:p>
    <w:p>
      <w:pPr>
        <w:pStyle w:val="Heading3"/>
        <w:numPr>
          <w:ilvl w:val="2"/>
          <w:numId w:val="37"/>
        </w:numPr>
        <w:ind w:firstLine="567"/>
        <w:rPr/>
      </w:pPr>
      <w:bookmarkStart w:id="23" w:name="_Toc228283037"/>
      <w:bookmarkStart w:id="24" w:name="_Toc51339696"/>
      <w:r>
        <w:rPr/>
        <w:t xml:space="preserve">Требования </w:t>
      </w:r>
      <w:bookmarkEnd w:id="24"/>
      <w:r>
        <w:rPr/>
        <w:t>к срокам выполнения работ</w:t>
      </w:r>
      <w:bookmarkEnd w:id="23"/>
    </w:p>
    <w:p>
      <w:pPr>
        <w:pStyle w:val="Normal"/>
        <w:rPr>
          <w:b/>
        </w:rPr>
      </w:pPr>
      <w:bookmarkStart w:id="25" w:name="_Toc51339697"/>
      <w:bookmarkStart w:id="26" w:name="_Toc50125127"/>
      <w:bookmarkStart w:id="27" w:name="_Toc501251261"/>
      <w:bookmarkEnd w:id="27"/>
      <w:r>
        <w:rPr>
          <w:b/>
        </w:rPr>
        <w:t xml:space="preserve">Таблица 3. </w:t>
      </w:r>
      <w:bookmarkStart w:id="28" w:name="_Hlk50465284"/>
      <w:r>
        <w:rPr>
          <w:b/>
        </w:rPr>
        <w:t xml:space="preserve">Требования по срокам </w:t>
      </w:r>
      <w:bookmarkEnd w:id="25"/>
      <w:bookmarkEnd w:id="26"/>
      <w:bookmarkEnd w:id="28"/>
      <w:r>
        <w:rPr>
          <w:b/>
        </w:rPr>
        <w:t>выполнения работ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6"/>
        <w:gridCol w:w="2981"/>
        <w:gridCol w:w="2977"/>
        <w:gridCol w:w="3116"/>
      </w:tblGrid>
      <w:tr>
        <w:trPr/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работ/ этапа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420" w:hRule="atLeast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5. Сети связи. </w:t>
              <w:br/>
              <w:t>Текстовая часть. Объекты хвостового хозяйства. Хвостохранилище II оч.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С даты, следующей за датой заключения Договора.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.10.</w:t>
            </w:r>
            <w:r>
              <w:rPr>
                <w:szCs w:val="24"/>
                <w:lang w:val="en-US"/>
              </w:rPr>
              <w:t>2026</w:t>
            </w:r>
            <w:r>
              <w:rPr>
                <w:szCs w:val="24"/>
              </w:rPr>
              <w:t xml:space="preserve"> г.</w:t>
            </w:r>
          </w:p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5. Сети связи. </w:t>
              <w:br/>
              <w:t>Графическая часть. Объекты хвостового хозяйства. Хвостохранилище II оч.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>Раздел 5. Сведения об инженерном оборудовании, о сетях и системах инженерно-технического обеспечения</w:t>
              <w:br/>
              <w:t xml:space="preserve">Подраздел 5. Сети связи. </w:t>
              <w:br/>
              <w:t>Ведомость объемов работ. Объекты хвостового хозяйства. Хвостохранилище II оч.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 xml:space="preserve">Раздел 9. Мероприятия по обеспечению пожарной безопасности. </w:t>
              <w:br/>
              <w:t>Текстовая часть.  Объекты хвостового хозяйства. Хвостохранилище II оч.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 xml:space="preserve">Раздел 9. Мероприятия по обеспечению пожарной безопасности. </w:t>
              <w:br/>
              <w:t>Графическая часть. Объекты хвостового хозяйства. Хвостохранилище II оч.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420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/>
            </w:pPr>
            <w:r>
              <w:rPr/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Cs w:val="24"/>
              </w:rPr>
            </w:pPr>
            <w:r>
              <w:rPr>
                <w:i/>
                <w:szCs w:val="24"/>
              </w:rPr>
              <w:t xml:space="preserve">Раздел 9. Мероприятия по обеспечению пожарной безопасности. </w:t>
              <w:br/>
              <w:t>Ведомость объемов работ. Объекты хвостового хозяйства. Хвостохранилище II оч.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Heading4"/>
        <w:numPr>
          <w:ilvl w:val="1"/>
          <w:numId w:val="38"/>
        </w:numPr>
        <w:ind w:firstLine="567"/>
        <w:rPr/>
      </w:pPr>
      <w:bookmarkStart w:id="29" w:name="_Toc228283038"/>
      <w:r>
        <w:rPr/>
        <w:t xml:space="preserve">Требования к </w:t>
      </w:r>
      <w:r>
        <w:rPr>
          <w:lang w:val="ru-RU"/>
        </w:rPr>
        <w:t>качеству работ</w:t>
      </w:r>
      <w:bookmarkEnd w:id="29"/>
    </w:p>
    <w:p>
      <w:pPr>
        <w:pStyle w:val="Normal"/>
        <w:widowControl w:val="false"/>
        <w:snapToGrid w:val="false"/>
        <w:spacing w:before="0" w:after="120"/>
        <w:ind w:firstLine="567"/>
        <w:jc w:val="both"/>
        <w:rPr>
          <w:b/>
          <w:bCs/>
          <w:szCs w:val="24"/>
        </w:rPr>
      </w:pPr>
      <w:r>
        <w:rPr>
          <w:b/>
          <w:bCs/>
          <w:szCs w:val="24"/>
        </w:rPr>
        <w:t>Наименование работ: Разработка подразделов проектной документации в части объектов хвостового хозяйства I и II очереди «Мероприятия по обеспечению пожарной безопасности» и «Сети связи» по объекту строительства: «ГМК «Удокан». II очередь строительства производительностью не менее 36,0 млн тонн руды в год. Строительство хвостохранилища II очереди».</w:t>
      </w:r>
    </w:p>
    <w:p>
      <w:pPr>
        <w:pStyle w:val="Normal"/>
        <w:rPr>
          <w:b/>
        </w:rPr>
      </w:pPr>
      <w:bookmarkStart w:id="30" w:name="_Toc51339698"/>
      <w:r>
        <w:rPr>
          <w:b/>
        </w:rPr>
        <w:t xml:space="preserve">Таблица 4. Требования к </w:t>
      </w:r>
      <w:bookmarkEnd w:id="30"/>
      <w:r>
        <w:rPr>
          <w:b/>
        </w:rPr>
        <w:t xml:space="preserve">качеству работ </w:t>
      </w:r>
    </w:p>
    <w:p>
      <w:pPr>
        <w:pStyle w:val="Normal"/>
        <w:rPr/>
      </w:pPr>
      <w:r>
        <w:rPr/>
      </w:r>
    </w:p>
    <w:tbl>
      <w:tblPr>
        <w:tblStyle w:val="affff4"/>
        <w:tblW w:w="9977" w:type="dxa"/>
        <w:jc w:val="left"/>
        <w:tblInd w:w="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0"/>
        <w:gridCol w:w="1879"/>
        <w:gridCol w:w="7238"/>
      </w:tblGrid>
      <w:tr>
        <w:trPr>
          <w:trHeight w:val="276" w:hRule="atLeast"/>
        </w:trPr>
        <w:tc>
          <w:tcPr>
            <w:tcW w:w="8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2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Требование Генподрядчика</w:t>
            </w:r>
          </w:p>
        </w:tc>
      </w:tr>
      <w:tr>
        <w:trPr>
          <w:trHeight w:val="276" w:hRule="atLeast"/>
        </w:trPr>
        <w:tc>
          <w:tcPr>
            <w:tcW w:w="8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</w:tc>
        <w:tc>
          <w:tcPr>
            <w:tcW w:w="18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</w:tc>
        <w:tc>
          <w:tcPr>
            <w:tcW w:w="72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rFonts w:cs="Times New Roman"/>
                <w:b/>
                <w:kern w:val="0"/>
                <w:szCs w:val="24"/>
                <w:lang w:val="ru-RU" w:eastAsia="ru-RU" w:bidi="ar-SA"/>
              </w:rPr>
              <w:t>1</w:t>
            </w:r>
          </w:p>
        </w:tc>
        <w:tc>
          <w:tcPr>
            <w:tcW w:w="1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2</w:t>
            </w:r>
          </w:p>
        </w:tc>
        <w:tc>
          <w:tcPr>
            <w:tcW w:w="7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0" w:right="0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</w:t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выполнению работ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1"/>
              </w:numPr>
              <w:suppressAutoHyphens w:val="true"/>
              <w:spacing w:before="60" w:after="60"/>
              <w:ind w:left="5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проектной документации  «Сети связи».</w:t>
            </w:r>
          </w:p>
        </w:tc>
        <w:tc>
          <w:tcPr>
            <w:tcW w:w="723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указать характеристику и обоснование принятых технических решений в отношении технологических сетей связи, предназначенных для обеспечения производственной деятельности на объекте капитального строительства, управления технологическими процессами производства;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Диспетчеризация технологического и инфраструктурных комплексов;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описание системы внутренней связи, часофикации, радиофикации, телевидения - для объектов непроизводственного назначения;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в рамках подраздела проектной документации Субподрядчик разрабатывает и прикладывает технические требования/опросные листы на проектируемое оборудование.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b/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в графической части должны быть представлены принципиальные схемы и планы сетей связи.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1"/>
              </w:numPr>
              <w:suppressAutoHyphens w:val="true"/>
              <w:spacing w:before="60" w:after="60"/>
              <w:ind w:left="5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Раздел «Мероприятия по обеспечению пожарной безопасности»</w:t>
            </w:r>
          </w:p>
        </w:tc>
        <w:tc>
          <w:tcPr>
            <w:tcW w:w="723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описание системы обеспечения пожарной безопасности объекта капитального строительства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автоматическая пожарная сигнализация и система оповещения и управления эвакуацией людей при пожаре (СОУЭ) описание системы, характеристики оборудования;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автоматическая система пожаротушения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описание и обоснование принятых конструктивных и объемно-планировочных решений, степени огнестойкости и класса конструктивной пожарной опасности строительных конструкций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464" w:leader="none"/>
                <w:tab w:val="left" w:pos="890" w:leader="none"/>
              </w:tabs>
              <w:suppressAutoHyphens w:val="true"/>
              <w:spacing w:before="0" w:after="0"/>
              <w:ind w:left="0" w:firstLine="851"/>
              <w:contextualSpacing/>
              <w:jc w:val="both"/>
              <w:rPr>
                <w:b/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в рамках раздела проектной документации Субподрядчик разрабатывает и прикладывает технические требования/опросные листы на проектируемое оборудование.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 xml:space="preserve">Требования к </w:t>
            </w: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разрабатываемым комплектам проектной документации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 «Сети связи».</w:t>
            </w:r>
          </w:p>
        </w:tc>
        <w:tc>
          <w:tcPr>
            <w:tcW w:w="7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x-none" w:bidi="ar-SA"/>
              </w:rPr>
              <w:t>- Постановление Правительства Российской Федерации №87 от 16.02.2008 г. «О составе разделов проектной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Отчётную документацию оформить в соответствии 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ГОСТ Р 21.101-2020 ОСНОВНЫЕ ТРЕБОВАНИЯ К ПРОЕКТНОЙ И РАБОЧЕЙ ДОКУМЕНТАЦИИ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1.2.2.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Раздел «Мероприятия по обеспечению пожарной безопасности»</w:t>
            </w:r>
          </w:p>
        </w:tc>
        <w:tc>
          <w:tcPr>
            <w:tcW w:w="7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x-none" w:bidi="ar-SA"/>
              </w:rPr>
              <w:t>- Постановление Правительства Российской Федерации №87 от 16.02.2008 г. «О составе разделов проектной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Отчётную документацию оформить в соответствии 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ГОСТ Р 21.101-2020 ОСНОВНЫЕ ТРЕБОВАНИЯ К ПРОЕКТНОЙ И РАБОЧЕЙ ДОКУМЕНТАЦИИ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1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Не требуется</w:t>
            </w:r>
          </w:p>
        </w:tc>
        <w:tc>
          <w:tcPr>
            <w:tcW w:w="7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1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Требования к обеспечению контроля качества при разработке разделов проектной документации</w:t>
            </w:r>
          </w:p>
        </w:tc>
        <w:tc>
          <w:tcPr>
            <w:tcW w:w="7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jc w:val="left"/>
              <w:rPr>
                <w:bCs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Cs w:val="24"/>
                <w:lang w:val="ru-RU" w:eastAsia="ru-RU" w:bidi="ar-SA"/>
              </w:rPr>
              <w:t>Нормоконтроль осуществлять в соответствии с ГОСТ Р 21.1002-2008 НОРМОКОНТРОЛЬ ПРОЕКТНОЙ И РАБОЧЕЙ ДОКУМЕНТАЦИИ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303" w:right="0" w:hanging="0"/>
              <w:contextualSpacing/>
              <w:jc w:val="left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  <w:t>1.5</w:t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Требования к результатам работ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1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7" w:hanging="0"/>
              <w:jc w:val="both"/>
              <w:rPr>
                <w:bCs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Подраздел  «Сети связи».</w:t>
            </w:r>
          </w:p>
        </w:tc>
        <w:tc>
          <w:tcPr>
            <w:tcW w:w="7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x-none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Состав и оглавление раздела ПД должен соответствовать</w:t>
            </w:r>
            <w:r>
              <w:rPr>
                <w:rFonts w:eastAsia="Times New Roman" w:cs="Times New Roman"/>
                <w:kern w:val="0"/>
                <w:lang w:val="ru-RU" w:eastAsia="x-none" w:bidi="ar-SA"/>
              </w:rPr>
              <w:t xml:space="preserve"> Постановлению Правительства Российской Федерации №87 от 16.02.2008 г. «О составе разделов проектной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Оформление разделов ПД должно соответствовать: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ГОСТ Р 21.101-2020 ОСНОВНЫЕ ТРЕБОВАНИЯ К ПРОЕКТНОЙ И РАБОЧЕЙ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Порядок представления - на бумажном носителе в 4 экз. и на электронном носителе (CD) в 2 экз. (формат pdf) с учетом требований Приказа Минстроя от 21 ноября 2014 г. N 728/пр.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Представить также исходные форматы материалов: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- графический материал –dwg;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- текстовый материал – doc, xls.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bCs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x-none" w:bidi="ar-SA"/>
              </w:rPr>
              <w:t xml:space="preserve">Разработанная и согласованная проектная документация, предоставляемая для проведения экспертизы, должна быть подписана электронной подписью (УКЭП) всеми лицами, участвующими в ее разработке согласно письма Минстрой России № 4409-КМ/14 от 30.01.2026 г. в силу изменения в ГрК РФ часть 16 ст. 55.5-1.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en-US" w:eastAsia="x-none" w:bidi="ar-SA"/>
              </w:rPr>
              <w:t>c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x-none" w:bidi="ar-SA"/>
              </w:rPr>
              <w:t xml:space="preserve"> 01.03.2026 г.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11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Cs w:val="24"/>
                <w:lang w:val="ru-RU" w:eastAsia="ru-RU" w:bidi="ar-SA"/>
              </w:rPr>
              <w:t>Раздел «Мероприятия по обеспечению пожарной безопасности»</w:t>
            </w:r>
          </w:p>
        </w:tc>
        <w:tc>
          <w:tcPr>
            <w:tcW w:w="7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eastAsia="x-none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Состав и оглавление раздела ПД должен соответствовать</w:t>
            </w:r>
            <w:r>
              <w:rPr>
                <w:rFonts w:eastAsia="Times New Roman" w:cs="Times New Roman"/>
                <w:kern w:val="0"/>
                <w:lang w:val="ru-RU" w:eastAsia="x-none" w:bidi="ar-SA"/>
              </w:rPr>
              <w:t xml:space="preserve"> Постановлению Правительства Российской Федерации №87 от 16.02.2008 г. «О составе разделов проектной документации и требованиях к их содержанию»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Оформление разделов ПД должно соответствовать: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ГОСТ Р 21.101-2020 ОСНОВНЫЕ ТРЕБОВАНИЯ К ПРОЕКТНОЙ И РАБОЧЕЙ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Порядок представления - на бумажном носителе в 4 экз. и на электронном носителе (CD) в 2 экз. (формат pdf) с учетом требований Приказа Минстроя от 21 ноября 2014 г. N 728/пр.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Представить также исходные форматы материалов: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- графический материал –dwg;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ind w:left="72" w:hanging="0"/>
              <w:jc w:val="both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- текстовый материал – doc, xls.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ind w:left="72" w:hanging="0"/>
              <w:jc w:val="both"/>
              <w:rPr>
                <w:bCs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x-none" w:bidi="ar-SA"/>
              </w:rPr>
              <w:t xml:space="preserve">Разработанная и согласованная проектная документация, предоставляемая для проведения экспертизы, должна быть подписана электронной подписью (УКЭП) всеми лицами, участвующими в ее разработке согласно письма Минстрой России № 4409-КМ/14 от 30.01.2026 г. в силу изменения в ГрК РФ часть 16 ст. 55.5-1. 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en-US" w:eastAsia="x-none" w:bidi="ar-SA"/>
              </w:rPr>
              <w:t>c</w:t>
            </w:r>
            <w:r>
              <w:rPr>
                <w:rFonts w:eastAsia="Times New Roman" w:cs="Times New Roman"/>
                <w:color w:val="000000"/>
                <w:kern w:val="0"/>
                <w:szCs w:val="24"/>
                <w:lang w:val="ru-RU" w:eastAsia="x-none" w:bidi="ar-SA"/>
              </w:rPr>
              <w:t xml:space="preserve"> 01.03.2026 г.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1356" w:right="0" w:hanging="0"/>
              <w:contextualSpacing/>
              <w:jc w:val="left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  <w:t>1.6.1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Порядок приемки</w:t>
            </w:r>
          </w:p>
        </w:tc>
        <w:tc>
          <w:tcPr>
            <w:tcW w:w="72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В соответствии с условиями договора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uppressAutoHyphens w:val="true"/>
              <w:spacing w:before="60" w:after="60"/>
              <w:ind w:left="-117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0" w:right="0" w:hanging="0"/>
              <w:contextualSpacing/>
              <w:jc w:val="lef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-57" w:right="0" w:hanging="0"/>
              <w:contextualSpacing/>
              <w:jc w:val="left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  <w:t>1.7.1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Оформление документации</w:t>
            </w:r>
          </w:p>
        </w:tc>
        <w:tc>
          <w:tcPr>
            <w:tcW w:w="7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u w:val="single"/>
                <w:lang w:val="ru-RU" w:eastAsia="ru-RU" w:bidi="ar-SA"/>
              </w:rPr>
              <w:t>ГОСТ Р 21.101-2020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Система проектной документации для строительства. Основные требования к проектной и рабочей документации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360" w:right="0" w:hanging="0"/>
              <w:contextualSpacing/>
              <w:jc w:val="left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  <w:t>2</w:t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ответственности и гарантиям Субподрядчика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1356" w:hanging="0"/>
              <w:contextualSpacing/>
              <w:jc w:val="left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  <w:t>2.1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Ответственность и гарантии подрядчика</w:t>
            </w:r>
          </w:p>
        </w:tc>
        <w:tc>
          <w:tcPr>
            <w:tcW w:w="7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В соответствии с условиями договора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303" w:right="0" w:hanging="0"/>
              <w:contextualSpacing/>
              <w:jc w:val="left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  <w:t>3</w:t>
            </w:r>
          </w:p>
        </w:tc>
        <w:tc>
          <w:tcPr>
            <w:tcW w:w="91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1356" w:hanging="0"/>
              <w:contextualSpacing/>
              <w:jc w:val="left"/>
              <w:rPr>
                <w:b w:val="false"/>
                <w:bCs w:val="false"/>
                <w:lang w:eastAsia="x-none"/>
              </w:rPr>
            </w:pPr>
            <w:r>
              <w:rPr>
                <w:b w:val="false"/>
                <w:bCs w:val="false"/>
                <w:lang w:eastAsia="x-none"/>
              </w:rPr>
              <w:t>3.1</w:t>
            </w:r>
          </w:p>
        </w:tc>
        <w:tc>
          <w:tcPr>
            <w:tcW w:w="18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7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В соответствии с условиями договора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1"/>
      <w:headerReference w:type="first" r:id="rId32"/>
      <w:type w:val="nextPage"/>
      <w:pgSz w:w="11906" w:h="16838"/>
      <w:pgMar w:left="1134" w:right="707" w:gutter="0" w:header="680" w:top="1134" w:footer="0" w:bottom="113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Garamond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pStyle w:val="Heading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356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num" w:pos="0"/>
          </w:tabs>
          <w:ind w:left="1728" w:hanging="648"/>
        </w:pPr>
        <w:rPr/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num" w:pos="0"/>
          </w:tabs>
          <w:ind w:left="2232" w:hanging="792"/>
        </w:pPr>
        <w:rPr/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num" w:pos="0"/>
          </w:tabs>
          <w:ind w:left="2736" w:hanging="936"/>
        </w:pPr>
        <w:rPr/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num" w:pos="0"/>
          </w:tabs>
          <w:ind w:left="3240" w:hanging="1080"/>
        </w:pPr>
        <w:rPr/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num" w:pos="0"/>
          </w:tabs>
          <w:ind w:left="3744" w:hanging="1224"/>
        </w:pPr>
        <w:rPr/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382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ce66cb"/>
    <w:pPr>
      <w:numPr>
        <w:ilvl w:val="0"/>
        <w:numId w:val="1"/>
      </w:numPr>
      <w:ind w:left="0" w:hanging="0"/>
      <w:jc w:val="center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numPr>
        <w:ilvl w:val="0"/>
        <w:numId w:val="0"/>
      </w:numPr>
    </w:pPr>
    <w:rPr/>
  </w:style>
  <w:style w:type="paragraph" w:styleId="Heading3">
    <w:name w:val="Heading 3"/>
    <w:basedOn w:val="Normal"/>
    <w:next w:val="Normal"/>
    <w:link w:val="3"/>
    <w:autoRedefine/>
    <w:qFormat/>
    <w:rsid w:val="0027324c"/>
    <w:pPr>
      <w:widowControl w:val="false"/>
      <w:numPr>
        <w:ilvl w:val="2"/>
        <w:numId w:val="1"/>
      </w:numPr>
      <w:spacing w:before="120" w:after="120"/>
      <w:outlineLvl w:val="2"/>
    </w:pPr>
    <w:rPr>
      <w:rFonts w:eastAsia="Calibri"/>
      <w:b/>
      <w:szCs w:val="24"/>
      <w:lang w:val="x-none" w:eastAsia="x-none"/>
    </w:rPr>
  </w:style>
  <w:style w:type="paragraph" w:styleId="Heading4">
    <w:name w:val="Heading 4"/>
    <w:basedOn w:val="Heading3"/>
    <w:next w:val="Normal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Heading5">
    <w:name w:val="Heading 5"/>
    <w:basedOn w:val="Normal"/>
    <w:next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024f61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ce66cb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27324c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4" w:customStyle="1">
    <w:name w:val="Текст сноски Знак"/>
    <w:uiPriority w:val="99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uiPriority w:val="1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EndnoteReference" w:customStyle="1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qFormat/>
    <w:rsid w:val="00de52bc"/>
    <w:rPr>
      <w:rFonts w:ascii="Garamond" w:hAnsi="Garamond"/>
      <w:sz w:val="24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ConsPlusNormal" w:customStyle="1">
    <w:name w:val="ConsPlusNormal Знак"/>
    <w:qFormat/>
    <w:rsid w:val="00ec3619"/>
    <w:rPr>
      <w:rFonts w:ascii="Arial" w:hAnsi="Arial" w:cs="Arial"/>
    </w:rPr>
  </w:style>
  <w:style w:type="character" w:styleId="Fontstyle01" w:customStyle="1">
    <w:name w:val="fontstyle01"/>
    <w:basedOn w:val="DefaultParagraphFont"/>
    <w:qFormat/>
    <w:rsid w:val="00fc526c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385c0a"/>
    <w:rPr>
      <w:color w:val="954F72" w:themeColor="followedHyperlink"/>
      <w:u w:val="single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Символ сноски"/>
    <w:qFormat/>
    <w:rPr/>
  </w:style>
  <w:style w:type="character" w:styleId="Style14" w:customStyle="1">
    <w:name w:val="Символ концевой сноски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both"/>
    </w:pPr>
    <w:rPr/>
  </w:style>
  <w:style w:type="paragraph" w:styleId="FootnoteText">
    <w:name w:val="Footnote Text"/>
    <w:basedOn w:val="Normal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Cs w:val="20"/>
    </w:rPr>
  </w:style>
  <w:style w:type="paragraph" w:styleId="Style21" w:customStyle="1">
    <w:name w:val="Подпункт"/>
    <w:basedOn w:val="Normal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Cs w:val="24"/>
    </w:rPr>
  </w:style>
  <w:style w:type="paragraph" w:styleId="Subtitle">
    <w:name w:val="Subtitle"/>
    <w:basedOn w:val="Normal"/>
    <w:next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Cs w:val="24"/>
    </w:rPr>
  </w:style>
  <w:style w:type="paragraph" w:styleId="Quote">
    <w:name w:val="Quote"/>
    <w:basedOn w:val="Normal"/>
    <w:next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numPr>
        <w:ilvl w:val="0"/>
        <w:numId w:val="0"/>
      </w:numPr>
      <w:spacing w:before="480" w:after="12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numPr>
        <w:ilvl w:val="0"/>
        <w:numId w:val="3"/>
      </w:numPr>
      <w:jc w:val="both"/>
    </w:pPr>
    <w:rPr>
      <w:rFonts w:ascii="Garamond" w:hAnsi="Garamond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Cs w:val="20"/>
    </w:rPr>
  </w:style>
  <w:style w:type="paragraph" w:styleId="25" w:customStyle="1">
    <w:name w:val="Нумерованный список ур2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kern w:val="2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f3d9c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2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2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902087949" TargetMode="External"/><Relationship Id="rId3" Type="http://schemas.openxmlformats.org/officeDocument/2006/relationships/hyperlink" Target="https://www.consultant.ru/document/cons_doc_LAW_51040/" TargetMode="External"/><Relationship Id="rId4" Type="http://schemas.openxmlformats.org/officeDocument/2006/relationships/hyperlink" Target="https://meganorm.ru/Data2/1/4293720/4293720404.htm" TargetMode="External"/><Relationship Id="rId5" Type="http://schemas.openxmlformats.org/officeDocument/2006/relationships/hyperlink" Target="https://files.stroyinf.ru/Data/769/76902.pdf" TargetMode="External"/><Relationship Id="rId6" Type="http://schemas.openxmlformats.org/officeDocument/2006/relationships/hyperlink" Target="https://files.stroyinf.ru/Data2/1/4293774/4293774399.pdf" TargetMode="External"/><Relationship Id="rId7" Type="http://schemas.openxmlformats.org/officeDocument/2006/relationships/hyperlink" Target="https://www.minstroyrf.gov.ru/upload/iblock/196/7hth38ftzl10ypxt57yhutke6pf5yjyq/SP-519.pdf" TargetMode="External"/><Relationship Id="rId8" Type="http://schemas.openxmlformats.org/officeDocument/2006/relationships/hyperlink" Target="https://www.consultant.ru/document/cons_doc_LAW_95720/?ysclid=moijmczuht559866768" TargetMode="External"/><Relationship Id="rId9" Type="http://schemas.openxmlformats.org/officeDocument/2006/relationships/hyperlink" Target="https://base.garant.ru/400832303/" TargetMode="External"/><Relationship Id="rId10" Type="http://schemas.openxmlformats.org/officeDocument/2006/relationships/hyperlink" Target="https://docs.cntd.ru/document/902087949" TargetMode="External"/><Relationship Id="rId11" Type="http://schemas.openxmlformats.org/officeDocument/2006/relationships/hyperlink" Target="https://www.consultant.ru/document/cons_doc_LAW_51040/" TargetMode="External"/><Relationship Id="rId12" Type="http://schemas.openxmlformats.org/officeDocument/2006/relationships/hyperlink" Target="https://www.minstroyrf.gov.ru/upload/iblock/1d2/&#1057;&#1055;44.13330.2011 &#1040;&#1076;&#1084;&#1080;&#1085;&#1080;&#1089;&#1090;&#1088;&#1072;&#1090;&#1080;&#1074;&#1085;&#1099;&#1077; &#1080; &#1073;&#1099;&#1090;&#1086;&#1074;&#1099;&#1077; &#1079;&#1076;&#1072;&#1085;&#1080;&#1103;.pdf" TargetMode="External"/><Relationship Id="rId13" Type="http://schemas.openxmlformats.org/officeDocument/2006/relationships/hyperlink" Target="https://docs.cntd.ru/document/573536177?ysclid=moijxgr7n5904979105" TargetMode="External"/><Relationship Id="rId14" Type="http://schemas.openxmlformats.org/officeDocument/2006/relationships/hyperlink" Target="https://docs.cntd.ru/document/1200003611?ysclid=moik0huhyn539192652." TargetMode="External"/><Relationship Id="rId15" Type="http://schemas.openxmlformats.org/officeDocument/2006/relationships/hyperlink" Target="https://docs.cntd.ru/document/1200098833?ysclid=moik1addwm809065365." TargetMode="External"/><Relationship Id="rId16" Type="http://schemas.openxmlformats.org/officeDocument/2006/relationships/hyperlink" Target="https://docs.cntd.ru/document/1200071145?ysclid=moik215jnm955646897." TargetMode="External"/><Relationship Id="rId17" Type="http://schemas.openxmlformats.org/officeDocument/2006/relationships/hyperlink" Target="https://docs.cntd.ru/document/573004280?ysclid=moik2sce3k596525423." TargetMode="External"/><Relationship Id="rId18" Type="http://schemas.openxmlformats.org/officeDocument/2006/relationships/hyperlink" Target="https://docs.cntd.ru/document/566249686?ysclid=moik37larj460936338." TargetMode="External"/><Relationship Id="rId19" Type="http://schemas.openxmlformats.org/officeDocument/2006/relationships/hyperlink" Target="https://docs.cntd.ru/document/351102147?ysclid=moik3xs512151904554." TargetMode="External"/><Relationship Id="rId20" Type="http://schemas.openxmlformats.org/officeDocument/2006/relationships/hyperlink" Target="https://docs.cntd.ru/document/565248961?ysclid=moik4imgwb881864776." TargetMode="External"/><Relationship Id="rId21" Type="http://schemas.openxmlformats.org/officeDocument/2006/relationships/hyperlink" Target="https://docs.cntd.ru/document/9051953?ysclid=moik57yl3d355140158." TargetMode="External"/><Relationship Id="rId22" Type="http://schemas.openxmlformats.org/officeDocument/2006/relationships/hyperlink" Target="https://docs.cntd.ru/document/565248963?ysclid=moik5pxbvh493247816." TargetMode="External"/><Relationship Id="rId23" Type="http://schemas.openxmlformats.org/officeDocument/2006/relationships/hyperlink" Target="https://meganorm.ru/Data2/1/4293788/4293788797.pdf" TargetMode="External"/><Relationship Id="rId24" Type="http://schemas.openxmlformats.org/officeDocument/2006/relationships/hyperlink" Target="https://meganorm.ru/Data2/1/4294851/4294851474.htm" TargetMode="External"/><Relationship Id="rId25" Type="http://schemas.openxmlformats.org/officeDocument/2006/relationships/hyperlink" Target="https://docs.cntd.ru/document/901729631" TargetMode="External"/><Relationship Id="rId26" Type="http://schemas.openxmlformats.org/officeDocument/2006/relationships/hyperlink" Target="https://meganorm.ru/Data2/1/4293720/4293720404.htm" TargetMode="External"/><Relationship Id="rId27" Type="http://schemas.openxmlformats.org/officeDocument/2006/relationships/hyperlink" Target="https://files.stroyinf.ru/Data/769/76902.pdf" TargetMode="External"/><Relationship Id="rId28" Type="http://schemas.openxmlformats.org/officeDocument/2006/relationships/hyperlink" Target="https://files.stroyinf.ru/Data2/1/4293774/4293774399.pdf" TargetMode="External"/><Relationship Id="rId29" Type="http://schemas.openxmlformats.org/officeDocument/2006/relationships/hyperlink" Target="https://meganorm.ru/Data2/1/4293765/4293765641.pdf" TargetMode="External"/><Relationship Id="rId30" Type="http://schemas.openxmlformats.org/officeDocument/2006/relationships/hyperlink" Target="https://meganorm.ru/Data2/1/4293736/4293736459.pdf" TargetMode="External"/><Relationship Id="rId31" Type="http://schemas.openxmlformats.org/officeDocument/2006/relationships/header" Target="header1.xml"/><Relationship Id="rId32" Type="http://schemas.openxmlformats.org/officeDocument/2006/relationships/header" Target="header2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<Relationship Id="rId3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96778-DF82-466A-B6B6-3EE61FD3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AlterOffice/2025.3.1.0$Linux_X86_64 LibreOffice_project/431cd1b79110582f53535c95ed0a2449aadc8bf9</Application>
  <AppVersion>15.0000</AppVersion>
  <Pages>12</Pages>
  <Words>2538</Words>
  <Characters>19671</Characters>
  <CharactersWithSpaces>21899</CharactersWithSpaces>
  <Paragraphs>293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2026-04-28T12:31:00Z</dcterms:created>
  <dc:creator>Быстров Олег Геннадьевич</dc:creator>
  <dc:description/>
  <dc:language>ru-RU</dc:language>
  <cp:lastModifiedBy>melnikovaod</cp:lastModifiedBy>
  <cp:lastPrinted>2024-02-16T11:07:00Z</cp:lastPrinted>
  <dcterms:modified xsi:type="dcterms:W3CDTF">2026-06-18T13:22:58Z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