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color w:val="000000"/>
        </w:rPr>
      </w:pP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27.11.62.110</w:t>
      </w:r>
      <w:r>
        <w:rPr>
          <w:rFonts w:eastAsia="Calibri"/>
          <w:color w:val="000000"/>
          <w:sz w:val="26"/>
          <w:szCs w:val="26"/>
        </w:rPr>
        <w:t xml:space="preserve"> Поставка резервного электротехнического оборудования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jc w:val="center"/>
        <w:rPr>
          <w:color w:val="000000"/>
        </w:rPr>
      </w:pPr>
      <w:r>
        <w:rPr>
          <w:rFonts w:eastAsia="Calibri"/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color w:val="000000"/>
          <w:sz w:val="24"/>
          <w:szCs w:val="24"/>
          <w:lang w:eastAsia="x-none"/>
        </w:rPr>
        <w:t>(ввода высоковольтные трансформаторные 110кВ)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olor w:val="000000"/>
        </w:rPr>
      </w:pPr>
      <w:bookmarkStart w:id="0" w:name="_Toc130454087"/>
      <w:bookmarkStart w:id="1" w:name="_Toc51339692"/>
      <w:bookmarkEnd w:id="1"/>
      <w:r>
        <w:rPr>
          <w:color w:val="000000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2" w:name="_Toc130454088"/>
      <w:bookmarkStart w:id="3" w:name="_Toc46743505"/>
      <w:bookmarkEnd w:id="3"/>
      <w:r>
        <w:rPr>
          <w:color w:val="000000"/>
        </w:rPr>
        <w:t>Обозначения и сокращения</w:t>
      </w:r>
      <w:bookmarkEnd w:id="2"/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Аварийно неснижаемый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ТН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Трансформатор напряжения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4" w:name="_Toc130454089"/>
      <w:bookmarkStart w:id="5" w:name="_Toc46743506"/>
      <w:bookmarkEnd w:id="5"/>
      <w:r>
        <w:rPr>
          <w:color w:val="000000"/>
        </w:rPr>
        <w:t>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color w:val="000000"/>
        </w:rPr>
      </w:pPr>
      <w:r>
        <w:rPr>
          <w:rFonts w:eastAsia="Calibri"/>
          <w:color w:val="000000"/>
          <w:sz w:val="24"/>
          <w:szCs w:val="24"/>
          <w:lang w:eastAsia="x-none"/>
        </w:rPr>
        <w:t>Поставка резервного электротехнического оборудования (ввода высоковольтные трансформаторные 110кВ)</w:t>
      </w:r>
      <w:r>
        <w:rPr>
          <w:rFonts w:eastAsia="Calibri"/>
          <w:color w:val="000000"/>
          <w:lang w:eastAsia="x-none"/>
        </w:rPr>
        <w:br/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color w:val="000000"/>
        </w:rPr>
      </w:pPr>
      <w:bookmarkStart w:id="6" w:name="_Toc130454090"/>
      <w:bookmarkStart w:id="7" w:name="_Toc46743507"/>
      <w:r>
        <w:rPr>
          <w:color w:val="000000"/>
        </w:rPr>
        <w:t xml:space="preserve">Цель </w:t>
      </w:r>
      <w:bookmarkEnd w:id="7"/>
      <w:r>
        <w:rPr>
          <w:color w:val="000000"/>
          <w:lang w:val="ru-RU"/>
        </w:rPr>
        <w:t>использования закупаемой продукции</w:t>
      </w:r>
      <w:bookmarkEnd w:id="6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8" w:name="_Toc130454091"/>
      <w:bookmarkStart w:id="9" w:name="_Toc46743508"/>
      <w:r>
        <w:rPr>
          <w:color w:val="000000"/>
        </w:rPr>
        <w:t>Существующее положение</w:t>
      </w:r>
      <w:bookmarkEnd w:id="8"/>
      <w:bookmarkEnd w:id="9"/>
      <w:r>
        <w:rPr>
          <w:color w:val="000000"/>
          <w:lang w:val="ru-RU"/>
        </w:rPr>
        <w:t xml:space="preserve">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Жигулёвская ГЭС расположена по адресу: Российская Федерация, 445350, Самарская область, город Жигулевск, Московское шоссе, дом 2.  </w:t>
      </w:r>
    </w:p>
    <w:p>
      <w:pPr>
        <w:pStyle w:val="Normal"/>
        <w:tabs>
          <w:tab w:val="clear" w:pos="327"/>
          <w:tab w:val="left" w:pos="284" w:leader="none"/>
        </w:tabs>
        <w:jc w:val="both"/>
        <w:rPr>
          <w:color w:val="000000"/>
        </w:rPr>
      </w:pPr>
      <w:r>
        <w:rPr>
          <w:color w:val="000000"/>
          <w:sz w:val="24"/>
          <w:szCs w:val="24"/>
          <w:lang w:eastAsia="en-US"/>
        </w:rPr>
        <w:t xml:space="preserve">Для поддержания рекомендуемого состава аварийного запаса электротехнического оборудования согласно СТО РусГидро 02.01.145-2022 «Электрические станции, тепловые и электрические сети. Планирование и управление аварийным запасом», в соответствие с Правилами технической эксплуатации электрических станций и сетей Российской Федерации, утвержденными приказом Минэнерго России от 04.10.2022 № 1070 требуется поставка вводов высоковольтных. </w:t>
      </w:r>
    </w:p>
    <w:p>
      <w:pPr>
        <w:pStyle w:val="Normal"/>
        <w:tabs>
          <w:tab w:val="clear" w:pos="327"/>
          <w:tab w:val="left" w:pos="284" w:leader="none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327"/>
          <w:tab w:val="left" w:pos="426" w:leader="none"/>
        </w:tabs>
        <w:spacing w:before="120" w:after="240"/>
        <w:contextualSpacing/>
        <w:jc w:val="both"/>
        <w:rPr>
          <w:color w:val="000000"/>
        </w:rPr>
      </w:pPr>
      <w:r>
        <w:rPr>
          <w:b/>
          <w:color w:val="000000"/>
          <w:lang w:val="en-US"/>
        </w:rPr>
        <w:t>Требования к участнику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olor w:val="000000"/>
        </w:rPr>
      </w:pPr>
      <w:bookmarkStart w:id="10" w:name="_Toc130454092"/>
      <w:bookmarkStart w:id="11" w:name="_Toc51339693"/>
      <w:bookmarkEnd w:id="11"/>
      <w:r>
        <w:rPr>
          <w:iCs/>
          <w:color w:val="000000"/>
        </w:rPr>
        <w:t>Требования к продукции</w:t>
      </w:r>
      <w:bookmarkEnd w:id="10"/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12" w:name="_Toc130454093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1"/>
        </w:numPr>
        <w:rPr>
          <w:color w:val="000000"/>
        </w:rPr>
      </w:pPr>
      <w:bookmarkStart w:id="13" w:name="_Toc130454094"/>
      <w:r>
        <w:rPr>
          <w:color w:val="000000"/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color w:val="000000"/>
        </w:rPr>
      </w:pPr>
      <w:bookmarkStart w:id="14" w:name="_Toc130454095"/>
      <w:bookmarkStart w:id="15" w:name="_Toc51339695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1.1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Перечень </w:t>
      </w:r>
      <w:bookmarkEnd w:id="15"/>
      <w:r>
        <w:rPr>
          <w:color w:val="000000"/>
          <w:sz w:val="24"/>
          <w:szCs w:val="24"/>
          <w:lang w:val="ru-RU"/>
        </w:rPr>
        <w:t>и объем закупаемой продукции</w:t>
      </w:r>
      <w:bookmarkEnd w:id="14"/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color w:val="000000"/>
        </w:rPr>
      </w:pPr>
      <w:r>
        <w:rPr>
          <w:color w:val="000000"/>
          <w:sz w:val="24"/>
          <w:szCs w:val="24"/>
          <w:lang w:val="ru-RU"/>
        </w:rPr>
        <w:t>Таблица №.1</w:t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9"/>
        <w:gridCol w:w="6150"/>
        <w:gridCol w:w="1413"/>
        <w:gridCol w:w="1412"/>
      </w:tblGrid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Ввод высоковольтный трансформаторный H-Energy BRIT-R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57" w:hanging="0"/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en-US"/>
        </w:rPr>
        <w:t xml:space="preserve">Таблица 1.2 Технические характеристики </w:t>
      </w:r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color w:val="000000"/>
        </w:rPr>
      </w:pPr>
      <w:r>
        <w:rPr>
          <w:color w:val="000000"/>
          <w:sz w:val="24"/>
          <w:szCs w:val="24"/>
          <w:lang w:val="ru-RU" w:eastAsia="en-US"/>
        </w:rPr>
        <w:t>Таблица №.2</w:t>
      </w:r>
    </w:p>
    <w:tbl>
      <w:tblPr>
        <w:tblW w:w="98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"/>
        <w:gridCol w:w="2913"/>
        <w:gridCol w:w="1538"/>
        <w:gridCol w:w="2211"/>
        <w:gridCol w:w="2487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Предложение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Участника</w:t>
            </w:r>
          </w:p>
        </w:tc>
      </w:tr>
      <w:tr>
        <w:trPr/>
        <w:tc>
          <w:tcPr>
            <w:tcW w:w="984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техническим параметрам, характеристикам в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вода высоковольтного трансформаторного 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ввода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BRIT-R-90-110-550/800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ввода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ООО "Эйч Энерджи"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Габаритно-установочный чертеж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КН1.9.004 RУ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рабочее напряжение, кВ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фазное напряжение, кВ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грозового испытательного импульса 1.2/50 мкс, кВ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напряжение 1 мин. промышленной частоты 50 Гц в сухом состоянии/под дождем, кВ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265/230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</w:t>
            </w:r>
          </w:p>
        </w:tc>
        <w:tc>
          <w:tcPr>
            <w:tcW w:w="37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термической стойкости Ith, кА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динамической стойкости Id, кА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Интенсивность частичных разрядов при 2*Uф, пКл, не более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длина пути утечки, мм, не менее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Разрядное расстояние, мм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-60ºС... +55ºС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угол установки к вертикали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0º ... 90º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Сейсмическая устойчивость по шкале MSK-64, балл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7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84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 изготовителя</w:t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Гарантии распространяются на все детали и узлы, обеспечивающие эксплуатацию.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Изготовитель обязуется производить в течение гарантийного периода эксплуатации устранение всех неисправностей, возникших из-за дефектов изготовления и конструкторских недоработок, своими силами и за свой счет или компенсировать затраты по выполнению таких работ.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Гарантийный период эксплуатации увеличивается на время простоя оборудования, необходимое на устранение заводского дефекта. Потери от простоя оборудования в ремонте по этим причинам компенсируются изготовителем. Доводочные работы, выполняемые на монтаже и не предусмотренные договором, производятся силами изготовителя или за его счет.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Изготовитель гарантирует поставку запасных частей и материалов по заявкам заказчика, оформленным отдельными соглашениями и за отдельную плату, в течение всего периода эксплуатации оборудования.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Гарантийный срок эксплуатации с момента поставки, не менее, лет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Назначенный срок службы, не менее, лет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ind w:left="56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7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Heading3"/>
        <w:numPr>
          <w:ilvl w:val="2"/>
          <w:numId w:val="1"/>
        </w:numPr>
        <w:rPr>
          <w:color w:val="000000"/>
        </w:rPr>
      </w:pPr>
      <w:bookmarkStart w:id="16" w:name="_Toc130454096"/>
      <w:bookmarkStart w:id="17" w:name="_Toc51339696"/>
      <w:r>
        <w:rPr>
          <w:color w:val="000000"/>
          <w:lang w:val="ru-RU"/>
        </w:rPr>
        <w:t xml:space="preserve">Требования </w:t>
      </w:r>
      <w:bookmarkEnd w:id="17"/>
      <w:r>
        <w:rPr>
          <w:color w:val="000000"/>
          <w:lang w:val="ru-RU"/>
        </w:rPr>
        <w:t>к срокам поставки продукции и оказания сопутствующих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color w:val="000000"/>
        </w:rPr>
      </w:pPr>
      <w:bookmarkStart w:id="18" w:name="_Toc130454097"/>
      <w:bookmarkStart w:id="19" w:name="_Toc50125127"/>
      <w:bookmarkStart w:id="20" w:name="_Toc51339697"/>
      <w:bookmarkStart w:id="21" w:name="_Toc501251261"/>
      <w:bookmarkEnd w:id="21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</w:t>
      </w:r>
      <w:bookmarkStart w:id="22" w:name="_Hlk50465284"/>
      <w:r>
        <w:rPr>
          <w:color w:val="000000"/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color w:val="000000"/>
          <w:sz w:val="24"/>
          <w:szCs w:val="24"/>
          <w:lang w:val="ru-RU"/>
        </w:rPr>
        <w:t>поставки продукции</w:t>
      </w:r>
      <w:bookmarkEnd w:id="18"/>
      <w:r>
        <w:rPr>
          <w:color w:val="000000"/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51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3"/>
        <w:gridCol w:w="3806"/>
        <w:gridCol w:w="2555"/>
        <w:gridCol w:w="2631"/>
      </w:tblGrid>
      <w:tr>
        <w:trPr>
          <w:tblHeader w:val="true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Продукция согласно таблицы 1.1. Перечень и объем закупаемой продукции, поставка осуществляется одной партией.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10 месяцев с даты подписания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>
          <w:color w:val="000000"/>
        </w:rPr>
      </w:pPr>
      <w:bookmarkStart w:id="23" w:name="_Toc51339698"/>
      <w:bookmarkStart w:id="24" w:name="_Toc130454098"/>
      <w:bookmarkStart w:id="25" w:name="_Toc46743511"/>
      <w:r>
        <w:rPr>
          <w:color w:val="000000"/>
        </w:rPr>
        <w:t xml:space="preserve">Требования к </w:t>
      </w:r>
      <w:bookmarkEnd w:id="25"/>
      <w:r>
        <w:rPr>
          <w:color w:val="000000"/>
          <w:lang w:val="ru-RU"/>
        </w:rPr>
        <w:t>качеству продукции</w:t>
      </w:r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  <w:bookmarkStart w:id="26" w:name="_Toc130454099"/>
      <w:r>
        <w:rPr>
          <w:color w:val="000000"/>
          <w:sz w:val="24"/>
          <w:szCs w:val="24"/>
        </w:rPr>
        <w:t>Таблица </w:t>
      </w:r>
      <w:r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 xml:space="preserve">. Требования к </w:t>
      </w:r>
      <w:r>
        <w:rPr>
          <w:color w:val="000000"/>
          <w:sz w:val="24"/>
          <w:szCs w:val="24"/>
          <w:lang w:val="ru-RU"/>
        </w:rPr>
        <w:t>продукции</w:t>
      </w:r>
      <w:bookmarkEnd w:id="23"/>
      <w:bookmarkEnd w:id="26"/>
      <w:r>
        <w:rPr>
          <w:color w:val="000000"/>
          <w:sz w:val="24"/>
          <w:szCs w:val="24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Наименование продукции: 27.12.10 Поставка резервного электротехнического оборудования (трансформатор напряжения 220кВ — аварийный запас)</w:t>
      </w:r>
    </w:p>
    <w:tbl>
      <w:tblPr>
        <w:tblStyle w:val="affff8"/>
        <w:tblW w:w="15309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1966"/>
        <w:gridCol w:w="29"/>
        <w:gridCol w:w="44"/>
        <w:gridCol w:w="2961"/>
        <w:gridCol w:w="2927"/>
        <w:gridCol w:w="3201"/>
        <w:gridCol w:w="3334"/>
      </w:tblGrid>
      <w:tr>
        <w:trPr/>
        <w:tc>
          <w:tcPr>
            <w:tcW w:w="8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9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6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039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96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Характеристики оборудования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Предложенные характеристики должны быть не хуже указанных в таблице 2.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характеристики/параметры в таблице 2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en-US" w:eastAsia="ru-RU" w:bidi="ar-SA"/>
              </w:rPr>
              <w:t>Требования к материалам</w:t>
            </w:r>
          </w:p>
        </w:tc>
        <w:tc>
          <w:tcPr>
            <w:tcW w:w="300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303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поставляемой продукции должны соответствовать заявленным согласно перечня в табл.2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Разгрузка осуществляется за счёт покупателя. Погрузка на территории Поставщика/ Производителя, транспорт и доставка до склада Заказчика выполняются за счёт средств Поставщика. Разгрузка на территории Заказчика за счет средств Заказчика.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Возможность вертикальной разгрузки транспорта обязательна.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поставленную продукцию не менее 36 месяцев с момента подписания товарной накладной по форме ТОРГ 12.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сертификаты качества,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технические паспорта,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руководства по эксплуатации,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 на русском языке (обязательно), товарную накладную унифицированной формы ТОРГ 12 в 2 экз.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Поставляемое оборудование предназначено для пополнения аварийного запаса. Шефмонтаж на этапе поставки не требуется.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Поставляемое оборудование предназначено для пополнения аварийного запаса. Шефналадка на этапе поставки не требуется.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прочим услугам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ind w:left="357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spacing w:before="0" w:after="120"/>
        <w:ind w:left="327" w:hanging="0"/>
        <w:contextualSpacing/>
        <w:jc w:val="both"/>
        <w:rPr>
          <w:color w:val="000000"/>
        </w:rPr>
      </w:pPr>
      <w:r>
        <w:rPr>
          <w:b/>
          <w:bCs/>
          <w:iCs/>
          <w:color w:val="000000"/>
          <w:lang w:eastAsia="x-none"/>
        </w:rPr>
        <w:t>3.</w:t>
      </w:r>
      <w:r>
        <w:rPr>
          <w:b/>
          <w:color w:val="000000"/>
        </w:rPr>
        <w:t xml:space="preserve"> Требования к техническому предложению и спецификации Участника на этапе закупки</w:t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</w:rPr>
      </w:pPr>
      <w:r>
        <w:rPr>
          <w:b w:val="false"/>
          <w:color w:val="000000"/>
          <w:sz w:val="24"/>
          <w:szCs w:val="24"/>
          <w:lang w:val="ru-RU"/>
        </w:rPr>
        <w:t xml:space="preserve">         </w:t>
      </w:r>
      <w:r>
        <w:rPr>
          <w:b w:val="false"/>
          <w:color w:val="000000"/>
          <w:sz w:val="24"/>
          <w:szCs w:val="24"/>
          <w:lang w:val="ru-RU"/>
        </w:rPr>
        <w:t>4.1 В техническом предложении каждого участника должны быть представлены таблицы, аналогичные таблицам 2, 3 настоящих ТТ, в которых участник должен заполнить столбец с предложением участника. Участнику необходимо выразить свое согласие с требованиями указанными в таблицах 2, 3, которым Участник подтверждает необходимость  обязательного соблюдения данного требования. Отсутствие в техническом предложении Участника заполненных таблиц, аналогичных таблицам 2, 3 настоящих ТТ, с обязательным содержанием и заполнением всех строк, несогласие с требованиями или несоответствие требованиям Заказчика, указанным в таблицах 2, 3 настоящих ТТ, отсутствие подтверждающих документов, требуемых Заказчиком, будет являться основанием для отклонения заявки Участника от дальнейшего рассмотрения. Техническое предложение победителя закупки будет приложено к договору.</w:t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  <w:lang w:val="ru-RU"/>
        </w:rPr>
        <w:t xml:space="preserve">    </w:t>
      </w:r>
      <w:r>
        <w:rPr>
          <w:b w:val="false"/>
          <w:color w:val="000000"/>
          <w:sz w:val="24"/>
          <w:szCs w:val="24"/>
          <w:lang w:val="ru-RU"/>
        </w:rPr>
        <w:t xml:space="preserve">4.2 В составе заявки каждого Участника должна быть приложена заполненная спецификация поставляемого оборудования (спецификация должна быть предоставлена в двух вариантах – в </w:t>
      </w:r>
      <w:r>
        <w:rPr>
          <w:b w:val="false"/>
          <w:color w:val="000000"/>
          <w:sz w:val="24"/>
          <w:szCs w:val="24"/>
          <w:lang w:val="en-US"/>
        </w:rPr>
        <w:t>pdf</w:t>
      </w:r>
      <w:r>
        <w:rPr>
          <w:b w:val="false"/>
          <w:color w:val="000000"/>
          <w:sz w:val="24"/>
          <w:szCs w:val="24"/>
          <w:lang w:val="ru-RU"/>
        </w:rPr>
        <w:t xml:space="preserve"> и </w:t>
      </w:r>
      <w:r>
        <w:rPr>
          <w:b w:val="false"/>
          <w:color w:val="000000"/>
          <w:sz w:val="24"/>
          <w:szCs w:val="24"/>
          <w:lang w:val="en-US"/>
        </w:rPr>
        <w:t>Excel</w:t>
      </w:r>
      <w:r>
        <w:rPr>
          <w:b w:val="false"/>
          <w:color w:val="000000"/>
          <w:sz w:val="24"/>
          <w:szCs w:val="24"/>
          <w:lang w:val="ru-RU"/>
        </w:rPr>
        <w:t>) по форме приложения № 1 к ТТ, с указанием типа, марки и, при наличии. Отсутствие в заявке Участника заполненной спецификации, с обязательным содержанием и заполнением всех столбцов, несогласие с требованиями или несоответствие требованиям Заказчика, указанным в таблицах 2, 3 настоящих ТТ, отсутствие подтверждающих документов, требуемых Заказчиком, будет являться основанием для отклонения заявки Участника от дальнейшего рассмотрения. Спецификация победителя закупки будет приложена к договору.</w:t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ind w:left="357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4. </w:t>
      </w:r>
      <w:bookmarkStart w:id="27" w:name="_Toc130454100"/>
      <w:bookmarkStart w:id="28" w:name="_Toc53393312"/>
      <w:r>
        <w:rPr>
          <w:color w:val="000000"/>
          <w:sz w:val="24"/>
          <w:szCs w:val="24"/>
          <w:lang w:val="ru-RU"/>
        </w:rPr>
        <w:t>Требования к документации по ценообразованию</w:t>
      </w:r>
      <w:bookmarkEnd w:id="28"/>
      <w:r>
        <w:rPr>
          <w:color w:val="000000"/>
          <w:sz w:val="24"/>
          <w:szCs w:val="24"/>
          <w:lang w:val="ru-RU"/>
        </w:rPr>
        <w:t xml:space="preserve"> на этапе закупки</w:t>
      </w:r>
      <w:bookmarkEnd w:id="27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60" w:after="0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bCs/>
          <w:iCs/>
          <w:color w:val="000000"/>
          <w:sz w:val="24"/>
          <w:szCs w:val="24"/>
          <w:lang w:eastAsia="x-none"/>
        </w:rPr>
        <w:t xml:space="preserve">     </w:t>
      </w:r>
      <w:r>
        <w:rPr>
          <w:bCs/>
          <w:iCs/>
          <w:color w:val="000000"/>
          <w:sz w:val="24"/>
          <w:szCs w:val="24"/>
          <w:lang w:eastAsia="x-none"/>
        </w:rPr>
        <w:t xml:space="preserve">4.1 В обоснование стоимости своей заявки Участник предоставляет Коммерческое предложение по форме </w:t>
      </w:r>
      <w:bookmarkStart w:id="29" w:name="_Hlk88325985"/>
      <w:r>
        <w:rPr>
          <w:bCs/>
          <w:iCs/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29"/>
      <w:r>
        <w:rPr>
          <w:bCs/>
          <w:iCs/>
          <w:color w:val="000000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rFonts w:eastAsia="Calibri"/>
          <w:iCs/>
          <w:color w:val="000000"/>
          <w:sz w:val="24"/>
          <w:szCs w:val="24"/>
          <w:lang w:val="x-none" w:eastAsia="x-none"/>
        </w:rPr>
        <w:t>4.2 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lang w:val="x-none" w:eastAsia="x-none"/>
        </w:rPr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lang w:val="x-none" w:eastAsia="x-none"/>
        </w:rPr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lang w:val="x-none" w:eastAsia="x-none"/>
        </w:rPr>
      </w:r>
    </w:p>
    <w:p>
      <w:pPr>
        <w:pStyle w:val="Heading1"/>
        <w:keepLines/>
        <w:spacing w:before="120" w:after="60"/>
        <w:ind w:left="357" w:hanging="0"/>
        <w:jc w:val="center"/>
        <w:rPr>
          <w:color w:val="000000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992" w:gutter="0" w:header="680" w:top="851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8"/>
        </w:tabs>
        <w:ind w:left="0" w:firstLine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7450e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WW8Num46z0" w:customStyle="1">
    <w:name w:val="WW8Num46z0"/>
    <w:qFormat/>
    <w:rPr/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68z0" w:customStyle="1">
    <w:name w:val="WW8Num68z0"/>
    <w:qFormat/>
    <w:rPr>
      <w:rFonts w:ascii="Symbol" w:hAnsi="Symbol" w:cs="Symbol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55z0" w:customStyle="1">
    <w:name w:val="WW8Num55z0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6z0" w:customStyle="1">
    <w:name w:val="WW8Num56z0"/>
    <w:qFormat/>
    <w:rPr>
      <w:color w:val="000000"/>
    </w:rPr>
  </w:style>
  <w:style w:type="character" w:styleId="WW8Num56z1" w:customStyle="1">
    <w:name w:val="WW8Num56z1"/>
    <w:qFormat/>
    <w:rPr>
      <w:rFonts w:ascii="Symbol" w:hAnsi="Symbol" w:eastAsia="Times New Roman" w:cs="Times New Roman"/>
    </w:rPr>
  </w:style>
  <w:style w:type="character" w:styleId="WW8Num62z0" w:customStyle="1">
    <w:name w:val="WW8Num62z0"/>
    <w:qFormat/>
    <w:rPr/>
  </w:style>
  <w:style w:type="character" w:styleId="WW8Num62z1" w:customStyle="1">
    <w:name w:val="WW8Num62z1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Symbol" w:hAnsi="Symbol" w:cs="Symbol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66z0" w:customStyle="1">
    <w:name w:val="WW8Num66z0"/>
    <w:qFormat/>
    <w:rPr/>
  </w:style>
  <w:style w:type="character" w:styleId="WW8Num66z1" w:customStyle="1">
    <w:name w:val="WW8Num66z1"/>
    <w:qFormat/>
    <w:rPr>
      <w:rFonts w:ascii="Symbol" w:hAnsi="Symbol" w:cs="Symbol"/>
    </w:rPr>
  </w:style>
  <w:style w:type="character" w:styleId="WW8Num41z0" w:customStyle="1">
    <w:name w:val="WW8Num41z0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Msonormalmrcssattr" w:customStyle="1">
    <w:name w:val="msonormalmrcssattr"/>
    <w:basedOn w:val="Normal"/>
    <w:qFormat/>
    <w:pPr>
      <w:spacing w:beforeAutospacing="1" w:afterAutospacing="1"/>
    </w:pPr>
    <w:rPr>
      <w:rFonts w:eastAsia="Calibri" w:eastAsiaTheme="minorHAnsi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WW8Num46" w:customStyle="1">
    <w:name w:val="WW8Num46"/>
    <w:qFormat/>
  </w:style>
  <w:style w:type="numbering" w:styleId="WW8Num35" w:customStyle="1">
    <w:name w:val="WW8Num35"/>
    <w:qFormat/>
  </w:style>
  <w:style w:type="numbering" w:styleId="WW8Num68" w:customStyle="1">
    <w:name w:val="WW8Num68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62" w:customStyle="1">
    <w:name w:val="WW8Num62"/>
    <w:qFormat/>
  </w:style>
  <w:style w:type="numbering" w:styleId="WW8Num53" w:customStyle="1">
    <w:name w:val="WW8Num53"/>
    <w:qFormat/>
  </w:style>
  <w:style w:type="numbering" w:styleId="WW8Num39" w:customStyle="1">
    <w:name w:val="WW8Num39"/>
    <w:qFormat/>
  </w:style>
  <w:style w:type="numbering" w:styleId="WW8Num66" w:customStyle="1">
    <w:name w:val="WW8Num66"/>
    <w:qFormat/>
  </w:style>
  <w:style w:type="numbering" w:styleId="WW8Num41" w:customStyle="1">
    <w:name w:val="WW8Num41"/>
    <w:qFormat/>
  </w:style>
  <w:style w:type="numbering" w:styleId="WW8Num2" w:customStyle="1">
    <w:name w:val="WW8Num2"/>
    <w:qFormat/>
  </w:style>
  <w:style w:type="numbering" w:styleId="39766624161" w:customStyle="1">
    <w:name w:val="397666241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845-4124-4F1E-98E8-E9E4520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23612</TotalTime>
  <Application>AlterOffice/2025.3.0.0$Linux_X86_64 LibreOffice_project/4ba31b6a4271509a884f95065d0a726e9cb2bdbb</Application>
  <AppVersion>15.0000</AppVersion>
  <Pages>11</Pages>
  <Words>1368</Words>
  <Characters>9596</Characters>
  <CharactersWithSpaces>10715</CharactersWithSpaces>
  <Paragraphs>271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2023-04-20T09:36:00Z</dcterms:created>
  <dc:creator>Быстров Олег Геннадьевич</dc:creator>
  <dc:description/>
  <dc:language>ru-RU</dc:language>
  <cp:lastModifiedBy>nikulshinrv@corp.gidroogk.com</cp:lastModifiedBy>
  <cp:lastPrinted>2024-10-09T13:11:00Z</cp:lastPrinted>
  <dcterms:modified xsi:type="dcterms:W3CDTF">2026-06-18T14:33:29Z</dcterms:modified>
  <cp:revision>94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