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widowControl w:val="false"/>
        <w:ind w:left="360" w:hanging="360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>«ОКПД2 [25.11.23.115] Поставка элементов линейной арматуры</w:t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>для нужд филиала ПАО «РусГидро» - «Жигулевская ГЭС</w:t>
      </w:r>
      <w:r>
        <w:rPr>
          <w:rFonts w:eastAsia="Calibri"/>
          <w:b/>
          <w:i/>
          <w:sz w:val="26"/>
          <w:szCs w:val="26"/>
        </w:rPr>
        <w:t>»»</w:t>
      </w:r>
    </w:p>
    <w:p>
      <w:pPr>
        <w:pStyle w:val="Normal"/>
        <w:widowControl w:val="false"/>
        <w:ind w:left="360" w:hanging="360"/>
        <w:jc w:val="center"/>
        <w:rPr/>
      </w:pPr>
      <w:r>
        <w:rPr>
          <w:rFonts w:eastAsia="Calibri"/>
          <w:b/>
          <w:i/>
          <w:sz w:val="26"/>
          <w:szCs w:val="26"/>
        </w:rPr>
        <w:t>Лот №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>
      <w:pPr>
        <w:pStyle w:val="Normal"/>
        <w:widowControl w:val="false"/>
        <w:rPr/>
      </w:pPr>
      <w:r>
        <w:rPr>
          <w:i/>
        </w:rPr>
        <w:t>«</w:t>
      </w:r>
      <w:r>
        <w:rPr>
          <w:rFonts w:eastAsia="Calibri"/>
          <w:i/>
        </w:rPr>
        <w:t>ОКПД2 [25.11.23.115] Поставка элементов линейн</w:t>
      </w:r>
      <w:r>
        <w:rPr>
          <w:rFonts w:eastAsia="Calibri"/>
          <w:i/>
          <w:sz w:val="24"/>
          <w:szCs w:val="24"/>
        </w:rPr>
        <w:t>ой арматуры для нужд филиала ПАО «РусГидро» - «Жигулевская ГЭС» и</w:t>
      </w:r>
      <w:r>
        <w:rPr>
          <w:i/>
        </w:rPr>
        <w:t xml:space="preserve"> (далее – Продукция)».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8"/>
          <w:u w:val="none"/>
          <w:em w:val="none"/>
          <w:lang w:val="ru-RU" w:eastAsia="ru-RU" w:bidi="ar-SA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Требования к участнику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к участнику закупки: отсутствие в реестре недобросовестных поставщиков(подрядчиков) ФАС России.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ind w:left="709" w:hanging="0"/>
        <w:rPr>
          <w:b/>
        </w:rPr>
      </w:pPr>
      <w:r>
        <w:rPr>
          <w:b/>
        </w:rPr>
        <w:t>2.1.</w:t>
        <w:tab/>
        <w:t>Требования к объемам и срокам поставки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09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  <w:tab/>
        <w:t>Перечень и объем закупаемой продукции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5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23"/>
        <w:gridCol w:w="5978"/>
        <w:gridCol w:w="2012"/>
        <w:gridCol w:w="653"/>
        <w:gridCol w:w="593"/>
      </w:tblGrid>
      <w:tr>
        <w:trPr>
          <w:trHeight w:val="144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Классификатор ОКПД2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>
        <w:trPr>
          <w:trHeight w:val="144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ответвительный прессуемый для провода АС-700/86 ОА-700-1А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color w:val="000000"/>
              </w:rPr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12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ответвительный прессуемый для провода АС-500/64 ОА-400-1А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color w:val="000000"/>
              </w:rPr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12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ответвительный прессуемый для провода АС-240/39 ОА-240-1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ответвительный прессуемый для двух проводов АС-700/86 2А6А-700-4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ответвительный прессуемый для двух проводов АС-500/64 2А6А-500-4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аппаратный прессуемый для провода АС-500/64 А4А-400-2Т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аппаратный прессуемый для провода АС-700/86 А4А-700-2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аппаратный прессуемый для провода АС-240/39 А4А-240-2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аппаратный прессуемый 3А4А-400-2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натяжной прессуемый НАС-700-1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натяжной прессуемый НАС-600-1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натяжной прессуемый НАС-240-2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</w:t>
            </w:r>
          </w:p>
        </w:tc>
      </w:tr>
      <w:tr>
        <w:trPr>
          <w:trHeight w:val="2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поддерживающий глухой 2ПГН-5-7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>
          <w:trHeight w:val="218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Узел крепления гирлянды КГН-7-5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27.33.13.130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Узел крепления гирлянды КГН-30-5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27.33.13.130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Скоба СК-7-1А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27.33.13.130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color w:val="000000"/>
              </w:rPr>
              <w:t>шт.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18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Скоба СК-12-1А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27.33.13.130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color w:val="000000"/>
              </w:rPr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Скоба СК-30-1А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27.33.13.130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color w:val="000000"/>
              </w:rPr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Скоба трехлапчатая СКТ-25-1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Серьга </w:t>
            </w:r>
            <w:r>
              <w:rPr>
                <w:color w:val="000000"/>
                <w:sz w:val="24"/>
              </w:rPr>
              <w:t xml:space="preserve">сцепная </w:t>
            </w:r>
            <w:r>
              <w:rPr>
                <w:sz w:val="24"/>
              </w:rPr>
              <w:t>СР-7-16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Серьга СР-12-16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Серьга </w:t>
            </w:r>
            <w:r>
              <w:rPr>
                <w:color w:val="000000"/>
                <w:sz w:val="24"/>
              </w:rPr>
              <w:t xml:space="preserve">сцепная </w:t>
            </w:r>
            <w:r>
              <w:rPr>
                <w:sz w:val="24"/>
              </w:rPr>
              <w:t>СР-30-24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Серьга соединительная СР-16-20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Ушко </w:t>
            </w:r>
            <w:r>
              <w:rPr>
                <w:color w:val="000000"/>
                <w:sz w:val="24"/>
              </w:rPr>
              <w:t xml:space="preserve">однолапчатое </w:t>
            </w:r>
            <w:r>
              <w:rPr>
                <w:sz w:val="24"/>
              </w:rPr>
              <w:t>У1-30-24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Ушко двухлапчатое У2-30-24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Ушко двухлапчатое У2-12-16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Ушко однолапчатое </w:t>
            </w:r>
            <w:r>
              <w:rPr>
                <w:color w:val="000000"/>
                <w:sz w:val="24"/>
              </w:rPr>
              <w:t xml:space="preserve">укороченное </w:t>
            </w:r>
            <w:r>
              <w:rPr>
                <w:sz w:val="24"/>
              </w:rPr>
              <w:t>У1К-7-16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Ушко двухлапчатое У2-7-16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Ушко однолапчатое У1-16-20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Ушко двухлапчатое У2-16-20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Звено промежуточное трехлапчатое ПРТ-25-1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Звено промежуточное трехлапчатое ПРТ-12-1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Звено промежуточное  ПТР-7-1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 xml:space="preserve">Распорка дистанционная глухая РГ-4-400 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Распорка дистанционная глухая для провода АС-500/64  Р-3-120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Скоба соединительная СКД-30-1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Скоба соединительная СКД-16-1А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Скоба соединительная СКД-7-1А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плашковый ПАМ-5-1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>
        <w:trPr>
          <w:trHeight w:val="46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плашковый ПАМ-6-1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25.11.23.115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</w:tbl>
    <w:p>
      <w:pPr>
        <w:pStyle w:val="Normal"/>
        <w:widowControl w:val="false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ind w:left="709" w:hanging="0"/>
        <w:rPr>
          <w:b/>
        </w:rPr>
      </w:pPr>
      <w:r>
        <w:rPr>
          <w:b/>
        </w:rPr>
        <w:t>2.1.2.</w:t>
        <w:tab/>
        <w:t>Требования к срокам поставки продукции</w:t>
      </w:r>
    </w:p>
    <w:p>
      <w:pPr>
        <w:pStyle w:val="Normal"/>
        <w:widowControl w:val="false"/>
        <w:spacing w:lineRule="auto" w:line="360"/>
        <w:rPr/>
      </w:pPr>
      <w:r>
        <w:rPr/>
        <w:t>Таблица 2.2. Требования по срокам поставки продукции.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9"/>
        <w:gridCol w:w="5145"/>
        <w:gridCol w:w="2270"/>
        <w:gridCol w:w="2410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53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31" w:leader="none"/>
              </w:tabs>
              <w:suppressAutoHyphens w:val="true"/>
              <w:ind w:left="0" w:right="-114" w:hanging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Продукция указанная в п.п. 1-40 в Таблице 2.1.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подписания договора (ориентировочно 01.09.2026)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позднее 7 месяцев с даты подписания договора (плановый срок - 30.03.2027)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одной партией</w:t>
      </w:r>
      <w:r>
        <w:rPr>
          <w:rStyle w:val="Style12"/>
          <w:bCs/>
          <w:shd w:fill="auto" w:val="clear"/>
        </w:rPr>
        <w:t>.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widowControl w:val="false"/>
        <w:spacing w:before="0" w:after="0"/>
        <w:contextualSpacing/>
        <w:rPr>
          <w:rFonts w:eastAsia="Calibri"/>
          <w:lang w:eastAsia="en-US"/>
        </w:rPr>
      </w:pPr>
      <w:bookmarkStart w:id="1" w:name="_Toc75446582"/>
      <w:r>
        <w:rPr>
          <w:rFonts w:eastAsia="Calibri"/>
          <w:b/>
          <w:lang w:eastAsia="en-US"/>
        </w:rPr>
        <w:t xml:space="preserve">2.2. </w:t>
      </w:r>
      <w:r>
        <w:rPr>
          <w:rFonts w:eastAsia="Calibri"/>
          <w:b/>
          <w:color w:val="000000"/>
          <w:lang w:eastAsia="en-US"/>
        </w:rPr>
        <w:t>Требования к кач</w:t>
      </w:r>
      <w:bookmarkEnd w:id="1"/>
      <w:r>
        <w:rPr>
          <w:rFonts w:eastAsia="Calibri"/>
          <w:b/>
          <w:color w:val="000000"/>
          <w:lang w:eastAsia="en-US"/>
        </w:rPr>
        <w:t>еству продукции</w:t>
      </w:r>
    </w:p>
    <w:p>
      <w:pPr>
        <w:pStyle w:val="Normal"/>
        <w:widowControl w:val="false"/>
        <w:spacing w:before="0" w:after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3. Требования к продукции</w:t>
      </w:r>
    </w:p>
    <w:p>
      <w:pPr>
        <w:pStyle w:val="Normal"/>
        <w:widowControl w:val="false"/>
        <w:spacing w:before="0" w:after="0"/>
        <w:contextualSpacing/>
        <w:rPr>
          <w:rFonts w:eastAsia="Calibri"/>
          <w:sz w:val="32"/>
          <w:lang w:eastAsia="en-US"/>
        </w:rPr>
      </w:pPr>
      <w:r>
        <w:rPr>
          <w:bCs/>
          <w:color w:val="000000"/>
          <w:szCs w:val="20"/>
        </w:rPr>
        <w:t xml:space="preserve">Наименование продукции (позиции № 1 - 40 Таблицы 2.1): ОКПД2 [25.11.23.115] Поставка элементов линейной арматуры для нужд </w:t>
      </w:r>
      <w:r>
        <w:rPr>
          <w:rFonts w:eastAsia="Calibri"/>
          <w:bCs/>
          <w:i w:val="false"/>
          <w:iCs w:val="false"/>
          <w:color w:val="000000"/>
          <w:sz w:val="24"/>
          <w:szCs w:val="24"/>
          <w:lang w:eastAsia="en-US"/>
        </w:rPr>
        <w:t xml:space="preserve">филиала ПАО «РусГидро» - «Жигулевская ГЭС» </w:t>
      </w:r>
    </w:p>
    <w:tbl>
      <w:tblPr>
        <w:tblW w:w="15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0"/>
        <w:gridCol w:w="1556"/>
        <w:gridCol w:w="146"/>
        <w:gridCol w:w="3448"/>
        <w:gridCol w:w="3843"/>
        <w:gridCol w:w="1495"/>
        <w:gridCol w:w="7"/>
        <w:gridCol w:w="1979"/>
        <w:gridCol w:w="21"/>
        <w:gridCol w:w="2109"/>
        <w:gridCol w:w="30"/>
      </w:tblGrid>
      <w:tr>
        <w:trPr>
          <w:trHeight w:val="53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53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1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445350, Самарская область, город Жигулевск, Московское шоссе, дом 2, территория Жигулевская ГЭС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14-00 до 16-00</w:t>
            </w:r>
            <w:r>
              <w:rPr>
                <w:b/>
                <w:bCs/>
                <w:color w:val="000000"/>
                <w:sz w:val="20"/>
                <w:szCs w:val="20"/>
              </w:rPr>
              <w:t>. Заезд на территорию Жигулевской ГЭС осуществляется без попутного груза. Разгрузка осуществляется за счет Поставщика.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соответствия техническому регламенту Таможенного союза «О безопасности низковольтного оборудования» (ТР ТС 004/2011)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851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1.%1."/>
      <w:lvlJc w:val="left"/>
      <w:pPr>
        <w:tabs>
          <w:tab w:val="num" w:pos="0"/>
        </w:tabs>
        <w:ind w:left="527" w:hanging="360"/>
      </w:pPr>
      <w:rPr>
        <w:sz w:val="22"/>
        <w:u w:val="none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qFormat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4" w:customStyle="1">
    <w:name w:val="Заголовок 4 Знак"/>
    <w:qFormat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styleId="Style7" w:customStyle="1">
    <w:name w:val="Основной текст_"/>
    <w:link w:val="12"/>
    <w:qFormat/>
    <w:rPr>
      <w:rFonts w:cs="Times New Roman"/>
      <w:sz w:val="28"/>
      <w:szCs w:val="28"/>
      <w:shd w:fill="FFFFFF" w:val="clear"/>
    </w:rPr>
  </w:style>
  <w:style w:type="character" w:styleId="Style8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Jss379" w:customStyle="1">
    <w:name w:val="jss379"/>
    <w:basedOn w:val="DefaultParagraphFont"/>
    <w:qFormat/>
    <w:rPr/>
  </w:style>
  <w:style w:type="character" w:styleId="Jss368" w:customStyle="1">
    <w:name w:val="jss368"/>
    <w:basedOn w:val="DefaultParagraphFont"/>
    <w:qFormat/>
    <w:rPr/>
  </w:style>
  <w:style w:type="character" w:styleId="Jss416" w:customStyle="1">
    <w:name w:val="jss416"/>
    <w:basedOn w:val="DefaultParagraphFont"/>
    <w:qFormat/>
    <w:rPr/>
  </w:style>
  <w:style w:type="character" w:styleId="Jss398" w:customStyle="1">
    <w:name w:val="jss398"/>
    <w:basedOn w:val="DefaultParagraphFont"/>
    <w:qFormat/>
    <w:rPr/>
  </w:style>
  <w:style w:type="character" w:styleId="Jss981" w:customStyle="1">
    <w:name w:val="jss981"/>
    <w:basedOn w:val="DefaultParagraphFont"/>
    <w:qFormat/>
    <w:rPr/>
  </w:style>
  <w:style w:type="character" w:styleId="Jss387" w:customStyle="1">
    <w:name w:val="jss387"/>
    <w:basedOn w:val="DefaultParagraphFont"/>
    <w:qFormat/>
    <w:rPr/>
  </w:style>
  <w:style w:type="character" w:styleId="Ff-dinpro" w:customStyle="1">
    <w:name w:val="ff-dinpro"/>
    <w:basedOn w:val="DefaultParagraphFont"/>
    <w:qFormat/>
    <w:rPr/>
  </w:style>
  <w:style w:type="character" w:styleId="Jss637" w:customStyle="1">
    <w:name w:val="jss637"/>
    <w:basedOn w:val="DefaultParagraphFont"/>
    <w:qFormat/>
    <w:rPr/>
  </w:style>
  <w:style w:type="character" w:styleId="Jss382" w:customStyle="1">
    <w:name w:val="jss382"/>
    <w:basedOn w:val="DefaultParagraphFont"/>
    <w:qFormat/>
    <w:rPr/>
  </w:style>
  <w:style w:type="character" w:styleId="Typography" w:customStyle="1">
    <w:name w:val="typography"/>
    <w:basedOn w:val="DefaultParagraphFont"/>
    <w:qFormat/>
    <w:rPr/>
  </w:style>
  <w:style w:type="character" w:styleId="Style9" w:customStyle="1">
    <w:name w:val="Абзац списка Знак"/>
    <w:link w:val="ListParagraph"/>
    <w:qFormat/>
    <w:rPr>
      <w:rFonts w:ascii="Symbol" w:hAnsi="Symbol" w:eastAsia="Times New Roman" w:cs="Times New Roman"/>
      <w:sz w:val="26"/>
      <w:szCs w:val="26"/>
      <w:lang w:eastAsia="ru-RU"/>
    </w:rPr>
  </w:style>
  <w:style w:type="character" w:styleId="Style10" w:customStyle="1">
    <w:name w:val="Нижний колонтитул Знак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" w:customStyle="1">
    <w:name w:val="Нижний колонтитул Знак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fo-blockchars-list-item-value" w:customStyle="1">
    <w:name w:val="info-block__chars-list-item-value"/>
    <w:basedOn w:val="DefaultParagraphFont"/>
    <w:qFormat/>
    <w:rPr/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link w:val="Annotationtext"/>
    <w:qFormat/>
    <w:rPr>
      <w:rFonts w:ascii="Times New Roman" w:hAnsi="Times New Roman" w:eastAsia="Times New Roman"/>
    </w:rPr>
  </w:style>
  <w:style w:type="character" w:styleId="Style14" w:customStyle="1">
    <w:name w:val="Тема примечания Знак"/>
    <w:link w:val="Annotationsubject"/>
    <w:qFormat/>
    <w:rPr>
      <w:rFonts w:ascii="Times New Roman" w:hAnsi="Times New Roman" w:eastAsia="Times New Roman"/>
      <w:b/>
      <w:bCs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>
      <w:rFonts w:ascii="Times New Roman" w:hAnsi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link w:val="Style9"/>
    <w:qFormat/>
    <w:pPr>
      <w:numPr>
        <w:ilvl w:val="0"/>
        <w:numId w:val="2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qFormat/>
    <w:pPr/>
    <w:rPr>
      <w:rFonts w:ascii="Tahoma" w:hAnsi="Tahoma" w:cs="Tahoma"/>
      <w:sz w:val="16"/>
      <w:szCs w:val="16"/>
    </w:rPr>
  </w:style>
  <w:style w:type="paragraph" w:styleId="12" w:customStyle="1">
    <w:name w:val="Основной текст1"/>
    <w:basedOn w:val="Normal"/>
    <w:link w:val="Style7"/>
    <w:qFormat/>
    <w:pPr>
      <w:widowControl w:val="false"/>
      <w:shd w:val="clear" w:color="auto" w:fill="FFFFFF"/>
      <w:spacing w:lineRule="exact" w:line="302"/>
    </w:pPr>
    <w:rPr>
      <w:rFonts w:ascii="Calibri" w:hAnsi="Calibri" w:eastAsia="Calibri"/>
      <w:sz w:val="28"/>
      <w:szCs w:val="28"/>
      <w:lang w:eastAsia="en-US"/>
    </w:rPr>
  </w:style>
  <w:style w:type="paragraph" w:styleId="Jss384" w:customStyle="1">
    <w:name w:val="jss384"/>
    <w:basedOn w:val="Normal"/>
    <w:qFormat/>
    <w:pPr>
      <w:spacing w:before="280" w:after="280"/>
    </w:pPr>
    <w:rPr/>
  </w:style>
  <w:style w:type="paragraph" w:styleId="Jss373" w:customStyle="1">
    <w:name w:val="jss373"/>
    <w:basedOn w:val="Normal"/>
    <w:qFormat/>
    <w:pPr>
      <w:spacing w:before="280" w:after="280"/>
    </w:pPr>
    <w:rPr/>
  </w:style>
  <w:style w:type="paragraph" w:styleId="Jss403" w:customStyle="1">
    <w:name w:val="jss403"/>
    <w:basedOn w:val="Normal"/>
    <w:qFormat/>
    <w:pPr>
      <w:spacing w:before="280" w:after="280"/>
    </w:pPr>
    <w:rPr/>
  </w:style>
  <w:style w:type="paragraph" w:styleId="Jss986" w:customStyle="1">
    <w:name w:val="jss986"/>
    <w:basedOn w:val="Normal"/>
    <w:qFormat/>
    <w:pPr>
      <w:spacing w:before="280" w:after="280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 w:val="28"/>
      <w:szCs w:val="28"/>
    </w:rPr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3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qFormat/>
    <w:pPr/>
    <w:rPr>
      <w:b/>
      <w:bCs/>
    </w:rPr>
  </w:style>
  <w:style w:type="paragraph" w:styleId="Msonormalmrcssattr" w:customStyle="1">
    <w:name w:val="msonormalmrcssattr"/>
    <w:basedOn w:val="Normal"/>
    <w:qFormat/>
    <w:pPr>
      <w:spacing w:before="280" w:after="280"/>
    </w:pPr>
    <w:rPr>
      <w:rFonts w:eastAsia="Calibri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6728413151" w:customStyle="1">
    <w:name w:val="6728413151"/>
    <w:qFormat/>
  </w:style>
  <w:style w:type="numbering" w:styleId="32536027041" w:customStyle="1">
    <w:name w:val="32536027041"/>
    <w:qFormat/>
  </w:style>
  <w:style w:type="numbering" w:styleId="23312454041" w:customStyle="1">
    <w:name w:val="23312454041"/>
    <w:qFormat/>
  </w:style>
  <w:style w:type="numbering" w:styleId="2007016761" w:customStyle="1">
    <w:name w:val="2007016761"/>
    <w:qFormat/>
  </w:style>
  <w:style w:type="numbering" w:styleId="16681111651">
    <w:name w:val="1668111165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AlterOffice/2025.3.0.0$Linux_X86_64 LibreOffice_project/4ba31b6a4271509a884f95065d0a726e9cb2bdbb</Application>
  <AppVersion>15.0000</AppVersion>
  <Pages>4</Pages>
  <Words>836</Words>
  <Characters>5684</Characters>
  <CharactersWithSpaces>6230</CharactersWithSpaces>
  <Paragraphs>285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2026-06-08T08:54:00Z</dcterms:created>
  <dc:creator>Егорушкин Яков Игоревич</dc:creator>
  <dc:description/>
  <dc:language>ru-RU</dc:language>
  <cp:lastModifiedBy>nikulshinrv@corp.gidroogk.com</cp:lastModifiedBy>
  <cp:lastPrinted>2026-06-08T08:36:00Z</cp:lastPrinted>
  <dcterms:modified xsi:type="dcterms:W3CDTF">2026-06-18T14:46:12Z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