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8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right"/>
        <w:rPr>
          <w:b/>
          <w:bCs/>
          <w:color w:val="000000"/>
          <w:sz w:val="26"/>
          <w:szCs w:val="26"/>
          <w:highlight w:val="none"/>
          <w:shd w:fill="auto" w:val="clear"/>
        </w:rPr>
      </w:pPr>
      <w:r>
        <w:rPr>
          <w:b/>
          <w:bCs/>
          <w:color w:val="000000"/>
          <w:sz w:val="26"/>
          <w:szCs w:val="26"/>
          <w:shd w:fill="auto" w:val="clear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keepNext w:val="true"/>
        <w:keepLines/>
        <w:jc w:val="center"/>
        <w:rPr>
          <w:highlight w:val="none"/>
          <w:shd w:fill="auto" w:val="clear"/>
        </w:rPr>
      </w:pPr>
      <w:r>
        <w:rPr>
          <w:rFonts w:eastAsia="Calibri"/>
          <w:b/>
          <w:color w:val="000000"/>
          <w:sz w:val="26"/>
          <w:szCs w:val="26"/>
          <w:shd w:fill="auto" w:val="clear"/>
        </w:rPr>
        <w:t xml:space="preserve">Технические требования </w:t>
      </w:r>
    </w:p>
    <w:p>
      <w:pPr>
        <w:pStyle w:val="Normal"/>
        <w:keepNext w:val="true"/>
        <w:keepLines/>
        <w:jc w:val="center"/>
        <w:rPr>
          <w:rFonts w:eastAsia="Calibri"/>
          <w:b/>
          <w:color w:val="000000"/>
          <w:sz w:val="26"/>
          <w:szCs w:val="26"/>
          <w:highlight w:val="none"/>
          <w:shd w:fill="auto" w:val="clear"/>
        </w:rPr>
      </w:pPr>
      <w:r>
        <w:rPr>
          <w:rFonts w:eastAsia="Calibri"/>
          <w:b/>
          <w:color w:val="000000"/>
          <w:sz w:val="26"/>
          <w:szCs w:val="26"/>
          <w:shd w:fill="auto" w:val="clear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color w:val="000000"/>
          <w:sz w:val="26"/>
          <w:szCs w:val="26"/>
          <w:highlight w:val="none"/>
          <w:shd w:fill="auto" w:val="clear"/>
        </w:rPr>
      </w:pPr>
      <w:r>
        <w:rPr>
          <w:rFonts w:eastAsia="Calibri"/>
          <w:b/>
          <w:color w:val="000000"/>
          <w:sz w:val="26"/>
          <w:szCs w:val="26"/>
          <w:shd w:fill="auto" w:val="clear"/>
        </w:rPr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120"/>
        <w:jc w:val="center"/>
        <w:rPr>
          <w:highlight w:val="none"/>
          <w:shd w:fill="auto" w:val="clear"/>
        </w:rPr>
      </w:pPr>
      <w:r>
        <w:rPr>
          <w:rFonts w:eastAsia="Calibri"/>
          <w:color w:val="000000"/>
          <w:sz w:val="26"/>
          <w:szCs w:val="26"/>
          <w:shd w:fill="auto" w:val="clear"/>
        </w:rPr>
        <w:t>ОКПД2 27.90.5 Поставка резервного электротехнического оборудования</w:t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120"/>
        <w:jc w:val="center"/>
        <w:rPr>
          <w:highlight w:val="none"/>
          <w:shd w:fill="auto" w:val="clear"/>
        </w:rPr>
      </w:pPr>
      <w:r>
        <w:rPr>
          <w:rFonts w:eastAsia="Calibri"/>
          <w:color w:val="000000"/>
          <w:sz w:val="26"/>
          <w:szCs w:val="26"/>
          <w:shd w:fill="auto" w:val="clear"/>
        </w:rPr>
        <w:t>(конденсаторы электрические 220кВ — аварийный запас)</w:t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120"/>
        <w:jc w:val="center"/>
        <w:rPr>
          <w:highlight w:val="none"/>
          <w:shd w:fill="auto" w:val="clear"/>
        </w:rPr>
      </w:pPr>
      <w:r>
        <w:rPr>
          <w:rFonts w:eastAsia="Calibri"/>
          <w:color w:val="000000"/>
          <w:sz w:val="26"/>
          <w:szCs w:val="26"/>
          <w:shd w:fill="auto" w:val="clear"/>
        </w:rPr>
        <w:t xml:space="preserve">Лот </w:t>
      </w:r>
    </w:p>
    <w:p>
      <w:pPr>
        <w:pStyle w:val="Normal"/>
        <w:keepNext w:val="true"/>
        <w:keepLines/>
        <w:jc w:val="both"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  <w:r>
        <w:br w:type="page"/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color w:val="000000"/>
          <w:shd w:fill="auto" w:val="clear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327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19139547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  <w:tab/>
            </w:r>
          </w:hyperlink>
          <w:r>
            <w:rPr/>
            <w:t>3</w:t>
          </w:r>
        </w:p>
        <w:p>
          <w:pPr>
            <w:pStyle w:val="TOC4"/>
            <w:tabs>
              <w:tab w:val="clear" w:pos="327"/>
              <w:tab w:val="left" w:pos="1120" w:leader="none"/>
              <w:tab w:val="right" w:pos="9911" w:leader="dot"/>
            </w:tabs>
            <w:rPr/>
          </w:pPr>
          <w:hyperlink w:anchor="_Toc19139547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Обозначения и сокращения</w:t>
              <w:tab/>
            </w:r>
          </w:hyperlink>
          <w:r>
            <w:rPr/>
            <w:t>3</w:t>
          </w:r>
        </w:p>
        <w:p>
          <w:pPr>
            <w:pStyle w:val="TOC4"/>
            <w:tabs>
              <w:tab w:val="clear" w:pos="327"/>
              <w:tab w:val="left" w:pos="1120" w:leader="none"/>
              <w:tab w:val="right" w:pos="9911" w:leader="dot"/>
            </w:tabs>
            <w:rPr/>
          </w:pPr>
          <w:hyperlink w:anchor="_Toc19139547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  <w:tab/>
            </w:r>
          </w:hyperlink>
          <w:r>
            <w:rPr/>
            <w:t>4</w:t>
          </w:r>
        </w:p>
        <w:p>
          <w:pPr>
            <w:pStyle w:val="TOC4"/>
            <w:tabs>
              <w:tab w:val="clear" w:pos="327"/>
              <w:tab w:val="left" w:pos="1120" w:leader="none"/>
              <w:tab w:val="right" w:pos="9911" w:leader="dot"/>
            </w:tabs>
            <w:rPr/>
          </w:pPr>
          <w:hyperlink w:anchor="_Toc19139547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 xml:space="preserve">Цель использования закупаемой продукции </w:t>
              <w:tab/>
            </w:r>
          </w:hyperlink>
          <w:r>
            <w:rPr/>
            <w:t>4</w:t>
          </w:r>
        </w:p>
        <w:p>
          <w:pPr>
            <w:pStyle w:val="TOC4"/>
            <w:tabs>
              <w:tab w:val="clear" w:pos="327"/>
              <w:tab w:val="left" w:pos="1120" w:leader="none"/>
              <w:tab w:val="right" w:pos="9911" w:leader="dot"/>
            </w:tabs>
            <w:rPr/>
          </w:pPr>
          <w:hyperlink w:anchor="_Toc191395478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 </w:t>
              <w:tab/>
            </w:r>
          </w:hyperlink>
          <w:r>
            <w:rPr/>
            <w:t>4</w:t>
          </w:r>
        </w:p>
        <w:p>
          <w:pPr>
            <w:pStyle w:val="TOC4"/>
            <w:tabs>
              <w:tab w:val="clear" w:pos="327"/>
              <w:tab w:val="left" w:pos="1120" w:leader="none"/>
              <w:tab w:val="right" w:pos="9911" w:leader="dot"/>
            </w:tabs>
            <w:rPr/>
          </w:pPr>
          <w:hyperlink w:anchor="_Toc191395479">
            <w:r>
              <w:rPr>
                <w:webHidden/>
                <w:rStyle w:val="Style14"/>
                <w:iCs/>
                <w:vanish w:val="false"/>
              </w:rPr>
              <w:t>1.5.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 xml:space="preserve">Иные требования и сведения общего характера </w:t>
              <w:tab/>
            </w:r>
          </w:hyperlink>
          <w:r>
            <w:rPr/>
            <w:t>4</w:t>
          </w:r>
        </w:p>
        <w:p>
          <w:pPr>
            <w:pStyle w:val="TOC3"/>
            <w:tabs>
              <w:tab w:val="clear" w:pos="327"/>
              <w:tab w:val="left" w:pos="1120" w:leader="none"/>
              <w:tab w:val="right" w:pos="9911" w:leader="dot"/>
            </w:tabs>
            <w:rPr/>
          </w:pPr>
          <w:hyperlink w:anchor="_Toc191395480">
            <w:r>
              <w:rPr>
                <w:webHidden/>
                <w:rStyle w:val="Style14"/>
                <w:vanish w:val="false"/>
                <w:color w:val="000000"/>
                <w:shd w:fill="auto" w:val="clear"/>
                <w:lang w:val="en-U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1.5.1.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color w:val="000000"/>
                <w:sz w:val="22"/>
                <w:szCs w:val="22"/>
                <w:shd w:fill="auto" w:val="clear"/>
                <w:lang w:val="en-US"/>
              </w:rPr>
              <w:tab/>
            </w:r>
            <w:r>
              <w:rPr>
                <w:rStyle w:val="Style14"/>
                <w:color w:val="000000"/>
                <w:shd w:fill="auto" w:val="clear"/>
                <w:lang w:val="en-US"/>
              </w:rPr>
              <w:t>Требования к участнику закупки, признанным победителем</w:t>
              <w:tab/>
            </w:r>
          </w:hyperlink>
          <w:r>
            <w:rPr>
              <w:color w:val="000000"/>
              <w:shd w:fill="auto" w:val="clear"/>
              <w:lang w:val="en-US"/>
            </w:rPr>
            <w:t>4</w:t>
          </w:r>
        </w:p>
        <w:p>
          <w:pPr>
            <w:pStyle w:val="TOC1"/>
            <w:tabs>
              <w:tab w:val="clear" w:pos="327"/>
              <w:tab w:val="left" w:pos="560" w:leader="none"/>
              <w:tab w:val="right" w:pos="9911" w:leader="dot"/>
            </w:tabs>
            <w:rPr/>
          </w:pPr>
          <w:hyperlink w:anchor="_Toc191395481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  <w:tab/>
            </w:r>
          </w:hyperlink>
          <w:r>
            <w:rPr/>
            <w:t>5</w:t>
          </w:r>
        </w:p>
        <w:p>
          <w:pPr>
            <w:pStyle w:val="TOC4"/>
            <w:tabs>
              <w:tab w:val="clear" w:pos="327"/>
              <w:tab w:val="left" w:pos="1120" w:leader="none"/>
              <w:tab w:val="right" w:pos="9911" w:leader="dot"/>
            </w:tabs>
            <w:rPr/>
          </w:pPr>
          <w:hyperlink w:anchor="_Toc191395482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поставки</w:t>
              <w:tab/>
            </w:r>
          </w:hyperlink>
          <w:r>
            <w:rPr/>
            <w:t>5</w:t>
          </w:r>
        </w:p>
        <w:p>
          <w:pPr>
            <w:pStyle w:val="TOC3"/>
            <w:tabs>
              <w:tab w:val="clear" w:pos="327"/>
              <w:tab w:val="left" w:pos="1120" w:leader="none"/>
              <w:tab w:val="right" w:pos="9911" w:leader="dot"/>
            </w:tabs>
            <w:rPr/>
          </w:pPr>
          <w:hyperlink w:anchor="_Toc191395483">
            <w:r>
              <w:rPr>
                <w:webHidden/>
                <w:rStyle w:val="Style14"/>
                <w:vanish w:val="false"/>
                <w:color w:val="000000"/>
                <w:shd w:fill="auto" w:val="clear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color w:val="000000"/>
                <w:sz w:val="22"/>
                <w:szCs w:val="22"/>
                <w:shd w:fill="auto" w:val="clear"/>
              </w:rPr>
              <w:tab/>
            </w:r>
            <w:r>
              <w:rPr>
                <w:rStyle w:val="Style14"/>
                <w:color w:val="000000"/>
                <w:shd w:fill="auto" w:val="clear"/>
              </w:rPr>
              <w:t>Перечень и объем закупаемой продукции</w:t>
              <w:tab/>
            </w:r>
          </w:hyperlink>
          <w:r>
            <w:rPr>
              <w:color w:val="000000"/>
              <w:shd w:fill="auto" w:val="clear"/>
            </w:rPr>
            <w:t>5</w:t>
          </w:r>
        </w:p>
        <w:p>
          <w:pPr>
            <w:pStyle w:val="TOC1"/>
            <w:tabs>
              <w:tab w:val="clear" w:pos="327"/>
              <w:tab w:val="right" w:pos="9911" w:leader="dot"/>
            </w:tabs>
            <w:rPr/>
          </w:pPr>
          <w:hyperlink w:anchor="_Toc191395484">
            <w:r>
              <w:rPr>
                <w:webHidden/>
                <w:rStyle w:val="Style14"/>
                <w:vanish w:val="false"/>
              </w:rPr>
              <w:t>Таблица 1.1 Перечень и объем закупаемой продукции</w:t>
              <w:tab/>
            </w:r>
          </w:hyperlink>
          <w:r>
            <w:rPr/>
            <w:t>5</w:t>
          </w:r>
        </w:p>
        <w:p>
          <w:pPr>
            <w:pStyle w:val="TOC3"/>
            <w:tabs>
              <w:tab w:val="clear" w:pos="327"/>
              <w:tab w:val="left" w:pos="1120" w:leader="none"/>
              <w:tab w:val="right" w:pos="9911" w:leader="dot"/>
            </w:tabs>
            <w:rPr/>
          </w:pPr>
          <w:hyperlink w:anchor="_Toc191395483">
            <w:r>
              <w:rPr>
                <w:webHidden/>
                <w:rStyle w:val="Style14"/>
                <w:vanish w:val="false"/>
                <w:color w:val="000000"/>
                <w:shd w:fill="auto" w:val="clear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color w:val="000000"/>
                <w:sz w:val="22"/>
                <w:szCs w:val="22"/>
                <w:shd w:fill="auto" w:val="clear"/>
              </w:rPr>
              <w:tab/>
            </w:r>
            <w:r>
              <w:rPr>
                <w:rStyle w:val="Style14"/>
                <w:rFonts w:eastAsia="" w:cs="" w:cstheme="minorBidi" w:eastAsiaTheme="minorEastAsia"/>
                <w:color w:val="000000"/>
                <w:sz w:val="20"/>
                <w:szCs w:val="20"/>
                <w:shd w:fill="auto" w:val="clear"/>
              </w:rPr>
              <w:t xml:space="preserve">Требования к срокам поставки </w:t>
            </w:r>
            <w:r>
              <w:rPr>
                <w:rStyle w:val="Style14"/>
                <w:color w:val="000000"/>
                <w:sz w:val="20"/>
                <w:szCs w:val="20"/>
                <w:shd w:fill="auto" w:val="clear"/>
              </w:rPr>
              <w:t>п</w:t>
            </w:r>
            <w:r>
              <w:rPr>
                <w:rStyle w:val="Style14"/>
                <w:color w:val="000000"/>
                <w:shd w:fill="auto" w:val="clear"/>
              </w:rPr>
              <w:t>родукции</w:t>
              <w:tab/>
            </w:r>
          </w:hyperlink>
          <w:r>
            <w:rPr>
              <w:color w:val="000000"/>
              <w:shd w:fill="auto" w:val="clear"/>
            </w:rPr>
            <w:t>5</w:t>
          </w:r>
        </w:p>
        <w:p>
          <w:pPr>
            <w:pStyle w:val="TOC1"/>
            <w:tabs>
              <w:tab w:val="clear" w:pos="327"/>
              <w:tab w:val="right" w:pos="9911" w:leader="dot"/>
            </w:tabs>
            <w:rPr/>
          </w:pPr>
          <w:hyperlink w:anchor="_Toc191395487">
            <w:r>
              <w:rPr>
                <w:webHidden/>
                <w:rStyle w:val="Style14"/>
                <w:vanish w:val="false"/>
                <w:color w:val="000000"/>
                <w:shd w:fill="auto" w:val="clear"/>
              </w:rPr>
              <w:t>Таблица 2.1 Требования к срокам поставки продукции</w:t>
              <w:tab/>
            </w:r>
          </w:hyperlink>
          <w:r>
            <w:rPr>
              <w:color w:val="000000"/>
              <w:shd w:fill="auto" w:val="clear"/>
            </w:rPr>
            <w:t>5</w:t>
          </w:r>
        </w:p>
        <w:p>
          <w:pPr>
            <w:pStyle w:val="TOC4"/>
            <w:tabs>
              <w:tab w:val="clear" w:pos="327"/>
              <w:tab w:val="left" w:pos="1120" w:leader="none"/>
              <w:tab w:val="right" w:pos="9911" w:leader="dot"/>
            </w:tabs>
            <w:rPr/>
          </w:pPr>
          <w:hyperlink w:anchor="_Toc130454098">
            <w:r>
              <w:rPr>
                <w:webHidden/>
                <w:rStyle w:val="Style14"/>
                <w:rFonts w:eastAsia="Calibri"/>
                <w:iCs/>
                <w:vanish w:val="false"/>
                <w:color w:val="000000"/>
                <w:shd w:fill="auto" w:val="clear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color w:val="000000"/>
                <w:sz w:val="22"/>
                <w:szCs w:val="22"/>
                <w:shd w:fill="auto" w:val="clear"/>
              </w:rPr>
              <w:tab/>
            </w:r>
            <w:r>
              <w:rPr>
                <w:rStyle w:val="Style14"/>
                <w:rFonts w:eastAsia="Calibri"/>
                <w:color w:val="000000"/>
                <w:shd w:fill="auto" w:val="clear"/>
              </w:rPr>
              <w:t>Требования к качеству продукции</w:t>
            </w:r>
            <w:r>
              <w:rPr>
                <w:rStyle w:val="Style14"/>
                <w:color w:val="000000"/>
                <w:shd w:fill="auto" w:val="clear"/>
              </w:rPr>
              <w:tab/>
            </w:r>
          </w:hyperlink>
          <w:r>
            <w:rPr>
              <w:color w:val="000000"/>
              <w:shd w:fill="auto" w:val="clear"/>
              <w:lang w:val="en-US"/>
            </w:rPr>
            <w:t>5</w:t>
          </w:r>
        </w:p>
        <w:p>
          <w:pPr>
            <w:pStyle w:val="TOC1"/>
            <w:tabs>
              <w:tab w:val="clear" w:pos="327"/>
              <w:tab w:val="right" w:pos="9911" w:leader="dot"/>
            </w:tabs>
            <w:rPr/>
          </w:pPr>
          <w:hyperlink w:anchor="_Toc130454099">
            <w:r>
              <w:rPr>
                <w:webHidden/>
                <w:rStyle w:val="Style14"/>
                <w:rFonts w:eastAsia="Calibri"/>
                <w:vanish w:val="false"/>
                <w:color w:val="000000"/>
                <w:shd w:fill="auto" w:val="clear"/>
              </w:rPr>
              <w:t>Таблица 3. Требования к продукции</w:t>
            </w:r>
            <w:r>
              <w:rPr>
                <w:rStyle w:val="Style14"/>
                <w:color w:val="000000"/>
                <w:shd w:fill="auto" w:val="clear"/>
              </w:rPr>
              <w:tab/>
            </w:r>
          </w:hyperlink>
          <w:r>
            <w:rPr>
              <w:color w:val="000000"/>
              <w:shd w:fill="auto" w:val="clear"/>
              <w:lang w:val="en-US"/>
            </w:rPr>
            <w:t>5</w:t>
          </w:r>
        </w:p>
        <w:p>
          <w:pPr>
            <w:pStyle w:val="TOC3"/>
            <w:tabs>
              <w:tab w:val="clear" w:pos="327"/>
              <w:tab w:val="left" w:pos="1120" w:leader="none"/>
              <w:tab w:val="right" w:pos="9911" w:leader="dot"/>
            </w:tabs>
            <w:rPr/>
          </w:pPr>
          <w:hyperlink w:anchor="_Toc191395491">
            <w:r>
              <w:rPr>
                <w:webHidden/>
                <w:rStyle w:val="Style14"/>
                <w:vanish w:val="false"/>
                <w:color w:val="000000"/>
                <w:shd w:fill="auto" w:val="clear"/>
                <w:lang w:val="en-U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color w:val="000000"/>
                <w:sz w:val="22"/>
                <w:szCs w:val="22"/>
                <w:shd w:fill="auto" w:val="clear"/>
                <w:lang w:val="en-US"/>
              </w:rPr>
              <w:tab/>
            </w:r>
            <w:r>
              <w:rPr>
                <w:rStyle w:val="Style14"/>
                <w:color w:val="000000"/>
                <w:shd w:fill="auto" w:val="clear"/>
                <w:lang w:val="en-US"/>
              </w:rPr>
              <w:t>В составе заявки необходимо предоставить</w:t>
              <w:tab/>
            </w:r>
          </w:hyperlink>
          <w:r>
            <w:rPr>
              <w:color w:val="000000"/>
              <w:shd w:fill="auto" w:val="clear"/>
              <w:lang w:val="en-US"/>
            </w:rPr>
            <w:t>21</w:t>
          </w:r>
        </w:p>
        <w:p>
          <w:pPr>
            <w:pStyle w:val="TOC1"/>
            <w:tabs>
              <w:tab w:val="clear" w:pos="327"/>
              <w:tab w:val="left" w:pos="560" w:leader="none"/>
              <w:tab w:val="right" w:pos="9911" w:leader="dot"/>
            </w:tabs>
            <w:rPr/>
          </w:pPr>
          <w:hyperlink w:anchor="_Toc191395492">
            <w:r>
              <w:rPr>
                <w:webHidden/>
                <w:rStyle w:val="Style14"/>
                <w:b/>
                <w:vanish w:val="false"/>
                <w:color w:val="000000"/>
                <w:shd w:fill="auto" w:val="clear"/>
                <w:lang w:val="en-US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color w:val="000000"/>
                <w:sz w:val="22"/>
                <w:szCs w:val="22"/>
                <w:shd w:fill="auto" w:val="clear"/>
                <w:lang w:val="en-US"/>
              </w:rPr>
              <w:tab/>
            </w:r>
            <w:r>
              <w:rPr>
                <w:rStyle w:val="Style14"/>
                <w:b/>
                <w:color w:val="000000"/>
                <w:shd w:fill="auto" w:val="clear"/>
                <w:lang w:val="en-US"/>
              </w:rPr>
              <w:t>Требования к документации по ценообразованию на этапе закупки</w:t>
              <w:tab/>
            </w:r>
          </w:hyperlink>
          <w:r>
            <w:rPr>
              <w:b/>
              <w:color w:val="000000"/>
              <w:shd w:fill="auto" w:val="clear"/>
              <w:lang w:val="en-US"/>
            </w:rPr>
            <w:t>22</w:t>
          </w:r>
          <w:r>
            <w:rPr>
              <w:b/>
              <w:shd w:fill="auto" w:val="clear"/>
              <w:color w:val="000000"/>
              <w:lang w:val="en-US"/>
            </w:rPr>
            <w:fldChar w:fldCharType="end"/>
          </w:r>
        </w:p>
      </w:sdtContent>
    </w:sdt>
    <w:p>
      <w:pPr>
        <w:pStyle w:val="Heading2"/>
        <w:rPr>
          <w:b w:val="false"/>
          <w:i/>
          <w:i/>
          <w:color w:val="000000"/>
          <w:highlight w:val="none"/>
          <w:shd w:fill="auto" w:val="clear"/>
        </w:rPr>
      </w:pPr>
      <w:r>
        <w:rPr>
          <w:b w:val="false"/>
          <w:i/>
          <w:color w:val="000000"/>
          <w:shd w:fill="auto" w:val="clear"/>
        </w:rPr>
      </w:r>
      <w:bookmarkStart w:id="0" w:name="_GoBack"/>
      <w:bookmarkStart w:id="1" w:name="_GoBack"/>
      <w:bookmarkEnd w:id="1"/>
      <w:r>
        <w:br w:type="page"/>
      </w:r>
    </w:p>
    <w:p>
      <w:pPr>
        <w:pStyle w:val="Heading1"/>
        <w:keepLines/>
        <w:numPr>
          <w:ilvl w:val="0"/>
          <w:numId w:val="1"/>
        </w:numPr>
        <w:ind w:left="357" w:hanging="357"/>
        <w:jc w:val="center"/>
        <w:rPr>
          <w:highlight w:val="none"/>
          <w:shd w:fill="auto" w:val="clear"/>
        </w:rPr>
      </w:pPr>
      <w:bookmarkStart w:id="2" w:name="_Toc130454087"/>
      <w:bookmarkStart w:id="3" w:name="_Toc51339692"/>
      <w:bookmarkEnd w:id="3"/>
      <w:r>
        <w:rPr>
          <w:color w:val="000000"/>
          <w:shd w:fill="auto" w:val="clear"/>
          <w:lang w:val="ru-RU"/>
        </w:rPr>
        <w:t>Общие сведения</w:t>
      </w:r>
      <w:bookmarkEnd w:id="2"/>
    </w:p>
    <w:p>
      <w:pPr>
        <w:pStyle w:val="Heading4"/>
        <w:numPr>
          <w:ilvl w:val="1"/>
          <w:numId w:val="1"/>
        </w:numPr>
        <w:rPr>
          <w:highlight w:val="none"/>
          <w:shd w:fill="auto" w:val="clear"/>
        </w:rPr>
      </w:pPr>
      <w:bookmarkStart w:id="4" w:name="_Toc130454088"/>
      <w:bookmarkStart w:id="5" w:name="_Toc46743505"/>
      <w:bookmarkEnd w:id="5"/>
      <w:r>
        <w:rPr>
          <w:color w:val="000000"/>
          <w:shd w:fill="auto" w:val="clear"/>
        </w:rPr>
        <w:t>Обозначения и сокращения</w:t>
      </w:r>
      <w:bookmarkEnd w:id="4"/>
    </w:p>
    <w:p>
      <w:pPr>
        <w:pStyle w:val="Normal"/>
        <w:rPr>
          <w:bCs/>
          <w:color w:val="000000"/>
          <w:sz w:val="24"/>
          <w:szCs w:val="24"/>
          <w:highlight w:val="none"/>
          <w:shd w:fill="auto" w:val="clear"/>
        </w:rPr>
      </w:pPr>
      <w:r>
        <w:rPr>
          <w:bCs/>
          <w:color w:val="000000"/>
          <w:sz w:val="24"/>
          <w:szCs w:val="24"/>
          <w:shd w:fill="auto" w:val="clear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8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color w:val="000000"/>
                <w:sz w:val="24"/>
                <w:szCs w:val="24"/>
                <w:shd w:fill="auto" w:val="clear"/>
                <w:lang w:val="en-US"/>
              </w:rPr>
              <w:t>ОРУ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color w:val="000000"/>
                <w:sz w:val="24"/>
                <w:szCs w:val="24"/>
                <w:shd w:fill="auto" w:val="clear"/>
                <w:lang w:val="en-US"/>
              </w:rPr>
              <w:t>Открытое распределительное устройство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bCs/>
                <w:i w:val="false"/>
                <w:color w:val="000000"/>
                <w:sz w:val="24"/>
                <w:szCs w:val="24"/>
                <w:shd w:fill="auto" w:val="clear"/>
                <w:lang w:val="en-US"/>
              </w:rPr>
              <w:t>ПТЭ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color w:val="000000"/>
                <w:sz w:val="24"/>
                <w:szCs w:val="24"/>
                <w:shd w:fill="auto" w:val="clear"/>
                <w:lang w:val="en-US"/>
              </w:rPr>
              <w:t>Правила технической эксплуатации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color w:val="000000"/>
                <w:sz w:val="24"/>
                <w:szCs w:val="24"/>
                <w:shd w:fill="auto" w:val="clear"/>
                <w:lang w:val="en-US"/>
              </w:rPr>
              <w:t>АНЗ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color w:val="000000"/>
                <w:sz w:val="24"/>
                <w:szCs w:val="24"/>
                <w:shd w:fill="auto" w:val="clear"/>
                <w:lang w:val="en-US"/>
              </w:rPr>
              <w:t>Аварийно неснижаемый запас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КС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Конденсатор связи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ТУ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Технические условия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У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климатическое исполнение «умеренный»;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ГОСТ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государственный стандарт;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ЗИП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запасные части, инструмент и принадлежности;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51"/>
              <w:widowControl w:val="false"/>
              <w:numPr>
                <w:ilvl w:val="0"/>
              </w:numPr>
              <w:spacing w:before="120" w:after="60"/>
              <w:ind w:left="0" w:hanging="0"/>
              <w:jc w:val="both"/>
              <w:rPr>
                <w:rFonts w:ascii="Times New Roman" w:hAnsi="Times New Roman"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  <w:t>ГОСТ 15581-80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>
                <w:rFonts w:ascii="Times New Roman" w:hAnsi="Times New Roman"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  <w:t>национальный стандарт Российской Федерации. "</w:t>
            </w:r>
            <w:bookmarkStart w:id="6" w:name="js-doc-mark-6"/>
            <w:bookmarkEnd w:id="6"/>
            <w:r>
              <w:rPr>
                <w:rFonts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  <w:t>Конденсаторы связи и отбора мощности для линий электропередач";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>
                <w:rFonts w:ascii="Times New Roman" w:hAnsi="Times New Roman"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  <w:t>ГОСТ 17516.1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>
                <w:rFonts w:ascii="Times New Roman" w:hAnsi="Times New Roman"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  <w:t>межгосударственный стандарт. Изделия электротехнические. Общие требования в части стойкости к механическим внешним воздействующим факторам;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ГОСТ 12.2.007.3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межгосударственный стандарт. Система стандартов безопасности труда. электротехнические устройства на напряжение свыше 1000 В. Требования безопасности;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ГОСТ 15150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межгосударственный стандарт. 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ГОСТ 15543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межгосударственный стандарт. Общие требования в части стойкости к климатическим внешним воздействующим факторам;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ГОСТ Р 2.610-2019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национальный стандарт Российской Федерации. Единая система конструкторской документации. Правила выполнения эксплуатационных документов;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>
                <w:rFonts w:ascii="Times New Roman" w:hAnsi="Times New Roman"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  <w:t>ГОСТ 2.601-2019</w:t>
            </w:r>
          </w:p>
        </w:tc>
        <w:tc>
          <w:tcPr>
            <w:tcW w:w="7997" w:type="dxa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>
                <w:rFonts w:ascii="Times New Roman" w:hAnsi="Times New Roman"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  <w:t>национальный стандарт Российской Федерации. Единая система конструкторской документации. Эксплуатационные документы;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>
                <w:rFonts w:ascii="Times New Roman" w:hAnsi="Times New Roman"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  <w:t>ГОСТ Р 1.3-2018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>
                <w:rFonts w:ascii="Times New Roman" w:hAnsi="Times New Roman"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  <w:t>национальный стандарт Российской Федерации. Технические условия на продукцию. Общие требования к содержанию, оформлению, обозначению и обновлению.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ГОСТ 14192-77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межгосударственный стандарт. Маркировка грузов;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ГОСТ 10198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межгосударственный стандарт. Ящики деревянные для грузов массой св. 200 до 20000 кг. Общие технические условия;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ГОСТ 2991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межгосударственный стандарт. Ящики дощатые неразборные для грузов массой до 500 кг. Общие технические условия;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ГОСТ 23216-78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межгосударственный стандарт. Изделия электротехнические. Хранение, транспортирование, временная противокоррозионная защита, упаковка. Общие требования и методы испытаний;</w:t>
            </w:r>
          </w:p>
        </w:tc>
      </w:tr>
    </w:tbl>
    <w:p>
      <w:pPr>
        <w:pStyle w:val="Normal"/>
        <w:keepNext w:val="true"/>
        <w:keepLines/>
        <w:jc w:val="both"/>
        <w:rPr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Normal"/>
        <w:keepNext w:val="true"/>
        <w:keepLines/>
        <w:jc w:val="both"/>
        <w:rPr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Normal"/>
        <w:keepNext w:val="true"/>
        <w:keepLines/>
        <w:rPr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  <w:r>
        <w:br w:type="page"/>
      </w:r>
    </w:p>
    <w:p>
      <w:pPr>
        <w:pStyle w:val="Heading4"/>
        <w:numPr>
          <w:ilvl w:val="1"/>
          <w:numId w:val="1"/>
        </w:numPr>
        <w:rPr>
          <w:highlight w:val="none"/>
          <w:shd w:fill="auto" w:val="clear"/>
        </w:rPr>
      </w:pPr>
      <w:bookmarkStart w:id="7" w:name="_Toc130454089"/>
      <w:bookmarkStart w:id="8" w:name="_Toc46743506"/>
      <w:bookmarkEnd w:id="8"/>
      <w:r>
        <w:rPr>
          <w:color w:val="000000"/>
          <w:shd w:fill="auto" w:val="clear"/>
        </w:rPr>
        <w:t>Наименование закупаемой продукции</w:t>
      </w:r>
      <w:bookmarkEnd w:id="7"/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120"/>
        <w:ind w:right="-144" w:hanging="0"/>
        <w:rPr>
          <w:highlight w:val="none"/>
          <w:shd w:fill="auto" w:val="clear"/>
        </w:rPr>
      </w:pPr>
      <w:r>
        <w:rPr>
          <w:rFonts w:eastAsia="Calibri"/>
          <w:color w:val="000000"/>
          <w:sz w:val="24"/>
          <w:szCs w:val="24"/>
          <w:shd w:fill="auto" w:val="clear"/>
          <w:lang w:eastAsia="x-none"/>
        </w:rPr>
        <w:t>27.90.5 Поставка резервного электротехнического оборудования (конденсаторы связи 220кВ — аварийный запас)</w:t>
      </w:r>
      <w:r>
        <w:rPr>
          <w:rFonts w:eastAsia="Calibri"/>
          <w:color w:val="000000"/>
          <w:shd w:fill="auto" w:val="clear"/>
          <w:lang w:eastAsia="x-none"/>
        </w:rPr>
        <w:br/>
      </w:r>
    </w:p>
    <w:p>
      <w:pPr>
        <w:pStyle w:val="Heading4"/>
        <w:numPr>
          <w:ilvl w:val="1"/>
          <w:numId w:val="1"/>
        </w:numPr>
        <w:spacing w:before="240" w:after="60"/>
        <w:ind w:left="431" w:hanging="431"/>
        <w:rPr>
          <w:highlight w:val="none"/>
          <w:shd w:fill="auto" w:val="clear"/>
        </w:rPr>
      </w:pPr>
      <w:bookmarkStart w:id="9" w:name="_Toc130454090"/>
      <w:bookmarkStart w:id="10" w:name="_Toc46743507"/>
      <w:r>
        <w:rPr>
          <w:color w:val="000000"/>
          <w:shd w:fill="auto" w:val="clear"/>
        </w:rPr>
        <w:t xml:space="preserve">Цель </w:t>
      </w:r>
      <w:bookmarkEnd w:id="10"/>
      <w:r>
        <w:rPr>
          <w:color w:val="000000"/>
          <w:shd w:fill="auto" w:val="clear"/>
          <w:lang w:val="ru-RU"/>
        </w:rPr>
        <w:t>использования закупаемой продукции</w:t>
      </w:r>
      <w:bookmarkEnd w:id="9"/>
    </w:p>
    <w:p>
      <w:pPr>
        <w:pStyle w:val="Normal"/>
        <w:jc w:val="both"/>
        <w:rPr/>
      </w:pPr>
      <w:r>
        <w:rPr>
          <w:sz w:val="24"/>
          <w:szCs w:val="24"/>
        </w:rPr>
        <w:t xml:space="preserve">Электрооборудование 110кВ, 220кВ предназначено для эксплуатации в составе первичной схемы ОРУ Жигулевской ГЭС.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>Целью формирования и поддержания АЗ является минимизация ущерба от последствий аварий, повреждений технологического оборудования, за счет сокращения времени обеспечения оборудованием, необходимым для аварийно-восстановительных работ или работ, направленных на предотвращение возможных аварийных отказов.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color w:val="000000"/>
          <w:sz w:val="24"/>
          <w:szCs w:val="24"/>
          <w:shd w:fill="auto" w:val="clear"/>
        </w:rPr>
        <w:t xml:space="preserve">Для поддержания рекомендуемого состава аварийного запаса электротехнического оборудования согласно СТО РусГидро 02.01.145-2022 «Электрические станции, тепловые и электрические сети. Планирование и управление аварийным запасом», в соответствие с Правилами технической эксплуатации электрических станций и сетей Российской Федерации, утвержденными приказом Минэнерго России от 04.10.2022 № 1070 требуется поставка конденсаторов связи. </w:t>
      </w:r>
    </w:p>
    <w:p>
      <w:pPr>
        <w:pStyle w:val="Normal"/>
        <w:jc w:val="both"/>
        <w:rPr>
          <w:rFonts w:ascii="Times New Roman" w:hAnsi="Times New Roman" w:eastAsia="Calibri" w:cs="Times New Roman"/>
          <w:b/>
          <w:bCs/>
          <w:color w:val="000000"/>
          <w:kern w:val="0"/>
          <w:sz w:val="24"/>
          <w:szCs w:val="24"/>
          <w:highlight w:val="none"/>
          <w:shd w:fill="auto" w:val="clear"/>
          <w:lang w:eastAsia="x-none" w:bidi="ar-SA"/>
        </w:rPr>
      </w:pPr>
      <w:r>
        <w:rPr>
          <w:rFonts w:eastAsia="Calibri" w:cs="Times New Roman"/>
          <w:b/>
          <w:bCs/>
          <w:color w:val="000000"/>
          <w:kern w:val="0"/>
          <w:sz w:val="24"/>
          <w:szCs w:val="24"/>
          <w:shd w:fill="auto" w:val="clear"/>
          <w:lang w:eastAsia="x-none" w:bidi="ar-SA"/>
        </w:rPr>
      </w:r>
    </w:p>
    <w:p>
      <w:pPr>
        <w:pStyle w:val="Normal"/>
        <w:jc w:val="both"/>
        <w:rPr/>
      </w:pPr>
      <w:r>
        <w:rPr>
          <w:rFonts w:eastAsia="Calibri" w:cs="Times New Roman"/>
          <w:b/>
          <w:bCs/>
          <w:color w:val="000000"/>
          <w:kern w:val="0"/>
          <w:sz w:val="24"/>
          <w:szCs w:val="24"/>
          <w:lang w:eastAsia="x-none" w:bidi="ar-SA"/>
        </w:rPr>
        <w:t xml:space="preserve">1.4.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 </w:t>
      </w:r>
    </w:p>
    <w:p>
      <w:pPr>
        <w:pStyle w:val="Normal"/>
        <w:jc w:val="both"/>
        <w:rPr/>
      </w:pPr>
      <w:r>
        <w:rPr>
          <w:color w:val="000000"/>
          <w:sz w:val="24"/>
          <w:szCs w:val="24"/>
          <w:shd w:fill="auto" w:val="clear"/>
        </w:rPr>
        <w:t xml:space="preserve">Заказчик предоставит поставщику для разгрузки на территории Филиала: </w:t>
      </w:r>
    </w:p>
    <w:p>
      <w:pPr>
        <w:pStyle w:val="Normal"/>
        <w:jc w:val="both"/>
        <w:rPr/>
      </w:pPr>
      <w:r>
        <w:rPr>
          <w:color w:val="000000"/>
          <w:sz w:val="24"/>
          <w:szCs w:val="24"/>
          <w:shd w:fill="auto" w:val="clear"/>
        </w:rPr>
        <w:t xml:space="preserve">    </w:t>
      </w:r>
      <w:r>
        <w:rPr>
          <w:color w:val="000000"/>
          <w:sz w:val="24"/>
          <w:szCs w:val="24"/>
          <w:shd w:fill="auto" w:val="clear"/>
        </w:rPr>
        <w:t>1. Следующие виды ресурсов:</w:t>
      </w:r>
    </w:p>
    <w:p>
      <w:pPr>
        <w:pStyle w:val="Normal"/>
        <w:jc w:val="both"/>
        <w:rPr/>
      </w:pPr>
      <w:r>
        <w:rPr>
          <w:color w:val="000000"/>
          <w:sz w:val="24"/>
          <w:szCs w:val="24"/>
          <w:shd w:fill="auto" w:val="clear"/>
        </w:rPr>
        <w:t xml:space="preserve">        </w:t>
      </w:r>
      <w:r>
        <w:rPr>
          <w:color w:val="000000"/>
          <w:sz w:val="24"/>
          <w:szCs w:val="24"/>
          <w:shd w:fill="auto" w:val="clear"/>
        </w:rPr>
        <w:t>1.1. Вилочный погрузчик;</w:t>
      </w:r>
    </w:p>
    <w:p>
      <w:pPr>
        <w:pStyle w:val="Normal"/>
        <w:jc w:val="both"/>
        <w:rPr/>
      </w:pPr>
      <w:r>
        <w:rPr>
          <w:color w:val="000000"/>
          <w:sz w:val="24"/>
          <w:szCs w:val="24"/>
          <w:shd w:fill="auto" w:val="clear"/>
        </w:rPr>
        <w:t xml:space="preserve">        </w:t>
      </w:r>
      <w:r>
        <w:rPr>
          <w:color w:val="000000"/>
          <w:sz w:val="24"/>
          <w:szCs w:val="24"/>
          <w:shd w:fill="auto" w:val="clear"/>
        </w:rPr>
        <w:t>1.2. Автомобильный кран.</w:t>
      </w:r>
    </w:p>
    <w:p>
      <w:pPr>
        <w:pStyle w:val="Heading4"/>
        <w:numPr>
          <w:ilvl w:val="0"/>
        </w:numPr>
        <w:tabs>
          <w:tab w:val="clear" w:pos="0"/>
        </w:tabs>
        <w:ind w:left="432" w:hanging="0"/>
        <w:rPr>
          <w:b w:val="false"/>
          <w:iCs/>
        </w:rPr>
      </w:pPr>
      <w:r>
        <w:rPr>
          <w:b w:val="false"/>
          <w:iCs/>
        </w:rPr>
      </w:r>
      <w:bookmarkStart w:id="11" w:name="_Toc191395478_Копия_1"/>
      <w:bookmarkStart w:id="12" w:name="_Toc191395478_Копия_1"/>
      <w:bookmarkEnd w:id="12"/>
    </w:p>
    <w:p>
      <w:pPr>
        <w:pStyle w:val="Heading4"/>
        <w:numPr>
          <w:ilvl w:val="0"/>
          <w:numId w:val="0"/>
        </w:numPr>
        <w:ind w:left="0" w:hanging="0"/>
        <w:rPr/>
      </w:pPr>
      <w:bookmarkStart w:id="13" w:name="_Toc50125126"/>
      <w:bookmarkStart w:id="14" w:name="_Toc46743510"/>
      <w:bookmarkStart w:id="15" w:name="_Hlk48209761_Копия_1"/>
      <w:bookmarkEnd w:id="13"/>
      <w:bookmarkEnd w:id="14"/>
      <w:bookmarkEnd w:id="15"/>
      <w:r>
        <w:rPr/>
        <w:t xml:space="preserve">1.5. </w:t>
      </w:r>
      <w:bookmarkStart w:id="16" w:name="_Toc191395479"/>
      <w:r>
        <w:rPr/>
        <w:t xml:space="preserve">Иные требования и сведения общего характера </w:t>
      </w:r>
      <w:bookmarkEnd w:id="16"/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24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highlight w:val="none"/>
          <w:shd w:fill="auto" w:val="clear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sz w:val="24"/>
          <w:szCs w:val="24"/>
          <w:shd w:fill="auto" w:val="clear"/>
          <w:lang w:val="ru-RU" w:eastAsia="ru-RU" w:bidi="ar-SA"/>
        </w:rPr>
        <w:t>Требования к участнику закупки:  отсутствие сведений об участнике закупки в реестре недобросовестных поставщиков, предусмотренных статьей 5 Федерального закона от 18 июля 2011г. № 223-ФЗ «О закупках товаров, работ, услуг отдельными видами юридических лиц».</w:t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24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highlight w:val="none"/>
          <w:shd w:fill="auto" w:val="clear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           </w:t>
      </w: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shd w:fill="auto" w:val="clear"/>
          <w:lang w:val="ru-RU" w:eastAsia="ru-RU" w:bidi="ar-SA"/>
        </w:rPr>
        <w:t>1.5.1. Требования к участнику закупки, признанным победителем</w:t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24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highlight w:val="none"/>
          <w:shd w:fill="auto" w:val="clear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sz w:val="24"/>
          <w:szCs w:val="24"/>
          <w:shd w:fill="auto" w:val="clear"/>
          <w:lang w:val="ru-RU" w:eastAsia="ru-RU" w:bidi="ar-SA"/>
        </w:rPr>
        <w:t>Участник, признанный победителем закупочной процедуры, в течение 3 рабочих дней с даты официального размещения Организатором итогового протокола по результатам закупки (до заключения договора) должен предоставить Письмо – подтверждение завода-изготовителя о согласии на изготовление с указанием конкретных сроков изготовления и предлагаемых гарантийных сроков (в произвольной форме).</w:t>
      </w:r>
    </w:p>
    <w:p>
      <w:pPr>
        <w:pStyle w:val="Heading4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240"/>
        <w:jc w:val="both"/>
        <w:rPr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Heading1"/>
        <w:keepLines/>
        <w:numPr>
          <w:ilvl w:val="0"/>
          <w:numId w:val="1"/>
        </w:numPr>
        <w:ind w:left="357" w:hanging="357"/>
        <w:jc w:val="center"/>
        <w:rPr>
          <w:highlight w:val="none"/>
          <w:shd w:fill="auto" w:val="clear"/>
        </w:rPr>
      </w:pPr>
      <w:bookmarkStart w:id="17" w:name="_Toc130454092"/>
      <w:bookmarkStart w:id="18" w:name="_Toc51339693"/>
      <w:bookmarkEnd w:id="18"/>
      <w:r>
        <w:rPr>
          <w:iCs/>
          <w:color w:val="000000"/>
          <w:shd w:fill="auto" w:val="clear"/>
        </w:rPr>
        <w:t>Требования к продукции</w:t>
      </w:r>
      <w:bookmarkEnd w:id="17"/>
    </w:p>
    <w:p>
      <w:pPr>
        <w:pStyle w:val="Heading4"/>
        <w:numPr>
          <w:ilvl w:val="1"/>
          <w:numId w:val="1"/>
        </w:numPr>
        <w:rPr>
          <w:highlight w:val="none"/>
          <w:shd w:fill="auto" w:val="clear"/>
        </w:rPr>
      </w:pPr>
      <w:bookmarkStart w:id="19" w:name="_Toc130454093"/>
      <w:r>
        <w:rPr>
          <w:color w:val="000000"/>
          <w:shd w:fill="auto" w:val="clear"/>
        </w:rPr>
        <w:t xml:space="preserve">Требования к объемам и срокам </w:t>
      </w:r>
      <w:r>
        <w:rPr>
          <w:color w:val="000000"/>
          <w:shd w:fill="auto" w:val="clear"/>
          <w:lang w:val="ru-RU"/>
        </w:rPr>
        <w:t>поставки</w:t>
      </w:r>
      <w:bookmarkEnd w:id="19"/>
    </w:p>
    <w:p>
      <w:pPr>
        <w:pStyle w:val="Heading3"/>
        <w:numPr>
          <w:ilvl w:val="2"/>
          <w:numId w:val="1"/>
        </w:numPr>
        <w:rPr>
          <w:highlight w:val="none"/>
          <w:shd w:fill="auto" w:val="clear"/>
        </w:rPr>
      </w:pPr>
      <w:bookmarkStart w:id="20" w:name="_Toc130454094"/>
      <w:r>
        <w:rPr>
          <w:color w:val="000000"/>
          <w:shd w:fill="auto" w:val="clear"/>
          <w:lang w:val="ru-RU"/>
        </w:rPr>
        <w:t>Перечень и объем закупаемой продукции</w:t>
      </w:r>
      <w:bookmarkEnd w:id="2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highlight w:val="none"/>
          <w:shd w:fill="auto" w:val="clear"/>
        </w:rPr>
      </w:pPr>
      <w:bookmarkStart w:id="21" w:name="_Toc130454095"/>
      <w:bookmarkStart w:id="22" w:name="_Toc51339695"/>
      <w:r>
        <w:rPr>
          <w:color w:val="000000"/>
          <w:sz w:val="24"/>
          <w:szCs w:val="24"/>
          <w:shd w:fill="auto" w:val="clear"/>
        </w:rPr>
        <w:t xml:space="preserve">Таблица </w:t>
      </w:r>
      <w:r>
        <w:rPr>
          <w:color w:val="000000"/>
          <w:sz w:val="24"/>
          <w:szCs w:val="24"/>
          <w:shd w:fill="auto" w:val="clear"/>
          <w:lang w:val="ru-RU"/>
        </w:rPr>
        <w:t>1.1</w:t>
      </w:r>
      <w:r>
        <w:rPr>
          <w:color w:val="000000"/>
          <w:sz w:val="24"/>
          <w:szCs w:val="24"/>
          <w:shd w:fill="auto" w:val="clear"/>
        </w:rPr>
        <w:t xml:space="preserve"> </w:t>
      </w:r>
      <w:r>
        <w:rPr>
          <w:color w:val="000000"/>
          <w:sz w:val="24"/>
          <w:szCs w:val="24"/>
          <w:shd w:fill="auto" w:val="clear"/>
          <w:lang w:val="ru-RU"/>
        </w:rPr>
        <w:t xml:space="preserve">Перечень </w:t>
      </w:r>
      <w:bookmarkEnd w:id="22"/>
      <w:r>
        <w:rPr>
          <w:color w:val="000000"/>
          <w:sz w:val="24"/>
          <w:szCs w:val="24"/>
          <w:shd w:fill="auto" w:val="clear"/>
          <w:lang w:val="ru-RU"/>
        </w:rPr>
        <w:t>и объем закупаемой продукции</w:t>
      </w:r>
      <w:bookmarkEnd w:id="21"/>
    </w:p>
    <w:p>
      <w:pPr>
        <w:pStyle w:val="Heading1"/>
        <w:tabs>
          <w:tab w:val="clear" w:pos="0"/>
        </w:tabs>
        <w:spacing w:before="240" w:after="60"/>
        <w:ind w:left="0" w:hanging="0"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tbl>
      <w:tblPr>
        <w:tblW w:w="9765" w:type="dxa"/>
        <w:jc w:val="left"/>
        <w:tblInd w:w="300" w:type="dxa"/>
        <w:tblLayout w:type="fixed"/>
        <w:tblCellMar>
          <w:top w:w="0" w:type="dxa"/>
          <w:left w:w="83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89"/>
        <w:gridCol w:w="6150"/>
        <w:gridCol w:w="1413"/>
        <w:gridCol w:w="1412"/>
      </w:tblGrid>
      <w:tr>
        <w:trPr/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п/п</w:t>
            </w:r>
          </w:p>
        </w:tc>
        <w:tc>
          <w:tcPr>
            <w:tcW w:w="6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Наименование продукции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Единица измерения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Количество</w:t>
            </w:r>
          </w:p>
        </w:tc>
      </w:tr>
      <w:tr>
        <w:trPr/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6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4</w:t>
            </w:r>
          </w:p>
        </w:tc>
      </w:tr>
      <w:tr>
        <w:trPr/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6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auto" w:val="clear"/>
              </w:rPr>
              <w:t>Конденсатор связи 220кВ (однофазный)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шт.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val="en-US"/>
              </w:rPr>
              <w:t>2</w:t>
            </w:r>
          </w:p>
        </w:tc>
      </w:tr>
    </w:tbl>
    <w:p>
      <w:pPr>
        <w:pStyle w:val="Normal"/>
        <w:ind w:left="57" w:hanging="0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ind w:left="57" w:hanging="0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Heading3"/>
        <w:numPr>
          <w:ilvl w:val="0"/>
          <w:numId w:val="0"/>
        </w:numPr>
        <w:ind w:left="720" w:hanging="0"/>
        <w:rPr/>
      </w:pPr>
      <w:r>
        <w:rPr/>
        <w:t xml:space="preserve">2.1.2. </w:t>
      </w:r>
      <w:bookmarkStart w:id="23" w:name="_Toc191395486"/>
      <w:bookmarkStart w:id="24" w:name="_Toc51339696_Копия_1"/>
      <w:r>
        <w:rPr/>
        <w:t xml:space="preserve">Требования </w:t>
      </w:r>
      <w:bookmarkEnd w:id="24"/>
      <w:r>
        <w:rPr/>
        <w:t xml:space="preserve">к срокам поставки продукции </w:t>
      </w:r>
      <w:bookmarkEnd w:id="23"/>
    </w:p>
    <w:p>
      <w:pPr>
        <w:pStyle w:val="Style38"/>
        <w:numPr>
          <w:ilvl w:val="0"/>
          <w:numId w:val="0"/>
        </w:numPr>
        <w:ind w:left="0" w:hanging="0"/>
        <w:outlineLvl w:val="0"/>
        <w:rPr/>
      </w:pPr>
      <w:bookmarkStart w:id="25" w:name="_Toc191395487"/>
      <w:bookmarkStart w:id="26" w:name="_Toc51339697_Копия_1"/>
      <w:bookmarkStart w:id="27" w:name="_Toc50125127_Копия_1"/>
      <w:bookmarkStart w:id="28" w:name="_Toc50125126_Копия_1"/>
      <w:bookmarkEnd w:id="28"/>
      <w:r>
        <w:rPr/>
        <w:t xml:space="preserve">Таблица 2.1 </w:t>
      </w:r>
      <w:bookmarkStart w:id="29" w:name="_Hlk50465284_Копия_1"/>
      <w:r>
        <w:rPr/>
        <w:t xml:space="preserve">Требования к срокам </w:t>
      </w:r>
      <w:bookmarkEnd w:id="26"/>
      <w:bookmarkEnd w:id="27"/>
      <w:bookmarkEnd w:id="29"/>
      <w:r>
        <w:rPr/>
        <w:t>поставки продукции</w:t>
      </w:r>
      <w:bookmarkEnd w:id="25"/>
      <w:r>
        <w:rPr/>
        <w:t xml:space="preserve"> </w:t>
      </w:r>
    </w:p>
    <w:p>
      <w:pPr>
        <w:pStyle w:val="Normal"/>
        <w:ind w:left="57" w:hanging="0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0"/>
        <w:gridCol w:w="2549"/>
        <w:gridCol w:w="2980"/>
        <w:gridCol w:w="3116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jc w:val="left"/>
              <w:rPr/>
            </w:pPr>
            <w:r>
              <w:rPr/>
              <w:t>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auto" w:val="clear"/>
              </w:rPr>
              <w:t>Конденсатор связи 220кВ (однофазный)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 (ориентировочно 01.09.2026)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позднее 7 месяцев с даты подписания договора (плановый срок - 30.03.2027)</w:t>
            </w:r>
          </w:p>
        </w:tc>
      </w:tr>
    </w:tbl>
    <w:p>
      <w:pPr>
        <w:pStyle w:val="Normal"/>
        <w:ind w:left="57" w:hanging="0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ind w:left="0" w:hanging="0"/>
        <w:jc w:val="both"/>
        <w:outlineLvl w:val="0"/>
        <w:rPr>
          <w:rFonts w:eastAsia="Calibri"/>
          <w:b/>
        </w:rPr>
      </w:pPr>
      <w:r>
        <w:rPr>
          <w:b/>
          <w:i/>
        </w:rPr>
        <w:t>Поставка осуществляется одной партией</w:t>
      </w:r>
      <w:r>
        <w:rPr>
          <w:rStyle w:val="Style8"/>
          <w:bCs/>
          <w:shd w:fill="auto" w:val="clear"/>
        </w:rPr>
        <w:t>.</w:t>
      </w:r>
    </w:p>
    <w:p>
      <w:pPr>
        <w:pStyle w:val="Normal"/>
        <w:ind w:left="57" w:hanging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ind w:left="567" w:hanging="0"/>
        <w:jc w:val="both"/>
        <w:rPr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numPr>
          <w:ilvl w:val="0"/>
          <w:numId w:val="0"/>
        </w:numPr>
        <w:ind w:left="57" w:hanging="0"/>
        <w:jc w:val="both"/>
        <w:rPr>
          <w:color w:val="000000"/>
          <w:highlight w:val="none"/>
          <w:shd w:fill="auto" w:val="clear"/>
          <w:lang w:val="en-US"/>
        </w:rPr>
      </w:pPr>
      <w:r>
        <w:rPr>
          <w:color w:val="000000"/>
          <w:shd w:fill="auto" w:val="clear"/>
          <w:lang w:val="en-US"/>
        </w:rPr>
        <w:t xml:space="preserve">  </w:t>
      </w:r>
      <w:r>
        <w:rPr>
          <w:rFonts w:eastAsia="Calibri" w:cs="Times New Roman"/>
          <w:b/>
          <w:color w:val="00000A"/>
          <w:kern w:val="0"/>
          <w:sz w:val="24"/>
          <w:szCs w:val="24"/>
          <w:lang w:val="x-none" w:eastAsia="x-none" w:bidi="ar-SA"/>
        </w:rPr>
        <w:t xml:space="preserve">    </w:t>
      </w:r>
    </w:p>
    <w:p>
      <w:pPr>
        <w:pStyle w:val="Heading4"/>
        <w:numPr>
          <w:ilvl w:val="1"/>
          <w:numId w:val="1"/>
        </w:numPr>
        <w:rPr>
          <w:highlight w:val="none"/>
          <w:shd w:fill="auto" w:val="clear"/>
        </w:rPr>
      </w:pPr>
      <w:bookmarkStart w:id="30" w:name="_Toc51339698"/>
      <w:bookmarkStart w:id="31" w:name="_Toc130454098"/>
      <w:bookmarkStart w:id="32" w:name="_Toc46743511"/>
      <w:r>
        <w:rPr>
          <w:color w:val="000000"/>
          <w:shd w:fill="auto" w:val="clear"/>
        </w:rPr>
        <w:t xml:space="preserve">Требования к </w:t>
      </w:r>
      <w:bookmarkEnd w:id="32"/>
      <w:r>
        <w:rPr>
          <w:color w:val="000000"/>
          <w:shd w:fill="auto" w:val="clear"/>
          <w:lang w:val="ru-RU"/>
        </w:rPr>
        <w:t>качеству продукции</w:t>
      </w:r>
      <w:bookmarkEnd w:id="31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 xml:space="preserve"> </w:t>
      </w:r>
      <w:bookmarkStart w:id="33" w:name="_Toc130454099"/>
      <w:r>
        <w:rPr>
          <w:color w:val="000000"/>
          <w:sz w:val="24"/>
          <w:szCs w:val="24"/>
          <w:shd w:fill="auto" w:val="clear"/>
        </w:rPr>
        <w:t>Таблица </w:t>
      </w:r>
      <w:r>
        <w:rPr>
          <w:color w:val="000000"/>
          <w:sz w:val="24"/>
          <w:szCs w:val="24"/>
          <w:shd w:fill="auto" w:val="clear"/>
          <w:lang w:val="ru-RU"/>
        </w:rPr>
        <w:t>3</w:t>
      </w:r>
      <w:r>
        <w:rPr>
          <w:color w:val="000000"/>
          <w:sz w:val="24"/>
          <w:szCs w:val="24"/>
          <w:shd w:fill="auto" w:val="clear"/>
        </w:rPr>
        <w:t xml:space="preserve">. Требования к </w:t>
      </w:r>
      <w:r>
        <w:rPr>
          <w:color w:val="000000"/>
          <w:sz w:val="24"/>
          <w:szCs w:val="24"/>
          <w:shd w:fill="auto" w:val="clear"/>
          <w:lang w:val="ru-RU"/>
        </w:rPr>
        <w:t>продукции</w:t>
      </w:r>
      <w:bookmarkEnd w:id="30"/>
      <w:bookmarkEnd w:id="33"/>
      <w:r>
        <w:rPr>
          <w:color w:val="000000"/>
          <w:sz w:val="24"/>
          <w:szCs w:val="24"/>
          <w:shd w:fill="auto" w:val="clear"/>
        </w:rPr>
        <w:t xml:space="preserve"> </w:t>
      </w:r>
    </w:p>
    <w:p>
      <w:pPr>
        <w:pStyle w:val="Normal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b/>
          <w:bCs/>
          <w:iCs/>
          <w:color w:val="000000"/>
          <w:sz w:val="24"/>
          <w:szCs w:val="24"/>
          <w:shd w:fill="auto" w:val="clear"/>
          <w:lang w:eastAsia="x-none"/>
        </w:rPr>
        <w:t>Наименование продукции: 27.90.5 Поставка резервного электротехнического оборудования (конденсаторы связи 220кВ — аварийный запас)</w:t>
      </w:r>
    </w:p>
    <w:tbl>
      <w:tblPr>
        <w:tblStyle w:val="affff8"/>
        <w:tblW w:w="15314" w:type="dxa"/>
        <w:jc w:val="left"/>
        <w:tblInd w:w="146" w:type="dxa"/>
        <w:tblLayout w:type="fixed"/>
        <w:tblCellMar>
          <w:top w:w="0" w:type="dxa"/>
          <w:left w:w="8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2"/>
        <w:gridCol w:w="1635"/>
        <w:gridCol w:w="26"/>
        <w:gridCol w:w="11"/>
        <w:gridCol w:w="263"/>
        <w:gridCol w:w="115"/>
        <w:gridCol w:w="3428"/>
        <w:gridCol w:w="3781"/>
        <w:gridCol w:w="2624"/>
        <w:gridCol w:w="2738"/>
      </w:tblGrid>
      <w:tr>
        <w:trPr/>
        <w:tc>
          <w:tcPr>
            <w:tcW w:w="692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1672" w:type="dxa"/>
            <w:gridSpan w:val="3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806" w:type="dxa"/>
            <w:gridSpan w:val="3"/>
            <w:vMerge w:val="restart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Требование заказчика</w:t>
            </w:r>
          </w:p>
        </w:tc>
        <w:tc>
          <w:tcPr>
            <w:tcW w:w="640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738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69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806" w:type="dxa"/>
            <w:gridSpan w:val="3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78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62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3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1672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3806" w:type="dxa"/>
            <w:gridSpan w:val="3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378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4</w:t>
            </w:r>
          </w:p>
        </w:tc>
        <w:tc>
          <w:tcPr>
            <w:tcW w:w="262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273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5478" w:type="dxa"/>
            <w:gridSpan w:val="6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37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/>
            <w:shd w:color="auto" w:fill="auto" w:val="clear"/>
          </w:tcPr>
          <w:p>
            <w:pPr>
              <w:pStyle w:val="Heading1"/>
              <w:widowControl w:val="false"/>
              <w:numPr>
                <w:ilvl w:val="0"/>
                <w:numId w:val="0"/>
              </w:numPr>
              <w:spacing w:before="120" w:after="60"/>
              <w:ind w:left="0" w:right="142" w:hanging="0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shd w:fill="auto" w:val="clear"/>
              </w:rPr>
              <w:t>Наименование, тип, марка, завод-изготовитель предлагаемого оборудования</w:t>
            </w:r>
          </w:p>
        </w:tc>
        <w:tc>
          <w:tcPr>
            <w:tcW w:w="3806" w:type="dxa"/>
            <w:gridSpan w:val="3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Times New Roman" w:cs="Times New Roman"/>
                <w:color w:val="00000A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СМВ, СМП-110/v3-6,4 У1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Times New Roman" w:cs="Times New Roman"/>
                <w:color w:val="00000A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kern w:val="0"/>
                <w:sz w:val="24"/>
                <w:szCs w:val="24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kern w:val="0"/>
                <w:sz w:val="24"/>
                <w:szCs w:val="24"/>
                <w:shd w:fill="auto" w:val="clear"/>
                <w:lang w:val="ru-RU" w:eastAsia="ru-RU" w:bidi="ar-SA"/>
              </w:rPr>
            </w:r>
          </w:p>
        </w:tc>
        <w:tc>
          <w:tcPr>
            <w:tcW w:w="37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Heading1"/>
              <w:widowControl w:val="false"/>
              <w:numPr>
                <w:ilvl w:val="0"/>
                <w:numId w:val="0"/>
              </w:numPr>
              <w:spacing w:before="120" w:after="60"/>
              <w:ind w:left="0" w:right="142" w:hanging="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  <w:shd w:fill="auto" w:val="clear"/>
              </w:rPr>
              <w:t>Напряжение действующее значение, кВ</w:t>
            </w:r>
          </w:p>
        </w:tc>
        <w:tc>
          <w:tcPr>
            <w:tcW w:w="3806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Times New Roman" w:cs="Times New Roman"/>
                <w:color w:val="00000A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110/v3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Heading1"/>
              <w:widowControl w:val="false"/>
              <w:numPr>
                <w:ilvl w:val="0"/>
                <w:numId w:val="0"/>
              </w:numPr>
              <w:spacing w:before="120" w:after="60"/>
              <w:ind w:left="0" w:right="142" w:hanging="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  <w:shd w:fill="auto" w:val="clear"/>
              </w:rPr>
              <w:t>Емкость, нФ</w:t>
            </w:r>
          </w:p>
        </w:tc>
        <w:tc>
          <w:tcPr>
            <w:tcW w:w="3806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6,4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Номинальная частота, Гц</w:t>
            </w:r>
          </w:p>
        </w:tc>
        <w:tc>
          <w:tcPr>
            <w:tcW w:w="3806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50, 60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Тангенс угла потерь, не более</w:t>
            </w:r>
          </w:p>
        </w:tc>
        <w:tc>
          <w:tcPr>
            <w:tcW w:w="3806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  <w:lang w:val="en-US"/>
              </w:rPr>
              <w:t>3*10</w:t>
            </w:r>
            <w:r>
              <w:rPr>
                <w:sz w:val="24"/>
                <w:szCs w:val="24"/>
                <w:shd w:fill="auto" w:val="clear"/>
                <w:vertAlign w:val="superscript"/>
                <w:lang w:val="en-US"/>
              </w:rPr>
              <w:t>-3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Предельное отключение значения емкости от номинального, %</w:t>
            </w:r>
          </w:p>
        </w:tc>
        <w:tc>
          <w:tcPr>
            <w:tcW w:w="3806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  <w:lang w:val="en-US"/>
              </w:rPr>
              <w:t>+10/-5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Наибольшее рабочее напряжение частоты 50Гц/действующее значение/кВ</w:t>
            </w:r>
          </w:p>
        </w:tc>
        <w:tc>
          <w:tcPr>
            <w:tcW w:w="3806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78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Одноминутное напряжение частоты 50Гц/действующее значение, кВ</w:t>
            </w:r>
          </w:p>
        </w:tc>
        <w:tc>
          <w:tcPr>
            <w:tcW w:w="3806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Header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215</w:t>
            </w:r>
          </w:p>
          <w:p>
            <w:pPr>
              <w:pStyle w:val="Header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Header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Header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Header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Header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Header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Header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Габаритные размеры (высота/диаметр), мм</w:t>
            </w:r>
          </w:p>
        </w:tc>
        <w:tc>
          <w:tcPr>
            <w:tcW w:w="3806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en-US" w:eastAsia="ru-RU" w:bidi="ar-SA"/>
              </w:rPr>
              <w:t>*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Масса, кг</w:t>
            </w:r>
          </w:p>
        </w:tc>
        <w:tc>
          <w:tcPr>
            <w:tcW w:w="3806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en-US" w:eastAsia="ru-RU" w:bidi="ar-SA"/>
              </w:rPr>
              <w:t>*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Длина пути утечки внешней изоляции см/кВ, не менее</w:t>
            </w:r>
          </w:p>
        </w:tc>
        <w:tc>
          <w:tcPr>
            <w:tcW w:w="3806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2,5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5478" w:type="dxa"/>
            <w:gridSpan w:val="6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безопасности</w:t>
            </w:r>
          </w:p>
        </w:tc>
        <w:tc>
          <w:tcPr>
            <w:tcW w:w="37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6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Требования по безопасности: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соответствие ГОСТ 12.2.007.3.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наличие Российского Сертификата безопасности</w:t>
            </w:r>
          </w:p>
        </w:tc>
        <w:tc>
          <w:tcPr>
            <w:tcW w:w="3817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да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4621" w:type="dxa"/>
            <w:gridSpan w:val="9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3.1.</w:t>
            </w:r>
          </w:p>
        </w:tc>
        <w:tc>
          <w:tcPr>
            <w:tcW w:w="1935" w:type="dxa"/>
            <w:gridSpan w:val="4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Климатическое исполнение</w:t>
            </w:r>
          </w:p>
        </w:tc>
        <w:tc>
          <w:tcPr>
            <w:tcW w:w="3543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У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3.2.</w:t>
            </w:r>
          </w:p>
        </w:tc>
        <w:tc>
          <w:tcPr>
            <w:tcW w:w="1935" w:type="dxa"/>
            <w:gridSpan w:val="4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Категория размещения</w:t>
            </w:r>
          </w:p>
        </w:tc>
        <w:tc>
          <w:tcPr>
            <w:tcW w:w="3543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3.3.</w:t>
            </w:r>
          </w:p>
        </w:tc>
        <w:tc>
          <w:tcPr>
            <w:tcW w:w="1935" w:type="dxa"/>
            <w:gridSpan w:val="4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Верхнее рабочее значение температуры окружающего воздуха, °С, для климатических исполнений и категорий размещения</w:t>
            </w:r>
          </w:p>
        </w:tc>
        <w:tc>
          <w:tcPr>
            <w:tcW w:w="3543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плюс 40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3.4.</w:t>
            </w:r>
          </w:p>
        </w:tc>
        <w:tc>
          <w:tcPr>
            <w:tcW w:w="1935" w:type="dxa"/>
            <w:gridSpan w:val="4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Нижнее рабочее значение температуры окружающего воздуха, °С, для климатических исполнений и категорий размещения</w:t>
            </w:r>
          </w:p>
        </w:tc>
        <w:tc>
          <w:tcPr>
            <w:tcW w:w="3543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минус 45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3.5.</w:t>
            </w:r>
          </w:p>
        </w:tc>
        <w:tc>
          <w:tcPr>
            <w:tcW w:w="1935" w:type="dxa"/>
            <w:gridSpan w:val="4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Высота над уровнем моря, м</w:t>
            </w:r>
          </w:p>
        </w:tc>
        <w:tc>
          <w:tcPr>
            <w:tcW w:w="3543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до 1000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3.6.</w:t>
            </w:r>
          </w:p>
        </w:tc>
        <w:tc>
          <w:tcPr>
            <w:tcW w:w="1935" w:type="dxa"/>
            <w:gridSpan w:val="4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Толщина стенки гололеда, мм, не менее</w:t>
            </w:r>
          </w:p>
        </w:tc>
        <w:tc>
          <w:tcPr>
            <w:tcW w:w="3543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20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3.7.</w:t>
            </w:r>
          </w:p>
        </w:tc>
        <w:tc>
          <w:tcPr>
            <w:tcW w:w="1935" w:type="dxa"/>
            <w:gridSpan w:val="4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Допустимая скорость ветра при наличии гололеда, м/с, не менее</w:t>
            </w:r>
          </w:p>
        </w:tc>
        <w:tc>
          <w:tcPr>
            <w:tcW w:w="3543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15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3.8.</w:t>
            </w:r>
          </w:p>
        </w:tc>
        <w:tc>
          <w:tcPr>
            <w:tcW w:w="1935" w:type="dxa"/>
            <w:gridSpan w:val="4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Допустимая скорость ветра при отсутствии гололеда, м/с, не менее</w:t>
            </w:r>
          </w:p>
        </w:tc>
        <w:tc>
          <w:tcPr>
            <w:tcW w:w="3543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40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3.9.</w:t>
            </w:r>
          </w:p>
        </w:tc>
        <w:tc>
          <w:tcPr>
            <w:tcW w:w="1935" w:type="dxa"/>
            <w:gridSpan w:val="4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Сейсмостойкость, баллов по шкале MSK-64, не менее</w:t>
            </w:r>
          </w:p>
        </w:tc>
        <w:tc>
          <w:tcPr>
            <w:tcW w:w="3543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5478" w:type="dxa"/>
            <w:gridSpan w:val="6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3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en-US" w:eastAsia="ru-RU" w:bidi="ar-SA"/>
              </w:rPr>
              <w:t>Требования к материалам</w:t>
            </w:r>
          </w:p>
        </w:tc>
        <w:tc>
          <w:tcPr>
            <w:tcW w:w="3843" w:type="dxa"/>
            <w:gridSpan w:val="5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быть новая*, ранее не используемая.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* - Под новым следует понимать оборудование, которое не было в употреблении, не приходило ремонт, в том числе восстановление, замену составных частей, восстановление потребительских свойств.</w:t>
            </w:r>
          </w:p>
        </w:tc>
        <w:tc>
          <w:tcPr>
            <w:tcW w:w="37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Тех. предложение</w:t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3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Год выпуска продукции (оборудования)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43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ранее 2026 г.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Тех. предложение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5478" w:type="dxa"/>
            <w:gridSpan w:val="6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37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Погрузка, доставка, разгрузка и перемещение Товара</w:t>
            </w:r>
          </w:p>
        </w:tc>
        <w:tc>
          <w:tcPr>
            <w:tcW w:w="3806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Продукция должна быть доставлена поставщиком по адресу: Российская Федерация, 445350, Самарская область, город Жигулевск, Московское шоссе, дом 2. Разгрузка осуществляется за счёт покупателя. Погрузка на территории Поставщика/ Производителя, транспорт и доставка до склада Заказчика выполняются за счёт средств Поставщика. Разгрузка на территории Заказчика за счет средств Заказчика. Приемка продукции в рабочие дни с 08.00 до 15.00 по местному времени. Информация о транспорте (марка, гос.номер), на котором осуществляется доставка, а также ФИО и номер водительского удостоверения водителя и сопровождающих лиц (при наличии) для оформления допуска на территорию предоставляется не позднее предыдущего рабочего дня до прибытия транспорта, до 15.00.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Возможность вертикальной разгрузки транспорта обязательна. Попутный груз при въезде на территорию Филиала запрещен.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Тех. предложение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Транспортная маркировка грузов - по ГОСТ 14192-77</w:t>
            </w:r>
          </w:p>
        </w:tc>
        <w:tc>
          <w:tcPr>
            <w:tcW w:w="3806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Конденсаторы связи или их части (при транспортировании в частично разобранном виде) должны быть упакованы для транспортирования в плотные или решетчатые ящики по ГОСТ 10198 или ГОСТ 2991 или в специальную тару</w:t>
            </w:r>
          </w:p>
        </w:tc>
        <w:tc>
          <w:tcPr>
            <w:tcW w:w="3806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229" w:hanging="0"/>
              <w:contextualSpacing/>
              <w:jc w:val="left"/>
              <w:rPr>
                <w:sz w:val="24"/>
                <w:szCs w:val="24"/>
              </w:rPr>
            </w:pPr>
            <w:r>
              <w:rPr/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Все неокрашенные металлические части должны быть подвергнуты консервации по ГОСТ 23216-78.</w:t>
            </w:r>
          </w:p>
        </w:tc>
        <w:tc>
          <w:tcPr>
            <w:tcW w:w="3806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Условия хранения по ГОСТ 15150</w:t>
            </w:r>
          </w:p>
        </w:tc>
        <w:tc>
          <w:tcPr>
            <w:tcW w:w="3806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5ОЖ4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Условия транспортирования согласно ГОСТ 23216-78</w:t>
            </w:r>
          </w:p>
        </w:tc>
        <w:tc>
          <w:tcPr>
            <w:tcW w:w="3806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72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легкие (Л)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5478" w:type="dxa"/>
            <w:gridSpan w:val="6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эксплуатации, обеспечению и утилизации</w:t>
            </w:r>
          </w:p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7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5.1.</w:t>
            </w:r>
          </w:p>
        </w:tc>
        <w:tc>
          <w:tcPr>
            <w:tcW w:w="2050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Монтаж, эксплуатация конденсаторов должна соответствовать требованиям Правилам технической эксплуатации электрических сетей, Правилам организации технического обслуживания и ремонта объектов электроэнергетики, Правилам устройств электроустановок</w:t>
            </w:r>
          </w:p>
        </w:tc>
        <w:tc>
          <w:tcPr>
            <w:tcW w:w="3428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72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5.2.</w:t>
            </w:r>
          </w:p>
        </w:tc>
        <w:tc>
          <w:tcPr>
            <w:tcW w:w="2050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в заводской документации требований по мерам безопасности, перечня составных частей, включая цветные металлы, и методов утилизации изделий, представляющих опасность для жизни, здоровью людей и окружающей среды после окончания срока службы</w:t>
            </w:r>
          </w:p>
        </w:tc>
        <w:tc>
          <w:tcPr>
            <w:tcW w:w="3428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72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5478" w:type="dxa"/>
            <w:gridSpan w:val="6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7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Срок гарантии изготовителя, с момента ввода в эксплуатацию, не менее, лет</w:t>
            </w:r>
          </w:p>
        </w:tc>
        <w:tc>
          <w:tcPr>
            <w:tcW w:w="3806" w:type="dxa"/>
            <w:gridSpan w:val="3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5</w:t>
            </w:r>
          </w:p>
        </w:tc>
        <w:tc>
          <w:tcPr>
            <w:tcW w:w="37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624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color w:val="000000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Возможность заключения договора на постгарантийное обслуживание</w:t>
            </w:r>
          </w:p>
        </w:tc>
        <w:tc>
          <w:tcPr>
            <w:tcW w:w="3806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нет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229" w:hanging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color w:val="000000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сервисных центров на территории РФ</w:t>
            </w:r>
          </w:p>
        </w:tc>
        <w:tc>
          <w:tcPr>
            <w:tcW w:w="3806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color w:val="000000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Гарантии распространяются на все поставляемое оборудование.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течение гарантийного срока должна быть обеспечена безвозмездная замена или ремонт вышедшего из строя оборудования, включая его доставку туда и обратно. Доставка неисправного оборудования в сервисный центр для проведения ремонта и возвращение исправного, после ремонта, оборудования Поставщик осуществляет за свой счет.</w:t>
            </w:r>
          </w:p>
        </w:tc>
        <w:tc>
          <w:tcPr>
            <w:tcW w:w="3806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color w:val="000000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5478" w:type="dxa"/>
            <w:gridSpan w:val="6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7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Комплект запасных частей и принадлежностей ЗИП</w:t>
            </w:r>
          </w:p>
        </w:tc>
        <w:tc>
          <w:tcPr>
            <w:tcW w:w="3806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327"/>
                <w:tab w:val="left" w:pos="252" w:leader="none"/>
              </w:tabs>
              <w:ind w:left="252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1 комплект ЗИП согласно комплектации производителя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327"/>
                <w:tab w:val="left" w:pos="252" w:leader="none"/>
              </w:tabs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Ведомость комплекта ЗИП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Эксплуатационная документация по ГОСТ Р 2.601-2019, экз.: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руководство по эксплуатации;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формуляр или паспорт;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ведомость ЗИП в виде отдельного документа или как составная часть паспорта или формуляра.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Товарную накладную унифицированной формы ТОРГ 12.</w:t>
            </w:r>
          </w:p>
        </w:tc>
        <w:tc>
          <w:tcPr>
            <w:tcW w:w="3806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 (1 в электронном виде)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5478" w:type="dxa"/>
            <w:gridSpan w:val="6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37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9.1.</w:t>
            </w:r>
          </w:p>
        </w:tc>
        <w:tc>
          <w:tcPr>
            <w:tcW w:w="2050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Во всем неоговоренном конденсаторы связи должны соответствовать требованиям </w:t>
            </w:r>
            <w:r>
              <w:rPr>
                <w:rFonts w:eastAsia="Calibri" w:cs="Times New Roman"/>
                <w:b w:val="false"/>
                <w:iCs/>
                <w:color w:val="00000A"/>
                <w:kern w:val="0"/>
                <w:sz w:val="24"/>
                <w:szCs w:val="24"/>
                <w:lang w:val="x-none" w:eastAsia="x-none" w:bidi="ar-SA"/>
              </w:rPr>
              <w:t>ГОСТ 15581-80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, ПУЭ</w:t>
            </w:r>
          </w:p>
        </w:tc>
        <w:tc>
          <w:tcPr>
            <w:tcW w:w="3428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5478" w:type="dxa"/>
            <w:gridSpan w:val="6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экономическим параметрам</w:t>
            </w:r>
          </w:p>
        </w:tc>
        <w:tc>
          <w:tcPr>
            <w:tcW w:w="37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10.1.</w:t>
            </w:r>
          </w:p>
        </w:tc>
        <w:tc>
          <w:tcPr>
            <w:tcW w:w="2050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службы, не менее, лет</w:t>
            </w:r>
          </w:p>
        </w:tc>
        <w:tc>
          <w:tcPr>
            <w:tcW w:w="3428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25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5478" w:type="dxa"/>
            <w:gridSpan w:val="6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сопутствующим услугам:</w:t>
            </w:r>
          </w:p>
        </w:tc>
        <w:tc>
          <w:tcPr>
            <w:tcW w:w="37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5478" w:type="dxa"/>
            <w:gridSpan w:val="6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шефмонтажу</w:t>
            </w:r>
          </w:p>
        </w:tc>
        <w:tc>
          <w:tcPr>
            <w:tcW w:w="37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11.1.1.</w:t>
            </w:r>
          </w:p>
        </w:tc>
        <w:tc>
          <w:tcPr>
            <w:tcW w:w="2050" w:type="dxa"/>
            <w:gridSpan w:val="5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Участие в монтаже технического представителя завода</w:t>
            </w:r>
          </w:p>
        </w:tc>
        <w:tc>
          <w:tcPr>
            <w:tcW w:w="3428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7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ind w:left="357" w:hanging="0"/>
        <w:jc w:val="center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numPr>
          <w:ilvl w:val="0"/>
          <w:numId w:val="0"/>
        </w:numPr>
        <w:ind w:left="57" w:hanging="0"/>
        <w:jc w:val="both"/>
        <w:rPr>
          <w:color w:val="000000"/>
          <w:highlight w:val="none"/>
          <w:shd w:fill="auto" w:val="clear"/>
          <w:lang w:val="en-US"/>
        </w:rPr>
      </w:pPr>
      <w:r>
        <w:rPr>
          <w:rFonts w:eastAsia="Calibri" w:cs="Times New Roman"/>
          <w:b/>
          <w:color w:val="00000A"/>
          <w:kern w:val="0"/>
          <w:sz w:val="24"/>
          <w:szCs w:val="24"/>
          <w:lang w:val="x-none" w:eastAsia="x-none" w:bidi="ar-SA"/>
        </w:rPr>
        <w:t xml:space="preserve">  </w:t>
      </w:r>
      <w:r>
        <w:rPr>
          <w:rFonts w:eastAsia="Calibri" w:cs="Times New Roman"/>
          <w:b/>
          <w:color w:val="00000A"/>
          <w:kern w:val="0"/>
          <w:sz w:val="24"/>
          <w:szCs w:val="24"/>
          <w:lang w:val="x-none" w:eastAsia="x-none" w:bidi="ar-SA"/>
        </w:rPr>
        <w:t>Примечания:</w:t>
      </w:r>
    </w:p>
    <w:p>
      <w:pPr>
        <w:pStyle w:val="Normal"/>
        <w:numPr>
          <w:ilvl w:val="0"/>
          <w:numId w:val="0"/>
        </w:numPr>
        <w:ind w:left="57" w:hanging="0"/>
        <w:jc w:val="both"/>
        <w:rPr>
          <w:b w:val="false"/>
          <w:bCs w:val="false"/>
        </w:rPr>
      </w:pPr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 xml:space="preserve"> </w:t>
      </w:r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>1) В случае если какой-либо из указанных в настоящих ТТ ГОСТ или нормативный документ был отменен в связи с выпуском новой редакции стандарта, то Участнику необходимо применять актуализированный ГОСТ или нормативный документ, принятый в его развитие.</w:t>
      </w:r>
    </w:p>
    <w:p>
      <w:pPr>
        <w:pStyle w:val="Normal"/>
        <w:numPr>
          <w:ilvl w:val="0"/>
          <w:numId w:val="0"/>
        </w:numPr>
        <w:ind w:left="57" w:hanging="0"/>
        <w:jc w:val="both"/>
        <w:rPr>
          <w:b w:val="false"/>
          <w:bCs w:val="false"/>
        </w:rPr>
      </w:pPr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>2) * - Параметр не установлен - Указывается Участником.</w:t>
      </w:r>
    </w:p>
    <w:p>
      <w:pPr>
        <w:pStyle w:val="Normal"/>
        <w:numPr>
          <w:ilvl w:val="0"/>
          <w:numId w:val="0"/>
        </w:numPr>
        <w:ind w:left="57" w:hanging="0"/>
        <w:jc w:val="both"/>
        <w:rPr>
          <w:rFonts w:ascii="Times New Roman" w:hAnsi="Times New Roman" w:eastAsia="Calibri" w:cs="Times New Roman"/>
          <w:color w:val="00000A"/>
          <w:kern w:val="0"/>
          <w:sz w:val="24"/>
          <w:szCs w:val="24"/>
          <w:lang w:val="x-none" w:eastAsia="x-none" w:bidi="ar-SA"/>
        </w:rPr>
      </w:pPr>
      <w:r>
        <w:rPr>
          <w:rFonts w:eastAsia="Calibri" w:cs="Times New Roman"/>
          <w:color w:val="00000A"/>
          <w:kern w:val="0"/>
          <w:sz w:val="24"/>
          <w:szCs w:val="24"/>
          <w:lang w:val="x-none" w:eastAsia="x-none" w:bidi="ar-SA"/>
        </w:rPr>
      </w:r>
    </w:p>
    <w:p>
      <w:pPr>
        <w:pStyle w:val="Normal"/>
        <w:numPr>
          <w:ilvl w:val="0"/>
          <w:numId w:val="0"/>
        </w:numPr>
        <w:ind w:left="57" w:hanging="0"/>
        <w:jc w:val="both"/>
        <w:rPr>
          <w:color w:val="000000"/>
          <w:highlight w:val="none"/>
          <w:shd w:fill="auto" w:val="clear"/>
          <w:lang w:val="en-US"/>
        </w:rPr>
      </w:pPr>
      <w:r>
        <w:rPr>
          <w:color w:val="000000"/>
          <w:shd w:fill="auto" w:val="clear"/>
          <w:lang w:val="en-US"/>
        </w:rPr>
      </w:r>
    </w:p>
    <w:p>
      <w:pPr>
        <w:pStyle w:val="Normal"/>
        <w:numPr>
          <w:ilvl w:val="0"/>
          <w:numId w:val="0"/>
        </w:numPr>
        <w:ind w:left="57" w:hanging="0"/>
        <w:jc w:val="both"/>
        <w:rPr>
          <w:color w:val="000000"/>
          <w:highlight w:val="none"/>
          <w:shd w:fill="auto" w:val="clear"/>
          <w:lang w:val="en-US"/>
        </w:rPr>
      </w:pPr>
      <w:r>
        <w:rPr>
          <w:rFonts w:eastAsia="Calibri" w:cs="Times New Roman"/>
          <w:b/>
          <w:color w:val="00000A"/>
          <w:kern w:val="0"/>
          <w:sz w:val="24"/>
          <w:szCs w:val="24"/>
          <w:lang w:val="x-none" w:eastAsia="x-none" w:bidi="ar-SA"/>
        </w:rPr>
        <w:t xml:space="preserve">  </w:t>
      </w:r>
      <w:r>
        <w:rPr>
          <w:rFonts w:eastAsia="Calibri" w:cs="Times New Roman"/>
          <w:b/>
          <w:color w:val="00000A"/>
          <w:kern w:val="0"/>
          <w:sz w:val="24"/>
          <w:szCs w:val="24"/>
          <w:lang w:val="x-none" w:eastAsia="x-none" w:bidi="ar-SA"/>
        </w:rPr>
        <w:t>2.2.1. В составе заявки необходимо предоставить</w:t>
      </w:r>
    </w:p>
    <w:p>
      <w:pPr>
        <w:pStyle w:val="Normal"/>
        <w:numPr>
          <w:ilvl w:val="0"/>
          <w:numId w:val="0"/>
        </w:numPr>
        <w:ind w:left="57" w:hanging="0"/>
        <w:jc w:val="both"/>
        <w:rPr>
          <w:rFonts w:ascii="Times New Roman" w:hAnsi="Times New Roman"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</w:pPr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 xml:space="preserve">Участник в составе своей заявки для подтверждения соответствия заявленных характеристик и конструктива предложенной продукции поставляемой продукции, требованиям настоящих ТТ, предоставляет следующие документы: </w:t>
      </w:r>
    </w:p>
    <w:p>
      <w:pPr>
        <w:pStyle w:val="Normal"/>
        <w:numPr>
          <w:ilvl w:val="0"/>
          <w:numId w:val="0"/>
        </w:numPr>
        <w:ind w:left="57" w:hanging="0"/>
        <w:jc w:val="both"/>
        <w:rPr>
          <w:rFonts w:ascii="Times New Roman" w:hAnsi="Times New Roman"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</w:pPr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>2.2.1.1. Техническое предложение, подготовленное в соответствии с настоящими ТТ по форме, представленной в документации о закупке. При описании продукции Участник обязан подтвердить соответствие поставляемой продукции требованиям в отношении всех показателей, которые установлены в ТТ. При этом должны указываться точные и не допускающие двусмысленного толкования показатели.</w:t>
      </w:r>
    </w:p>
    <w:p>
      <w:pPr>
        <w:pStyle w:val="Normal"/>
        <w:numPr>
          <w:ilvl w:val="0"/>
          <w:numId w:val="0"/>
        </w:numPr>
        <w:ind w:left="57" w:hanging="0"/>
        <w:jc w:val="both"/>
        <w:rPr>
          <w:rFonts w:ascii="Times New Roman" w:hAnsi="Times New Roman"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</w:pPr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 xml:space="preserve">2.2.1.2. </w:t>
      </w:r>
      <w:bookmarkStart w:id="34" w:name="_Ref184912271"/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>Габаритно – установочные чертежи с присоединительными и установочными размерами</w:t>
      </w:r>
      <w:bookmarkEnd w:id="34"/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>;</w:t>
      </w:r>
    </w:p>
    <w:p>
      <w:pPr>
        <w:pStyle w:val="Normal"/>
        <w:numPr>
          <w:ilvl w:val="0"/>
          <w:numId w:val="0"/>
        </w:numPr>
        <w:ind w:left="57" w:hanging="0"/>
        <w:jc w:val="both"/>
        <w:rPr>
          <w:rFonts w:ascii="Times New Roman" w:hAnsi="Times New Roman"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</w:pPr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 xml:space="preserve">2.2.1.3. </w:t>
      </w:r>
      <w:bookmarkStart w:id="35" w:name="_Ref184912387"/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>Отсканированные копии утвержденных технических условий (все страницы документа) в соответствии с которыми выпускается конденсатор связи (при условии изготовления по ТУ).</w:t>
      </w:r>
      <w:bookmarkEnd w:id="35"/>
    </w:p>
    <w:p>
      <w:pPr>
        <w:pStyle w:val="Normal"/>
        <w:numPr>
          <w:ilvl w:val="0"/>
          <w:numId w:val="0"/>
        </w:numPr>
        <w:ind w:left="57" w:hanging="0"/>
        <w:jc w:val="both"/>
        <w:rPr/>
      </w:pPr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 xml:space="preserve">2.2.1.4. </w:t>
      </w:r>
      <w:bookmarkStart w:id="36" w:name="_Ref184912407"/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>Руководство по эксплуатации (руководство по монтажу и наладке, техническое описание согласно ГОСТ 2.610-2019, ГОСТ 2.601-2019, ГОСТ Р 1.3-2018) производителя с описанием конструктивного исполнения закупаемого оборудования: назначение и область применения; состав оборудования; основные технические характеристики; информацию о конструкции и принципе действия.</w:t>
      </w:r>
      <w:bookmarkEnd w:id="36"/>
    </w:p>
    <w:p>
      <w:pPr>
        <w:pStyle w:val="51"/>
        <w:widowControl w:val="false"/>
        <w:numPr>
          <w:ilvl w:val="0"/>
          <w:numId w:val="0"/>
        </w:numPr>
        <w:ind w:left="0" w:hanging="0"/>
        <w:rPr/>
      </w:pPr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 xml:space="preserve">2.2.1.5. </w:t>
      </w:r>
      <w:bookmarkStart w:id="37" w:name="_Ref184912424"/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>Ведомость комплекта ЗИП предусмотренная заводом изготовителем в виде отдельного документа или как составная часть паспорта или формуляра</w:t>
      </w:r>
      <w:bookmarkEnd w:id="37"/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>.</w:t>
      </w:r>
    </w:p>
    <w:p>
      <w:pPr>
        <w:sectPr>
          <w:headerReference w:type="default" r:id="rId6"/>
          <w:headerReference w:type="first" r:id="rId7"/>
          <w:type w:val="nextPage"/>
          <w:pgSz w:w="11906" w:h="16838"/>
          <w:pgMar w:left="1134" w:right="992" w:gutter="0" w:header="680" w:top="851" w:footer="0" w:bottom="1134"/>
          <w:pgNumType w:fmt="decimal"/>
          <w:formProt w:val="false"/>
          <w:textDirection w:val="lrTb"/>
          <w:docGrid w:type="default" w:linePitch="381" w:charSpace="0"/>
        </w:sectPr>
        <w:pStyle w:val="51"/>
        <w:widowControl w:val="false"/>
        <w:numPr>
          <w:ilvl w:val="0"/>
          <w:numId w:val="0"/>
        </w:numPr>
        <w:ind w:left="0" w:hanging="0"/>
        <w:jc w:val="both"/>
        <w:rPr/>
      </w:pPr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 xml:space="preserve">2.2.1.6. </w:t>
      </w:r>
      <w:bookmarkStart w:id="38" w:name="_Ref184912253"/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>Копию действующей декларации о соответствии, в соответствии с Федеральным Законом от 27.12.2002 г. № 184-ФЗ «О техническом регулировании», Постановлением Правительства РФ от 23.12.2021 г.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</w:t>
      </w:r>
      <w:bookmarkEnd w:id="38"/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 xml:space="preserve">». </w:t>
      </w:r>
      <w:r>
        <w:rPr>
          <w:sz w:val="24"/>
          <w:szCs w:val="24"/>
        </w:rPr>
        <w:t xml:space="preserve">Декларация о соответствии должна иметь электронную регистрацию (статус действующего документа)  в едином реестре деклараций на сайте https://fsa.gov.ru/ (требование п.6 ст.24 ФЗ-184, должна быть с приложением документов, на основании которых выданы декларации (в том числе, но не ограничиваясь: протокол испытаний и измерений, выполненных согласно  </w:t>
      </w:r>
      <w:r>
        <w:rPr>
          <w:rFonts w:eastAsia="Calibri" w:cs="Times New Roman"/>
          <w:b w:val="false"/>
          <w:color w:val="00000A"/>
          <w:kern w:val="0"/>
          <w:sz w:val="24"/>
          <w:szCs w:val="24"/>
          <w:lang w:val="x-none" w:eastAsia="x-none" w:bidi="ar-SA"/>
        </w:rPr>
        <w:t>ГОСТ 15581-80</w:t>
      </w:r>
      <w:r>
        <w:rPr>
          <w:sz w:val="24"/>
          <w:szCs w:val="24"/>
        </w:rPr>
        <w:t xml:space="preserve"> и проведенных в аккредитованной в установленном порядке и независимой лаборатории (испытательного центра), имеющей российский аттестат аккредитации, либо сертификат системы качества, выданный органом по сертификации, аккредитованным в установленном порядке). </w:t>
      </w:r>
      <w:r>
        <w:rPr>
          <w:rFonts w:eastAsia="Calibri" w:cs="Times New Roman"/>
          <w:b w:val="false"/>
          <w:color w:val="00000A"/>
          <w:kern w:val="0"/>
          <w:sz w:val="24"/>
          <w:szCs w:val="24"/>
          <w:lang w:val="x-none" w:eastAsia="x-none" w:bidi="ar-SA"/>
        </w:rPr>
        <w:t>Конденсаторы связи должны иметь декларацию о соответствии ГОСТ 15581-80.</w:t>
      </w:r>
    </w:p>
    <w:p>
      <w:pPr>
        <w:pStyle w:val="Heading1"/>
        <w:numPr>
          <w:ilvl w:val="0"/>
          <w:numId w:val="0"/>
        </w:numPr>
        <w:ind w:left="426" w:hanging="0"/>
        <w:rPr/>
      </w:pPr>
      <w:r>
        <w:rPr/>
        <w:t xml:space="preserve">3. </w:t>
      </w:r>
      <w:bookmarkStart w:id="39" w:name="_Toc191395492"/>
      <w:bookmarkStart w:id="40" w:name="_Toc53393312"/>
      <w:r>
        <w:rPr/>
        <w:t>Требования к документации по ценообразованию</w:t>
      </w:r>
      <w:bookmarkEnd w:id="40"/>
      <w:r>
        <w:rPr/>
        <w:t xml:space="preserve"> на этапе закупки</w:t>
      </w:r>
      <w:bookmarkEnd w:id="39"/>
    </w:p>
    <w:p>
      <w:pPr>
        <w:pStyle w:val="Normal"/>
        <w:widowControl w:val="false"/>
        <w:numPr>
          <w:ilvl w:val="3"/>
        </w:numPr>
        <w:tabs>
          <w:tab w:val="clear" w:pos="327"/>
          <w:tab w:val="left" w:pos="426" w:leader="none"/>
        </w:tabs>
        <w:spacing w:before="60" w:after="0"/>
        <w:jc w:val="both"/>
        <w:rPr/>
      </w:pPr>
      <w:r>
        <w:rPr>
          <w:rStyle w:val="Style8"/>
          <w:rFonts w:eastAsia="Calibri"/>
          <w:b w:val="false"/>
          <w:bCs/>
          <w:i w:val="false"/>
          <w:iCs/>
          <w:color w:val="000000"/>
          <w:sz w:val="24"/>
          <w:szCs w:val="24"/>
          <w:shd w:fill="auto" w:val="clear"/>
          <w:lang w:val="x-none" w:eastAsia="x-none"/>
        </w:rPr>
        <w:t xml:space="preserve">        </w:t>
      </w:r>
      <w:r>
        <w:rPr>
          <w:rStyle w:val="Style8"/>
          <w:rFonts w:eastAsia="Calibri"/>
          <w:b w:val="false"/>
          <w:bCs/>
          <w:i w:val="false"/>
          <w:iCs/>
          <w:color w:val="000000"/>
          <w:sz w:val="24"/>
          <w:szCs w:val="24"/>
          <w:shd w:fill="auto" w:val="clear"/>
          <w:lang w:val="x-none" w:eastAsia="x-none"/>
        </w:rPr>
        <w:t>3.1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numPr>
          <w:ilvl w:val="3"/>
        </w:numPr>
        <w:spacing w:before="0" w:after="120"/>
        <w:jc w:val="both"/>
        <w:rPr>
          <w:rFonts w:eastAsia="Calibri"/>
          <w:i/>
          <w:i/>
          <w:iCs/>
          <w:color w:val="000000"/>
          <w:sz w:val="24"/>
          <w:szCs w:val="24"/>
          <w:highlight w:val="none"/>
          <w:shd w:fill="auto" w:val="clear"/>
          <w:lang w:val="x-none" w:eastAsia="x-none"/>
        </w:rPr>
      </w:pPr>
      <w:r>
        <w:rPr>
          <w:rFonts w:eastAsia="Calibri"/>
          <w:i/>
          <w:iCs/>
          <w:color w:val="000000"/>
          <w:sz w:val="24"/>
          <w:szCs w:val="24"/>
          <w:shd w:fill="auto" w:val="clear"/>
          <w:lang w:val="x-none" w:eastAsia="x-none"/>
        </w:rPr>
      </w:r>
    </w:p>
    <w:p>
      <w:pPr>
        <w:pStyle w:val="Heading1"/>
        <w:keepLines/>
        <w:numPr>
          <w:ilvl w:val="3"/>
        </w:numPr>
        <w:tabs>
          <w:tab w:val="clear" w:pos="0"/>
        </w:tabs>
        <w:spacing w:before="120" w:after="60"/>
        <w:ind w:left="1134" w:hanging="425"/>
        <w:rPr>
          <w:b w:val="false"/>
          <w:iCs/>
          <w:color w:val="000000"/>
          <w:sz w:val="24"/>
          <w:szCs w:val="24"/>
          <w:highlight w:val="none"/>
          <w:shd w:fill="auto" w:val="clear"/>
          <w:lang w:val="ru-RU"/>
        </w:rPr>
      </w:pPr>
      <w:r>
        <w:rPr/>
      </w:r>
    </w:p>
    <w:sectPr>
      <w:headerReference w:type="default" r:id="rId8"/>
      <w:headerReference w:type="first" r:id="rId9"/>
      <w:type w:val="nextPage"/>
      <w:pgSz w:w="11906" w:h="16838"/>
      <w:pgMar w:left="1134" w:right="1134" w:gutter="0" w:header="1134" w:top="1456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17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effect w:val="none"/>
        <w:szCs w:val="24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revisionView w:insDel="0" w:formatting="0"/>
  <w:defaultTabStop w:val="327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link w:val="1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qFormat/>
    <w:rsid w:val="00ea61a8"/>
    <w:pPr>
      <w:tabs>
        <w:tab w:val="clear" w:pos="0"/>
      </w:tabs>
      <w:ind w:left="0" w:hanging="0"/>
      <w:outlineLvl w:val="1"/>
    </w:pPr>
    <w:rPr/>
  </w:style>
  <w:style w:type="paragraph" w:styleId="Heading3">
    <w:name w:val="Heading 3"/>
    <w:basedOn w:val="Normal"/>
    <w:link w:val="31"/>
    <w:autoRedefine/>
    <w:qFormat/>
    <w:rsid w:val="00035e96"/>
    <w:pPr>
      <w:keepNext w:val="true"/>
      <w:tabs>
        <w:tab w:val="clear" w:pos="327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basedOn w:val="DefaultParagraphFont"/>
    <w:uiPriority w:val="99"/>
    <w:unhideWhenUsed/>
    <w:qFormat/>
    <w:rsid w:val="007450ef"/>
    <w:rPr>
      <w:color w:val="0563C1" w:themeColor="hyperlink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uiPriority w:val="99"/>
    <w:qFormat/>
    <w:rsid w:val="00d22f6d"/>
    <w:rPr>
      <w:rFonts w:eastAsia="Calibri"/>
      <w:sz w:val="24"/>
      <w:szCs w:val="24"/>
    </w:rPr>
  </w:style>
  <w:style w:type="character" w:styleId="111" w:customStyle="1">
    <w:name w:val="Заголовок 1 Знак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i/>
      <w:shd w:fill="FFFF99" w:val="clear"/>
    </w:rPr>
  </w:style>
  <w:style w:type="character" w:styleId="Style9" w:customStyle="1">
    <w:name w:val="Подподпункт Знак"/>
    <w:qFormat/>
    <w:locked/>
    <w:rsid w:val="0025139e"/>
    <w:rPr>
      <w:sz w:val="26"/>
      <w:szCs w:val="26"/>
    </w:rPr>
  </w:style>
  <w:style w:type="character" w:styleId="31" w:customStyle="1">
    <w:name w:val="Заголовок 3 Знак1"/>
    <w:qFormat/>
    <w:rsid w:val="00b56f46"/>
    <w:rPr>
      <w:rFonts w:eastAsia="Calibri"/>
      <w:b/>
      <w:color w:val="00000A"/>
      <w:sz w:val="24"/>
      <w:szCs w:val="24"/>
      <w:lang w:val="x-none" w:eastAsia="x-none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5"/>
    <w:qFormat/>
    <w:rsid w:val="00de52bc"/>
    <w:rPr>
      <w:b/>
      <w:sz w:val="28"/>
    </w:rPr>
  </w:style>
  <w:style w:type="character" w:styleId="12" w:customStyle="1">
    <w:name w:val="УРОВЕНЬ_1. Знак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главление 3 Знак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Символы концевой сноски"/>
    <w:qFormat/>
    <w:rPr/>
  </w:style>
  <w:style w:type="character" w:styleId="WW8Num25z0" w:customStyle="1">
    <w:name w:val="WW8Num25z0"/>
    <w:qFormat/>
    <w:rPr>
      <w:b/>
    </w:rPr>
  </w:style>
  <w:style w:type="character" w:styleId="WW8Num46z0" w:customStyle="1">
    <w:name w:val="WW8Num46z0"/>
    <w:qFormat/>
    <w:rPr/>
  </w:style>
  <w:style w:type="character" w:styleId="WW8Num35z0" w:customStyle="1">
    <w:name w:val="WW8Num35z0"/>
    <w:qFormat/>
    <w:rPr>
      <w:rFonts w:ascii="Symbol" w:hAnsi="Symbol" w:cs="Symbol"/>
    </w:rPr>
  </w:style>
  <w:style w:type="character" w:styleId="WW8Num35z1" w:customStyle="1">
    <w:name w:val="WW8Num35z1"/>
    <w:qFormat/>
    <w:rPr>
      <w:rFonts w:ascii="Courier New" w:hAnsi="Courier New" w:cs="Courier New"/>
    </w:rPr>
  </w:style>
  <w:style w:type="character" w:styleId="WW8Num35z2" w:customStyle="1">
    <w:name w:val="WW8Num35z2"/>
    <w:qFormat/>
    <w:rPr>
      <w:rFonts w:ascii="Wingdings" w:hAnsi="Wingdings" w:cs="Wingdings"/>
    </w:rPr>
  </w:style>
  <w:style w:type="character" w:styleId="WW8Num68z0" w:customStyle="1">
    <w:name w:val="WW8Num68z0"/>
    <w:qFormat/>
    <w:rPr>
      <w:rFonts w:ascii="Symbol" w:hAnsi="Symbol" w:cs="Symbol"/>
    </w:rPr>
  </w:style>
  <w:style w:type="character" w:styleId="WW8Num68z1" w:customStyle="1">
    <w:name w:val="WW8Num68z1"/>
    <w:qFormat/>
    <w:rPr>
      <w:rFonts w:ascii="Courier New" w:hAnsi="Courier New" w:cs="Courier New"/>
    </w:rPr>
  </w:style>
  <w:style w:type="character" w:styleId="WW8Num68z2" w:customStyle="1">
    <w:name w:val="WW8Num68z2"/>
    <w:qFormat/>
    <w:rPr>
      <w:rFonts w:ascii="Wingdings" w:hAnsi="Wingdings" w:cs="Wingdings"/>
    </w:rPr>
  </w:style>
  <w:style w:type="character" w:styleId="WW8Num55z0" w:customStyle="1">
    <w:name w:val="WW8Num55z0"/>
    <w:qFormat/>
    <w:rPr>
      <w:rFonts w:ascii="Symbol" w:hAnsi="Symbol" w:cs="Symbol"/>
    </w:rPr>
  </w:style>
  <w:style w:type="character" w:styleId="WW8Num55z1" w:customStyle="1">
    <w:name w:val="WW8Num55z1"/>
    <w:qFormat/>
    <w:rPr>
      <w:rFonts w:ascii="Courier New" w:hAnsi="Courier New" w:cs="Courier New"/>
    </w:rPr>
  </w:style>
  <w:style w:type="character" w:styleId="WW8Num55z2" w:customStyle="1">
    <w:name w:val="WW8Num55z2"/>
    <w:qFormat/>
    <w:rPr>
      <w:rFonts w:ascii="Wingdings" w:hAnsi="Wingdings" w:cs="Wingdings"/>
    </w:rPr>
  </w:style>
  <w:style w:type="character" w:styleId="WW8Num56z0" w:customStyle="1">
    <w:name w:val="WW8Num56z0"/>
    <w:qFormat/>
    <w:rPr>
      <w:color w:val="000000"/>
    </w:rPr>
  </w:style>
  <w:style w:type="character" w:styleId="WW8Num56z1" w:customStyle="1">
    <w:name w:val="WW8Num56z1"/>
    <w:qFormat/>
    <w:rPr>
      <w:rFonts w:ascii="Symbol" w:hAnsi="Symbol" w:eastAsia="Times New Roman" w:cs="Times New Roman"/>
    </w:rPr>
  </w:style>
  <w:style w:type="character" w:styleId="WW8Num62z0" w:customStyle="1">
    <w:name w:val="WW8Num62z0"/>
    <w:qFormat/>
    <w:rPr/>
  </w:style>
  <w:style w:type="character" w:styleId="WW8Num62z1" w:customStyle="1">
    <w:name w:val="WW8Num62z1"/>
    <w:qFormat/>
    <w:rPr>
      <w:rFonts w:ascii="Symbol" w:hAnsi="Symbol" w:cs="Symbol"/>
    </w:rPr>
  </w:style>
  <w:style w:type="character" w:styleId="WW8Num53z0" w:customStyle="1">
    <w:name w:val="WW8Num53z0"/>
    <w:qFormat/>
    <w:rPr>
      <w:rFonts w:ascii="Symbol" w:hAnsi="Symbol" w:cs="Symbol"/>
    </w:rPr>
  </w:style>
  <w:style w:type="character" w:styleId="WW8Num53z1" w:customStyle="1">
    <w:name w:val="WW8Num53z1"/>
    <w:qFormat/>
    <w:rPr>
      <w:rFonts w:ascii="Courier New" w:hAnsi="Courier New" w:cs="Courier New"/>
    </w:rPr>
  </w:style>
  <w:style w:type="character" w:styleId="WW8Num53z2" w:customStyle="1">
    <w:name w:val="WW8Num53z2"/>
    <w:qFormat/>
    <w:rPr>
      <w:rFonts w:ascii="Wingdings" w:hAnsi="Wingdings" w:cs="Wingdings"/>
    </w:rPr>
  </w:style>
  <w:style w:type="character" w:styleId="WW8Num39z0" w:customStyle="1">
    <w:name w:val="WW8Num39z0"/>
    <w:qFormat/>
    <w:rPr>
      <w:rFonts w:ascii="Symbol" w:hAnsi="Symbol" w:cs="Symbol"/>
    </w:rPr>
  </w:style>
  <w:style w:type="character" w:styleId="WW8Num39z1" w:customStyle="1">
    <w:name w:val="WW8Num39z1"/>
    <w:qFormat/>
    <w:rPr>
      <w:rFonts w:ascii="Courier New" w:hAnsi="Courier New" w:cs="Courier New"/>
    </w:rPr>
  </w:style>
  <w:style w:type="character" w:styleId="WW8Num39z2" w:customStyle="1">
    <w:name w:val="WW8Num39z2"/>
    <w:qFormat/>
    <w:rPr>
      <w:rFonts w:ascii="Wingdings" w:hAnsi="Wingdings" w:cs="Wingdings"/>
    </w:rPr>
  </w:style>
  <w:style w:type="character" w:styleId="WW8Num66z0" w:customStyle="1">
    <w:name w:val="WW8Num66z0"/>
    <w:qFormat/>
    <w:rPr/>
  </w:style>
  <w:style w:type="character" w:styleId="WW8Num66z1" w:customStyle="1">
    <w:name w:val="WW8Num66z1"/>
    <w:qFormat/>
    <w:rPr>
      <w:rFonts w:ascii="Symbol" w:hAnsi="Symbol" w:cs="Symbol"/>
    </w:rPr>
  </w:style>
  <w:style w:type="character" w:styleId="WW8Num41z0" w:customStyle="1">
    <w:name w:val="WW8Num41z0"/>
    <w:qFormat/>
    <w:rPr>
      <w:rFonts w:ascii="Wingdings" w:hAnsi="Wingdings" w:cs="Wingdings"/>
    </w:rPr>
  </w:style>
  <w:style w:type="character" w:styleId="WW8Num41z1" w:customStyle="1">
    <w:name w:val="WW8Num41z1"/>
    <w:qFormat/>
    <w:rPr>
      <w:rFonts w:ascii="Courier New" w:hAnsi="Courier New" w:cs="Courier New"/>
    </w:rPr>
  </w:style>
  <w:style w:type="character" w:styleId="WW8Num41z3" w:customStyle="1">
    <w:name w:val="WW8Num41z3"/>
    <w:qFormat/>
    <w:rPr>
      <w:rFonts w:ascii="Symbol" w:hAnsi="Symbol" w:cs="Symbol"/>
    </w:rPr>
  </w:style>
  <w:style w:type="character" w:styleId="Style16" w:customStyle="1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LineNumber">
    <w:name w:val="Line Number"/>
    <w:rPr/>
  </w:style>
  <w:style w:type="character" w:styleId="WW8Num45z0">
    <w:name w:val="WW8Num45z0"/>
    <w:qFormat/>
    <w:rPr>
      <w:rFonts w:ascii="Symbol" w:hAnsi="Symbol" w:cs="Symbol"/>
    </w:rPr>
  </w:style>
  <w:style w:type="character" w:styleId="WW8Num45z1">
    <w:name w:val="WW8Num45z1"/>
    <w:qFormat/>
    <w:rPr>
      <w:rFonts w:ascii="Courier New" w:hAnsi="Courier New" w:cs="Courier New"/>
    </w:rPr>
  </w:style>
  <w:style w:type="character" w:styleId="WW8Num45z2">
    <w:name w:val="WW8Num45z2"/>
    <w:qFormat/>
    <w:rPr>
      <w:rFonts w:ascii="Wingdings" w:hAnsi="Wingdings" w:cs="Wingdings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8z1">
    <w:name w:val="WW8Num58z1"/>
    <w:qFormat/>
    <w:rPr>
      <w:rFonts w:ascii="Courier New" w:hAnsi="Courier New" w:cs="Courier New"/>
    </w:rPr>
  </w:style>
  <w:style w:type="character" w:styleId="WW8Num58z2">
    <w:name w:val="WW8Num58z2"/>
    <w:qFormat/>
    <w:rPr>
      <w:rFonts w:ascii="Wingdings" w:hAnsi="Wingdings" w:cs="Wingdings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3z1">
    <w:name w:val="WW8Num33z1"/>
    <w:qFormat/>
    <w:rPr>
      <w:rFonts w:ascii="Courier New" w:hAnsi="Courier New" w:cs="Courier New"/>
    </w:rPr>
  </w:style>
  <w:style w:type="character" w:styleId="WW8Num33z2">
    <w:name w:val="WW8Num33z2"/>
    <w:qFormat/>
    <w:rPr>
      <w:rFonts w:ascii="Wingdings" w:hAnsi="Wingdings" w:cs="Wingdings"/>
    </w:rPr>
  </w:style>
  <w:style w:type="character" w:styleId="WW8Num60z0">
    <w:name w:val="WW8Num60z0"/>
    <w:qFormat/>
    <w:rPr>
      <w:rFonts w:ascii="Symbol" w:hAnsi="Symbol" w:cs="Symbol"/>
    </w:rPr>
  </w:style>
  <w:style w:type="character" w:styleId="WW8Num60z1">
    <w:name w:val="WW8Num60z1"/>
    <w:qFormat/>
    <w:rPr>
      <w:rFonts w:ascii="Courier New" w:hAnsi="Courier New" w:cs="Courier New"/>
    </w:rPr>
  </w:style>
  <w:style w:type="character" w:styleId="WW8Num60z2">
    <w:name w:val="WW8Num60z2"/>
    <w:qFormat/>
    <w:rPr>
      <w:rFonts w:ascii="Wingdings" w:hAnsi="Wingdings" w:cs="Wingdings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2">
    <w:name w:val="WW8Num36z2"/>
    <w:qFormat/>
    <w:rPr>
      <w:rFonts w:ascii="Wingdings" w:hAnsi="Wingdings" w:cs="Wingdings"/>
    </w:rPr>
  </w:style>
  <w:style w:type="character" w:styleId="WW8Num67z0">
    <w:name w:val="WW8Num67z0"/>
    <w:qFormat/>
    <w:rPr>
      <w:rFonts w:ascii="Symbol" w:hAnsi="Symbol" w:cs="Symbol"/>
    </w:rPr>
  </w:style>
  <w:style w:type="character" w:styleId="WW8Num67z1">
    <w:name w:val="WW8Num67z1"/>
    <w:qFormat/>
    <w:rPr>
      <w:rFonts w:ascii="Courier New" w:hAnsi="Courier New" w:cs="Courier New"/>
    </w:rPr>
  </w:style>
  <w:style w:type="character" w:styleId="WW8Num67z2">
    <w:name w:val="WW8Num67z2"/>
    <w:qFormat/>
    <w:rPr>
      <w:rFonts w:ascii="Wingdings" w:hAnsi="Wingdings" w:cs="Wingdings"/>
    </w:rPr>
  </w:style>
  <w:style w:type="character" w:styleId="WW8Num54z0">
    <w:name w:val="WW8Num54z0"/>
    <w:qFormat/>
    <w:rPr/>
  </w:style>
  <w:style w:type="character" w:styleId="WW8Num54z1">
    <w:name w:val="WW8Num54z1"/>
    <w:qFormat/>
    <w:rPr>
      <w:rFonts w:ascii="Wingdings" w:hAnsi="Wingdings" w:cs="Wingdings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spacing w:before="80" w:after="80"/>
      <w:jc w:val="both"/>
    </w:pPr>
    <w:rPr/>
  </w:style>
  <w:style w:type="paragraph" w:styleId="FootnoteText">
    <w:name w:val="Footnote Text"/>
    <w:basedOn w:val="Normal"/>
    <w:pPr/>
    <w:rPr/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A"/>
      </w:pBdr>
      <w:spacing w:before="0" w:after="240"/>
      <w:jc w:val="center"/>
    </w:pPr>
    <w:rPr>
      <w:sz w:val="22"/>
      <w:szCs w:val="22"/>
    </w:rPr>
  </w:style>
  <w:style w:type="paragraph" w:styleId="211" w:customStyle="1">
    <w:name w:val="Заголовок 2 Знак1"/>
    <w:basedOn w:val="Normal"/>
    <w:qFormat/>
    <w:rsid w:val="00d561d9"/>
    <w:pPr>
      <w:pBdr>
        <w:bottom w:val="thickThinSmallGap" w:sz="24" w:space="1" w:color="00000A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A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rsid w:val="0076353a"/>
    <w:pPr>
      <w:tabs>
        <w:tab w:val="clear" w:pos="327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327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qFormat/>
    <w:rsid w:val="0076353a"/>
    <w:pPr>
      <w:tabs>
        <w:tab w:val="clear" w:pos="327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3" w:customStyle="1">
    <w:name w:val="Пункт2"/>
    <w:basedOn w:val="Normal"/>
    <w:qFormat/>
    <w:rsid w:val="0076353a"/>
    <w:pPr>
      <w:keepNext w:val="true"/>
      <w:tabs>
        <w:tab w:val="clear" w:pos="327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link w:val="32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4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uiPriority w:val="39"/>
    <w:qFormat/>
    <w:rsid w:val="00d22f6d"/>
    <w:pPr>
      <w:keepLines/>
      <w:tabs>
        <w:tab w:val="clear" w:pos="0"/>
      </w:tabs>
      <w:spacing w:before="480" w:after="60"/>
      <w:ind w:left="0" w:hanging="0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Основной текст с отступом 3 Знак"/>
    <w:basedOn w:val="Normal"/>
    <w:qFormat/>
    <w:rsid w:val="00d22f6d"/>
    <w:p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25" w:customStyle="1">
    <w:name w:val="Нумерованный список ур2"/>
    <w:basedOn w:val="Normal"/>
    <w:link w:val="22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00000A"/>
      <w:kern w:val="0"/>
      <w:sz w:val="28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327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qFormat/>
    <w:rsid w:val="0025139e"/>
    <w:pPr>
      <w:tabs>
        <w:tab w:val="left" w:pos="1134" w:leader="none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spacing w:lineRule="exact" w:line="360" w:before="120" w:after="0"/>
      <w:contextualSpacing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spacing w:lineRule="exact" w:line="360" w:before="120" w:after="0"/>
      <w:contextualSpacing/>
      <w:jc w:val="both"/>
      <w:outlineLvl w:val="4"/>
    </w:pPr>
    <w:rPr>
      <w:sz w:val="26"/>
      <w:szCs w:val="28"/>
      <w:lang w:eastAsia="en-US"/>
    </w:rPr>
  </w:style>
  <w:style w:type="paragraph" w:styleId="26" w:customStyle="1">
    <w:name w:val="УРОВЕНЬ_Абзац_тип2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spacing w:lineRule="exact" w:line="360" w:before="120" w:after="120"/>
      <w:contextualSpacing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sz w:val="40"/>
      <w:szCs w:val="20"/>
      <w:lang w:val="ru-RU" w:eastAsia="ru-RU"/>
    </w:rPr>
  </w:style>
  <w:style w:type="paragraph" w:styleId="EndnoteText">
    <w:name w:val="Endnote Text"/>
    <w:basedOn w:val="Normal"/>
    <w:qFormat/>
    <w:rsid w:val="003879d4"/>
    <w:pPr/>
    <w:rPr>
      <w:sz w:val="20"/>
      <w:szCs w:val="20"/>
    </w:rPr>
  </w:style>
  <w:style w:type="paragraph" w:styleId="27" w:customStyle="1">
    <w:name w:val="Заголовок 2 КВВ"/>
    <w:basedOn w:val="Normal"/>
    <w:qFormat/>
    <w:rsid w:val="00cb35e8"/>
    <w:pPr>
      <w:keepNext w:val="true"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19" w:customStyle="1">
    <w:name w:val="УРОВЕНЬ_1."/>
    <w:basedOn w:val="ListParagraph"/>
    <w:qFormat/>
    <w:rsid w:val="004a17ae"/>
    <w:pPr>
      <w:keepNext w:val="true"/>
      <w:keepLines/>
      <w:spacing w:lineRule="auto" w:line="276" w:before="240" w:after="120"/>
      <w:ind w:left="0" w:hanging="0"/>
      <w:contextualSpacing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 w:customStyle="1">
    <w:name w:val="Содержимое таблицы"/>
    <w:basedOn w:val="Normal"/>
    <w:qFormat/>
    <w:pPr/>
    <w:rPr/>
  </w:style>
  <w:style w:type="paragraph" w:styleId="Style36" w:customStyle="1">
    <w:name w:val="Заголовок таблицы"/>
    <w:basedOn w:val="Style35"/>
    <w:qFormat/>
    <w:pPr/>
    <w:rPr/>
  </w:style>
  <w:style w:type="paragraph" w:styleId="Msonormalmrcssattr" w:customStyle="1">
    <w:name w:val="msonormalmrcssattr"/>
    <w:basedOn w:val="Normal"/>
    <w:qFormat/>
    <w:pPr>
      <w:spacing w:beforeAutospacing="1" w:afterAutospacing="1"/>
    </w:pPr>
    <w:rPr>
      <w:rFonts w:eastAsia="Calibri" w:eastAsiaTheme="minorHAnsi"/>
    </w:rPr>
  </w:style>
  <w:style w:type="paragraph" w:styleId="Style37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TableParagraph">
    <w:name w:val="Table Paragraph"/>
    <w:basedOn w:val="Normal"/>
    <w:qFormat/>
    <w:pPr>
      <w:ind w:left="115" w:hanging="0"/>
    </w:pPr>
    <w:rPr/>
  </w:style>
  <w:style w:type="paragraph" w:styleId="Style38">
    <w:name w:val="НТ"/>
    <w:basedOn w:val="Normal"/>
    <w:qFormat/>
    <w:pPr/>
    <w:rPr>
      <w:b/>
      <w:sz w:val="24"/>
      <w:szCs w:val="24"/>
    </w:rPr>
  </w:style>
  <w:style w:type="paragraph" w:styleId="51">
    <w:name w:val="Н5"/>
    <w:basedOn w:val="Heading3"/>
    <w:qFormat/>
    <w:pPr>
      <w:numPr>
        <w:ilvl w:val="3"/>
      </w:numPr>
      <w:ind w:left="1418" w:hanging="992"/>
      <w:outlineLvl w:val="9"/>
    </w:pPr>
    <w:rPr>
      <w:b w:val="false"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8" w:customStyle="1">
    <w:name w:val="Стиль2"/>
    <w:uiPriority w:val="99"/>
    <w:qFormat/>
    <w:rsid w:val="006629c9"/>
  </w:style>
  <w:style w:type="numbering" w:styleId="WW8Num25" w:customStyle="1">
    <w:name w:val="WW8Num25"/>
    <w:qFormat/>
  </w:style>
  <w:style w:type="numbering" w:styleId="WW8Num46" w:customStyle="1">
    <w:name w:val="WW8Num46"/>
    <w:qFormat/>
  </w:style>
  <w:style w:type="numbering" w:styleId="WW8Num35" w:customStyle="1">
    <w:name w:val="WW8Num35"/>
    <w:qFormat/>
  </w:style>
  <w:style w:type="numbering" w:styleId="WW8Num68" w:customStyle="1">
    <w:name w:val="WW8Num68"/>
    <w:qFormat/>
  </w:style>
  <w:style w:type="numbering" w:styleId="WW8Num55" w:customStyle="1">
    <w:name w:val="WW8Num55"/>
    <w:qFormat/>
  </w:style>
  <w:style w:type="numbering" w:styleId="WW8Num56" w:customStyle="1">
    <w:name w:val="WW8Num56"/>
    <w:qFormat/>
  </w:style>
  <w:style w:type="numbering" w:styleId="WW8Num62" w:customStyle="1">
    <w:name w:val="WW8Num62"/>
    <w:qFormat/>
  </w:style>
  <w:style w:type="numbering" w:styleId="WW8Num53" w:customStyle="1">
    <w:name w:val="WW8Num53"/>
    <w:qFormat/>
  </w:style>
  <w:style w:type="numbering" w:styleId="WW8Num39" w:customStyle="1">
    <w:name w:val="WW8Num39"/>
    <w:qFormat/>
  </w:style>
  <w:style w:type="numbering" w:styleId="WW8Num66" w:customStyle="1">
    <w:name w:val="WW8Num66"/>
    <w:qFormat/>
  </w:style>
  <w:style w:type="numbering" w:styleId="WW8Num41" w:customStyle="1">
    <w:name w:val="WW8Num41"/>
    <w:qFormat/>
  </w:style>
  <w:style w:type="numbering" w:styleId="WW8Num2" w:customStyle="1">
    <w:name w:val="WW8Num2"/>
    <w:qFormat/>
  </w:style>
  <w:style w:type="numbering" w:styleId="39766624161" w:customStyle="1">
    <w:name w:val="39766624161"/>
    <w:qFormat/>
  </w:style>
  <w:style w:type="numbering" w:styleId="WW8Num45">
    <w:name w:val="WW8Num45"/>
    <w:qFormat/>
  </w:style>
  <w:style w:type="numbering" w:styleId="WW8Num58">
    <w:name w:val="WW8Num58"/>
    <w:qFormat/>
  </w:style>
  <w:style w:type="numbering" w:styleId="WW8Num33">
    <w:name w:val="WW8Num33"/>
    <w:qFormat/>
  </w:style>
  <w:style w:type="numbering" w:styleId="WW8Num60">
    <w:name w:val="WW8Num60"/>
    <w:qFormat/>
  </w:style>
  <w:style w:type="numbering" w:styleId="WW8Num36">
    <w:name w:val="WW8Num36"/>
    <w:qFormat/>
  </w:style>
  <w:style w:type="numbering" w:styleId="WW8Num67">
    <w:name w:val="WW8Num67"/>
    <w:qFormat/>
  </w:style>
  <w:style w:type="numbering" w:styleId="WW8Num54">
    <w:name w:val="WW8Num54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1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1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23845-4124-4F1E-98E8-E9E4520D5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24133</TotalTime>
  <Application>AlterOffice/2025.3.0.0$Linux_X86_64 LibreOffice_project/4ba31b6a4271509a884f95065d0a726e9cb2bdbb</Application>
  <AppVersion>15.0000</AppVersion>
  <Pages>19</Pages>
  <Words>2321</Words>
  <Characters>15793</Characters>
  <CharactersWithSpaces>17624</CharactersWithSpaces>
  <Paragraphs>464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2023-04-20T09:36:00Z</dcterms:created>
  <dc:creator>Быстров Олег Геннадьевич</dc:creator>
  <dc:description/>
  <dc:language>ru-RU</dc:language>
  <cp:lastModifiedBy>nikulshinrv@corp.gidroogk.com</cp:lastModifiedBy>
  <cp:lastPrinted>2024-10-09T13:11:00Z</cp:lastPrinted>
  <dcterms:modified xsi:type="dcterms:W3CDTF">2026-06-19T08:10:19Z</dcterms:modified>
  <cp:revision>221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