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_rels/document.xml.rels" ContentType="application/vnd.openxmlformats-package.relationships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jc w:val="center"/>
        <w:rPr>
          <w:b/>
        </w:rPr>
      </w:pPr>
      <w:r>
        <w:rPr>
          <w:b/>
        </w:rPr>
      </w:r>
    </w:p>
    <w:p>
      <w:pPr>
        <w:pStyle w:val="Normal"/>
        <w:widowControl w:val="false"/>
        <w:jc w:val="center"/>
        <w:rPr>
          <w:b/>
        </w:rPr>
      </w:pPr>
      <w:r>
        <w:rPr>
          <w:b/>
        </w:rPr>
      </w:r>
    </w:p>
    <w:p>
      <w:pPr>
        <w:pStyle w:val="Normal"/>
        <w:widowControl w:val="false"/>
        <w:jc w:val="center"/>
        <w:rPr>
          <w:b/>
        </w:rPr>
      </w:pPr>
      <w:r>
        <w:rPr>
          <w:b/>
        </w:rPr>
      </w:r>
    </w:p>
    <w:p>
      <w:pPr>
        <w:pStyle w:val="Normal"/>
        <w:widowControl w:val="false"/>
        <w:jc w:val="center"/>
        <w:rPr>
          <w:b/>
        </w:rPr>
      </w:pPr>
      <w:r>
        <w:rPr>
          <w:b/>
        </w:rPr>
      </w:r>
    </w:p>
    <w:p>
      <w:pPr>
        <w:pStyle w:val="Normal"/>
        <w:widowControl w:val="false"/>
        <w:jc w:val="center"/>
        <w:rPr>
          <w:b/>
        </w:rPr>
      </w:pPr>
      <w:r>
        <w:rPr>
          <w:b/>
        </w:rPr>
      </w:r>
    </w:p>
    <w:p>
      <w:pPr>
        <w:pStyle w:val="Normal"/>
        <w:widowControl w:val="false"/>
        <w:jc w:val="center"/>
        <w:rPr>
          <w:b/>
        </w:rPr>
      </w:pPr>
      <w:r>
        <w:rPr>
          <w:b/>
        </w:rPr>
      </w:r>
    </w:p>
    <w:p>
      <w:pPr>
        <w:pStyle w:val="Normal"/>
        <w:widowControl w:val="false"/>
        <w:jc w:val="center"/>
        <w:rPr>
          <w:b/>
        </w:rPr>
      </w:pPr>
      <w:r>
        <w:rPr>
          <w:b/>
        </w:rPr>
      </w:r>
    </w:p>
    <w:p>
      <w:pPr>
        <w:pStyle w:val="Normal"/>
        <w:widowControl w:val="false"/>
        <w:jc w:val="center"/>
        <w:rPr>
          <w:b/>
        </w:rPr>
      </w:pPr>
      <w:r>
        <w:rPr>
          <w:b/>
        </w:rPr>
      </w:r>
    </w:p>
    <w:p>
      <w:pPr>
        <w:pStyle w:val="Normal"/>
        <w:widowControl w:val="false"/>
        <w:jc w:val="center"/>
        <w:rPr>
          <w:b/>
        </w:rPr>
      </w:pPr>
      <w:r>
        <w:rPr>
          <w:b/>
        </w:rPr>
      </w:r>
    </w:p>
    <w:p>
      <w:pPr>
        <w:pStyle w:val="Normal"/>
        <w:widowControl w:val="false"/>
        <w:jc w:val="center"/>
        <w:rPr>
          <w:b/>
        </w:rPr>
      </w:pPr>
      <w:r>
        <w:rPr>
          <w:b/>
        </w:rPr>
      </w:r>
    </w:p>
    <w:p>
      <w:pPr>
        <w:pStyle w:val="Normal"/>
        <w:widowControl w:val="false"/>
        <w:jc w:val="center"/>
        <w:rPr>
          <w:b/>
        </w:rPr>
      </w:pPr>
      <w:r>
        <w:rPr>
          <w:b/>
        </w:rPr>
      </w:r>
    </w:p>
    <w:p>
      <w:pPr>
        <w:pStyle w:val="Normal"/>
        <w:widowControl w:val="false"/>
        <w:jc w:val="center"/>
        <w:rPr>
          <w:b/>
        </w:rPr>
      </w:pPr>
      <w:r>
        <w:rPr>
          <w:b/>
        </w:rPr>
      </w:r>
    </w:p>
    <w:p>
      <w:pPr>
        <w:pStyle w:val="Normal"/>
        <w:widowControl w:val="false"/>
        <w:jc w:val="center"/>
        <w:rPr>
          <w:b/>
        </w:rPr>
      </w:pPr>
      <w:r>
        <w:rPr>
          <w:b/>
        </w:rPr>
      </w:r>
    </w:p>
    <w:p>
      <w:pPr>
        <w:pStyle w:val="Normal"/>
        <w:widowControl w:val="false"/>
        <w:jc w:val="center"/>
        <w:rPr>
          <w:b/>
        </w:rPr>
      </w:pPr>
      <w:r>
        <w:rPr>
          <w:b/>
        </w:rPr>
      </w:r>
    </w:p>
    <w:p>
      <w:pPr>
        <w:pStyle w:val="Normal"/>
        <w:widowControl w:val="false"/>
        <w:jc w:val="center"/>
        <w:rPr>
          <w:b/>
        </w:rPr>
      </w:pPr>
      <w:r>
        <w:rPr>
          <w:b/>
        </w:rPr>
      </w:r>
    </w:p>
    <w:p>
      <w:pPr>
        <w:pStyle w:val="Normal"/>
        <w:widowControl w:val="false"/>
        <w:jc w:val="center"/>
        <w:rPr>
          <w:b/>
        </w:rPr>
      </w:pPr>
      <w:r>
        <w:rPr>
          <w:b/>
        </w:rPr>
      </w:r>
    </w:p>
    <w:p>
      <w:pPr>
        <w:pStyle w:val="Normal"/>
        <w:widowControl w:val="false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</w:t>
      </w:r>
    </w:p>
    <w:p>
      <w:pPr>
        <w:pStyle w:val="Normal"/>
        <w:widowControl w:val="false"/>
        <w:ind w:left="360" w:hanging="360"/>
        <w:jc w:val="center"/>
        <w:rPr>
          <w:b/>
        </w:rPr>
      </w:pPr>
      <w:r>
        <w:rPr>
          <w:b/>
        </w:rPr>
      </w:r>
    </w:p>
    <w:p>
      <w:pPr>
        <w:pStyle w:val="Normal"/>
        <w:widowControl w:val="false"/>
        <w:spacing w:lineRule="auto" w:line="360"/>
        <w:jc w:val="center"/>
        <w:rPr/>
      </w:pPr>
      <w:r>
        <w:rPr>
          <w:rFonts w:eastAsia="Calibri"/>
          <w:b/>
          <w:sz w:val="26"/>
          <w:szCs w:val="26"/>
        </w:rPr>
        <w:t xml:space="preserve">«ОКПД2 </w:t>
      </w:r>
      <w:r>
        <w:rPr>
          <w:rFonts w:eastAsia="Calibri" w:cs="Times New Roman"/>
          <w:b/>
          <w:color w:val="auto"/>
          <w:kern w:val="0"/>
          <w:sz w:val="26"/>
          <w:szCs w:val="26"/>
          <w:lang w:val="ru-RU" w:eastAsia="ru-RU" w:bidi="ar-SA"/>
        </w:rPr>
        <w:t>[</w:t>
      </w:r>
      <w:r>
        <w:rPr>
          <w:rStyle w:val="Strong"/>
          <w:rFonts w:eastAsia="Calibri" w:cs="Times New Roman"/>
          <w:b/>
          <w:color w:val="auto"/>
          <w:kern w:val="0"/>
          <w:sz w:val="26"/>
          <w:szCs w:val="26"/>
          <w:lang w:val="ru-RU" w:eastAsia="ru-RU" w:bidi="ar-SA"/>
        </w:rPr>
        <w:t>24.44.26.110</w:t>
      </w:r>
      <w:r>
        <w:rPr>
          <w:rFonts w:eastAsia="Calibri" w:cs="Times New Roman"/>
          <w:b/>
          <w:color w:val="auto"/>
          <w:kern w:val="0"/>
          <w:sz w:val="26"/>
          <w:szCs w:val="26"/>
          <w:lang w:val="ru-RU" w:eastAsia="ru-RU" w:bidi="ar-SA"/>
        </w:rPr>
        <w:t xml:space="preserve">] </w:t>
      </w:r>
      <w:r>
        <w:rPr>
          <w:rFonts w:eastAsia="Calibri"/>
          <w:b/>
          <w:sz w:val="26"/>
          <w:szCs w:val="26"/>
        </w:rPr>
        <w:t>Поставка шин медных трубчатых</w:t>
      </w:r>
    </w:p>
    <w:p>
      <w:pPr>
        <w:pStyle w:val="Normal"/>
        <w:widowControl w:val="false"/>
        <w:spacing w:lineRule="auto" w:line="360"/>
        <w:jc w:val="center"/>
        <w:rPr/>
      </w:pPr>
      <w:r>
        <w:rPr>
          <w:rFonts w:eastAsia="Calibri"/>
          <w:b/>
          <w:sz w:val="26"/>
          <w:szCs w:val="26"/>
        </w:rPr>
        <w:t>для нужд филиала ПАО «РусГидро» - «Жигулевская ГЭС</w:t>
      </w:r>
      <w:r>
        <w:rPr>
          <w:rFonts w:eastAsia="Calibri"/>
          <w:b/>
          <w:i/>
          <w:sz w:val="26"/>
          <w:szCs w:val="26"/>
        </w:rPr>
        <w:t>»»</w:t>
      </w:r>
    </w:p>
    <w:p>
      <w:pPr>
        <w:pStyle w:val="Normal"/>
        <w:widowControl w:val="false"/>
        <w:ind w:left="360" w:hanging="360"/>
        <w:jc w:val="center"/>
        <w:rPr/>
      </w:pPr>
      <w:r>
        <w:rPr>
          <w:rFonts w:eastAsia="Calibri"/>
          <w:b/>
          <w:i/>
          <w:sz w:val="26"/>
          <w:szCs w:val="26"/>
        </w:rPr>
        <w:t>Лот №</w:t>
      </w:r>
    </w:p>
    <w:p>
      <w:pPr>
        <w:pStyle w:val="Normal"/>
        <w:widowControl w:val="false"/>
        <w:jc w:val="center"/>
        <w:rPr>
          <w:b/>
        </w:rPr>
      </w:pPr>
      <w:r>
        <w:rPr>
          <w:b/>
        </w:rPr>
      </w:r>
    </w:p>
    <w:p>
      <w:pPr>
        <w:pStyle w:val="Normal"/>
        <w:widowControl w:val="false"/>
        <w:jc w:val="center"/>
        <w:rPr>
          <w:b/>
        </w:rPr>
      </w:pPr>
      <w:r>
        <w:rPr>
          <w:b/>
        </w:rPr>
      </w:r>
    </w:p>
    <w:p>
      <w:pPr>
        <w:pStyle w:val="Normal"/>
        <w:widowControl w:val="false"/>
        <w:jc w:val="center"/>
        <w:rPr>
          <w:b/>
        </w:rPr>
      </w:pPr>
      <w:r>
        <w:rPr>
          <w:b/>
        </w:rPr>
      </w:r>
    </w:p>
    <w:p>
      <w:pPr>
        <w:pStyle w:val="Normal"/>
        <w:widowControl w:val="false"/>
        <w:jc w:val="center"/>
        <w:rPr>
          <w:b/>
        </w:rPr>
      </w:pPr>
      <w:r>
        <w:rPr>
          <w:b/>
        </w:rPr>
      </w:r>
    </w:p>
    <w:p>
      <w:pPr>
        <w:pStyle w:val="Normal"/>
        <w:widowControl w:val="false"/>
        <w:jc w:val="center"/>
        <w:rPr>
          <w:b/>
        </w:rPr>
      </w:pPr>
      <w:r>
        <w:rPr>
          <w:b/>
        </w:rPr>
      </w:r>
    </w:p>
    <w:p>
      <w:pPr>
        <w:pStyle w:val="Normal"/>
        <w:widowControl w:val="false"/>
        <w:jc w:val="center"/>
        <w:rPr>
          <w:b/>
        </w:rPr>
      </w:pPr>
      <w:r>
        <w:rPr>
          <w:b/>
        </w:rPr>
      </w:r>
    </w:p>
    <w:p>
      <w:pPr>
        <w:pStyle w:val="Normal"/>
        <w:widowControl w:val="false"/>
        <w:jc w:val="center"/>
        <w:rPr>
          <w:b/>
        </w:rPr>
      </w:pPr>
      <w:r>
        <w:rPr>
          <w:b/>
        </w:rPr>
      </w:r>
    </w:p>
    <w:p>
      <w:pPr>
        <w:pStyle w:val="Normal"/>
        <w:widowControl w:val="false"/>
        <w:jc w:val="center"/>
        <w:rPr>
          <w:b/>
        </w:rPr>
      </w:pPr>
      <w:r>
        <w:rPr>
          <w:b/>
        </w:rPr>
      </w:r>
    </w:p>
    <w:p>
      <w:pPr>
        <w:pStyle w:val="Normal"/>
        <w:widowControl w:val="false"/>
        <w:jc w:val="center"/>
        <w:rPr>
          <w:b/>
        </w:rPr>
      </w:pPr>
      <w:r>
        <w:rPr>
          <w:b/>
        </w:rPr>
      </w:r>
    </w:p>
    <w:p>
      <w:pPr>
        <w:pStyle w:val="Normal"/>
        <w:widowControl w:val="false"/>
        <w:jc w:val="center"/>
        <w:rPr>
          <w:b/>
        </w:rPr>
      </w:pPr>
      <w:r>
        <w:rPr>
          <w:b/>
        </w:rPr>
      </w:r>
    </w:p>
    <w:p>
      <w:pPr>
        <w:pStyle w:val="Normal"/>
        <w:widowControl w:val="false"/>
        <w:jc w:val="center"/>
        <w:rPr>
          <w:b/>
        </w:rPr>
      </w:pPr>
      <w:r>
        <w:rPr>
          <w:b/>
        </w:rPr>
      </w:r>
    </w:p>
    <w:p>
      <w:pPr>
        <w:pStyle w:val="Normal"/>
        <w:widowControl w:val="false"/>
        <w:jc w:val="center"/>
        <w:rPr>
          <w:b/>
        </w:rPr>
      </w:pPr>
      <w:r>
        <w:rPr>
          <w:b/>
        </w:rPr>
      </w:r>
    </w:p>
    <w:p>
      <w:pPr>
        <w:pStyle w:val="Normal"/>
        <w:widowControl w:val="false"/>
        <w:jc w:val="center"/>
        <w:rPr>
          <w:b/>
        </w:rPr>
      </w:pPr>
      <w:r>
        <w:rPr>
          <w:b/>
        </w:rPr>
      </w:r>
    </w:p>
    <w:p>
      <w:pPr>
        <w:pStyle w:val="Normal"/>
        <w:widowControl w:val="false"/>
        <w:jc w:val="center"/>
        <w:rPr>
          <w:b/>
        </w:rPr>
      </w:pPr>
      <w:r>
        <w:rPr>
          <w:b/>
        </w:rPr>
      </w:r>
    </w:p>
    <w:p>
      <w:pPr>
        <w:pStyle w:val="Normal"/>
        <w:widowControl w:val="false"/>
        <w:jc w:val="center"/>
        <w:rPr>
          <w:b/>
        </w:rPr>
      </w:pPr>
      <w:r>
        <w:rPr>
          <w:b/>
        </w:rPr>
      </w:r>
    </w:p>
    <w:p>
      <w:pPr>
        <w:pStyle w:val="Normal"/>
        <w:widowControl w:val="false"/>
        <w:jc w:val="center"/>
        <w:rPr>
          <w:b/>
        </w:rPr>
      </w:pPr>
      <w:r>
        <w:rPr>
          <w:b/>
        </w:rPr>
      </w:r>
    </w:p>
    <w:p>
      <w:pPr>
        <w:pStyle w:val="Normal"/>
        <w:widowControl w:val="false"/>
        <w:jc w:val="center"/>
        <w:rPr>
          <w:b/>
        </w:rPr>
      </w:pPr>
      <w:r>
        <w:rPr>
          <w:b/>
        </w:rPr>
      </w:r>
    </w:p>
    <w:p>
      <w:pPr>
        <w:pStyle w:val="Normal"/>
        <w:widowControl w:val="false"/>
        <w:jc w:val="center"/>
        <w:rPr>
          <w:b/>
        </w:rPr>
      </w:pPr>
      <w:r>
        <w:rPr>
          <w:b/>
        </w:rPr>
      </w:r>
    </w:p>
    <w:p>
      <w:pPr>
        <w:pStyle w:val="Normal"/>
        <w:widowControl w:val="false"/>
        <w:jc w:val="center"/>
        <w:rPr>
          <w:b/>
        </w:rPr>
      </w:pPr>
      <w:r>
        <w:rPr>
          <w:b/>
        </w:rPr>
      </w:r>
    </w:p>
    <w:p>
      <w:pPr>
        <w:pStyle w:val="Normal"/>
        <w:widowControl w:val="false"/>
        <w:jc w:val="center"/>
        <w:rPr>
          <w:b/>
        </w:rPr>
      </w:pPr>
      <w:r>
        <w:rPr>
          <w:b/>
        </w:rPr>
      </w:r>
    </w:p>
    <w:p>
      <w:pPr>
        <w:pStyle w:val="Normal"/>
        <w:widowControl w:val="false"/>
        <w:jc w:val="center"/>
        <w:rPr>
          <w:b/>
        </w:rPr>
      </w:pPr>
      <w:r>
        <w:rPr>
          <w:b/>
        </w:rPr>
      </w:r>
    </w:p>
    <w:p>
      <w:pPr>
        <w:pStyle w:val="Normal"/>
        <w:widowControl w:val="false"/>
        <w:jc w:val="center"/>
        <w:rPr>
          <w:b/>
        </w:rPr>
      </w:pPr>
      <w:r>
        <w:rPr>
          <w:b/>
        </w:rPr>
      </w:r>
    </w:p>
    <w:p>
      <w:pPr>
        <w:pStyle w:val="Normal"/>
        <w:widowControl w:val="false"/>
        <w:jc w:val="center"/>
        <w:rPr>
          <w:b/>
        </w:rPr>
      </w:pPr>
      <w:r>
        <w:rPr>
          <w:b/>
        </w:rPr>
      </w:r>
    </w:p>
    <w:p>
      <w:pPr>
        <w:pStyle w:val="Normal"/>
        <w:widowControl w:val="false"/>
        <w:jc w:val="center"/>
        <w:rPr>
          <w:b/>
        </w:rPr>
      </w:pPr>
      <w:r>
        <w:rPr>
          <w:b/>
        </w:rPr>
      </w:r>
    </w:p>
    <w:p>
      <w:pPr>
        <w:pStyle w:val="Normal"/>
        <w:widowControl w:val="false"/>
        <w:jc w:val="center"/>
        <w:rPr>
          <w:b/>
        </w:rPr>
      </w:pPr>
      <w:r>
        <w:rPr>
          <w:b/>
        </w:rPr>
      </w:r>
    </w:p>
    <w:p>
      <w:pPr>
        <w:pStyle w:val="Normal"/>
        <w:widowControl w:val="false"/>
        <w:jc w:val="center"/>
        <w:rPr>
          <w:b/>
        </w:rPr>
      </w:pPr>
      <w:r>
        <w:rPr>
          <w:b/>
        </w:rPr>
      </w:r>
    </w:p>
    <w:p>
      <w:pPr>
        <w:pStyle w:val="Normal"/>
        <w:widowControl w:val="false"/>
        <w:jc w:val="center"/>
        <w:rPr>
          <w:b/>
        </w:rPr>
      </w:pPr>
      <w:r>
        <w:rPr>
          <w:b/>
        </w:rPr>
      </w:r>
    </w:p>
    <w:p>
      <w:pPr>
        <w:pStyle w:val="Normal"/>
        <w:widowControl w:val="false"/>
        <w:jc w:val="center"/>
        <w:rPr>
          <w:b/>
        </w:rPr>
      </w:pPr>
      <w:r>
        <w:rPr>
          <w:b/>
        </w:rPr>
      </w:r>
    </w:p>
    <w:p>
      <w:pPr>
        <w:pStyle w:val="Normal"/>
        <w:widowControl w:val="false"/>
        <w:jc w:val="center"/>
        <w:rPr>
          <w:b/>
        </w:rPr>
      </w:pPr>
      <w:r>
        <w:rPr>
          <w:b/>
        </w:rPr>
      </w:r>
    </w:p>
    <w:p>
      <w:pPr>
        <w:pStyle w:val="Normal"/>
        <w:widowControl w:val="false"/>
        <w:jc w:val="center"/>
        <w:rPr>
          <w:b/>
        </w:rPr>
      </w:pPr>
      <w:r>
        <w:rPr>
          <w:b/>
        </w:rPr>
      </w:r>
    </w:p>
    <w:p>
      <w:pPr>
        <w:pStyle w:val="Normal"/>
        <w:widowControl w:val="false"/>
        <w:jc w:val="center"/>
        <w:rPr>
          <w:b/>
        </w:rPr>
      </w:pPr>
      <w:r>
        <w:rPr>
          <w:b/>
        </w:rPr>
      </w:r>
    </w:p>
    <w:p>
      <w:pPr>
        <w:pStyle w:val="Normal"/>
        <w:widowControl w:val="false"/>
        <w:jc w:val="center"/>
        <w:rPr>
          <w:b/>
        </w:rPr>
      </w:pPr>
      <w:r>
        <w:rPr>
          <w:b/>
        </w:rPr>
      </w:r>
    </w:p>
    <w:p>
      <w:pPr>
        <w:pStyle w:val="ListParagraph"/>
        <w:widowControl w:val="false"/>
        <w:numPr>
          <w:ilvl w:val="0"/>
          <w:numId w:val="3"/>
        </w:numPr>
        <w:jc w:val="center"/>
        <w:rPr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Общие сведения</w:t>
      </w:r>
    </w:p>
    <w:p>
      <w:pPr>
        <w:pStyle w:val="ListParagraph"/>
        <w:widowControl w:val="false"/>
        <w:numPr>
          <w:ilvl w:val="0"/>
          <w:numId w:val="0"/>
        </w:numPr>
        <w:ind w:left="720" w:hanging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ListParagraph"/>
        <w:widowControl w:val="false"/>
        <w:numPr>
          <w:ilvl w:val="1"/>
          <w:numId w:val="3"/>
        </w:numPr>
        <w:ind w:left="0" w:hanging="0"/>
        <w:rPr>
          <w:b/>
        </w:rPr>
      </w:pPr>
      <w:r>
        <w:rPr>
          <w:rFonts w:ascii="Times New Roman" w:hAnsi="Times New Roman"/>
          <w:b/>
          <w:sz w:val="24"/>
          <w:szCs w:val="24"/>
        </w:rPr>
        <w:t>Наименование закупаемой продукции.</w:t>
      </w:r>
    </w:p>
    <w:p>
      <w:pPr>
        <w:pStyle w:val="Normal"/>
        <w:widowControl w:val="false"/>
        <w:rPr/>
      </w:pPr>
      <w:r>
        <w:rPr>
          <w:rFonts w:eastAsia="Calibri"/>
          <w:i/>
          <w:sz w:val="24"/>
          <w:szCs w:val="24"/>
        </w:rPr>
        <w:t>«ОКПД2 [24.44.26.110] Поставка шин медных трубчатых для нужд филиала ПАО «РусГидро» - «Жигулевская ГЭС»» и</w:t>
      </w:r>
      <w:r>
        <w:rPr>
          <w:i/>
        </w:rPr>
        <w:t xml:space="preserve"> (далее – Продукция)».</w:t>
      </w:r>
    </w:p>
    <w:p>
      <w:pPr>
        <w:pStyle w:val="Normal"/>
        <w:widowControl w:val="false"/>
        <w:rPr>
          <w:b/>
        </w:rPr>
      </w:pPr>
      <w:r>
        <w:rPr>
          <w:b/>
        </w:rPr>
      </w:r>
    </w:p>
    <w:p>
      <w:pPr>
        <w:pStyle w:val="ListParagraph"/>
        <w:widowControl w:val="false"/>
        <w:numPr>
          <w:ilvl w:val="1"/>
          <w:numId w:val="3"/>
        </w:numPr>
        <w:ind w:left="0" w:hanging="0"/>
        <w:rPr>
          <w:rFonts w:ascii="Times New Roman" w:hAnsi="Times New Roman"/>
          <w:b/>
          <w:sz w:val="24"/>
          <w:szCs w:val="24"/>
        </w:rPr>
      </w:pPr>
      <w:bookmarkStart w:id="0" w:name="_Toc46743507"/>
      <w:r>
        <w:rPr>
          <w:rFonts w:ascii="Times New Roman" w:hAnsi="Times New Roman"/>
          <w:b/>
          <w:sz w:val="24"/>
          <w:szCs w:val="24"/>
        </w:rPr>
        <w:t xml:space="preserve">Цель </w:t>
      </w:r>
      <w:bookmarkEnd w:id="0"/>
      <w:r>
        <w:rPr>
          <w:rFonts w:ascii="Times New Roman" w:hAnsi="Times New Roman"/>
          <w:b/>
          <w:sz w:val="24"/>
          <w:szCs w:val="24"/>
        </w:rPr>
        <w:t>использования закупаемой продукции.</w:t>
      </w:r>
    </w:p>
    <w:p>
      <w:pPr>
        <w:pStyle w:val="ListParagraph"/>
        <w:widowControl w:val="false"/>
        <w:numPr>
          <w:ilvl w:val="0"/>
          <w:numId w:val="0"/>
        </w:numPr>
        <w:ind w:left="0" w:hanging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ListParagraph"/>
        <w:widowControl w:val="false"/>
        <w:numPr>
          <w:ilvl w:val="0"/>
          <w:numId w:val="0"/>
        </w:numPr>
        <w:ind w:left="0" w:hanging="0"/>
        <w:rPr>
          <w:rFonts w:ascii="Times New Roman" w:hAnsi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kern w:val="0"/>
          <w:sz w:val="24"/>
          <w:szCs w:val="28"/>
          <w:u w:val="none"/>
          <w:em w:val="none"/>
          <w:lang w:val="ru-RU" w:eastAsia="ru-RU" w:bidi="ar-SA"/>
        </w:rPr>
        <w:t>Целью формирования и поддержания АЗ является минимизация ущерба от последствий аварий, повреждений технологического оборудования, за счет сокращения времени обеспечения оборудованием, необходимым для аварийно-восстановительных работ или работ, направленных на предотвращение возможных аварийных отказов.</w:t>
      </w:r>
    </w:p>
    <w:p>
      <w:pPr>
        <w:pStyle w:val="ListParagraph"/>
        <w:widowControl w:val="false"/>
        <w:numPr>
          <w:ilvl w:val="0"/>
          <w:numId w:val="0"/>
        </w:numPr>
        <w:ind w:left="0" w:hanging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ListParagraph"/>
        <w:widowControl w:val="false"/>
        <w:numPr>
          <w:ilvl w:val="1"/>
          <w:numId w:val="3"/>
        </w:numPr>
        <w:ind w:left="0" w:hanging="0"/>
        <w:rPr>
          <w:rFonts w:ascii="Times New Roman" w:hAnsi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auto"/>
          <w:kern w:val="0"/>
          <w:sz w:val="24"/>
          <w:szCs w:val="24"/>
          <w:lang w:val="ru-RU" w:eastAsia="ru-RU" w:bidi="ar-SA"/>
        </w:rPr>
        <w:t>Требования к участнику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240"/>
        <w:jc w:val="both"/>
        <w:rPr>
          <w:color w:val="000000"/>
        </w:rPr>
      </w:pPr>
      <w:r>
        <w:rPr>
          <w:color w:val="000000"/>
          <w:sz w:val="24"/>
          <w:szCs w:val="24"/>
        </w:rPr>
        <w:t>Требования к участнику закупки: отсутствие в реестре недобросовестных поставщиков(подрядчиков) ФАС России.</w:t>
      </w:r>
    </w:p>
    <w:p>
      <w:pPr>
        <w:pStyle w:val="ListParagraph"/>
        <w:widowControl w:val="false"/>
        <w:numPr>
          <w:ilvl w:val="0"/>
          <w:numId w:val="3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Требования к продукции.</w:t>
      </w:r>
    </w:p>
    <w:p>
      <w:pPr>
        <w:pStyle w:val="ListParagraph"/>
        <w:widowControl w:val="false"/>
        <w:numPr>
          <w:ilvl w:val="0"/>
          <w:numId w:val="0"/>
        </w:numPr>
        <w:ind w:left="720" w:hanging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widowControl w:val="false"/>
        <w:ind w:left="709" w:hanging="0"/>
        <w:rPr>
          <w:b/>
        </w:rPr>
      </w:pPr>
      <w:r>
        <w:rPr>
          <w:b/>
        </w:rPr>
        <w:t>2.1.</w:t>
        <w:tab/>
        <w:t>Требования к объемам и срокам поставки</w:t>
      </w:r>
    </w:p>
    <w:p>
      <w:pPr>
        <w:pStyle w:val="ListParagraph"/>
        <w:widowControl w:val="false"/>
        <w:numPr>
          <w:ilvl w:val="0"/>
          <w:numId w:val="0"/>
        </w:numPr>
        <w:spacing w:lineRule="auto" w:line="360"/>
        <w:ind w:left="709" w:hanging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2.1.1.</w:t>
        <w:tab/>
        <w:t>Перечень и объем закупаемой продукции</w:t>
      </w:r>
    </w:p>
    <w:p>
      <w:pPr>
        <w:pStyle w:val="ListParagraph"/>
        <w:widowControl w:val="false"/>
        <w:numPr>
          <w:ilvl w:val="0"/>
          <w:numId w:val="0"/>
        </w:numPr>
        <w:spacing w:lineRule="auto" w:line="360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Таблица 2.1. Перечень и объем закупаемой продукции</w:t>
      </w:r>
    </w:p>
    <w:tbl>
      <w:tblPr>
        <w:tblW w:w="10359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1120"/>
        <w:gridCol w:w="5445"/>
        <w:gridCol w:w="1759"/>
        <w:gridCol w:w="1442"/>
        <w:gridCol w:w="593"/>
      </w:tblGrid>
      <w:tr>
        <w:trPr>
          <w:trHeight w:val="144" w:hRule="atLeast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№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Наименование продукции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Классификатор ОКПД2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Единица измерения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Количество</w:t>
            </w:r>
          </w:p>
        </w:tc>
      </w:tr>
      <w:tr>
        <w:trPr>
          <w:trHeight w:val="144" w:hRule="atLeast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</w:tr>
      <w:tr>
        <w:trPr>
          <w:trHeight w:val="20" w:hRule="atLeast"/>
        </w:trPr>
        <w:tc>
          <w:tcPr>
            <w:tcW w:w="11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4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ru-RU" w:bidi="ar-SA"/>
              </w:rPr>
              <w:t>Шины медные трубчатые твердые, материал Медь М-1, Ф 140</w:t>
            </w: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ru-RU" w:bidi="ar-SA"/>
              </w:rPr>
              <w:t>мм</w:t>
            </w: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ru-RU" w:bidi="ar-SA"/>
              </w:rPr>
              <w:t>*10</w:t>
            </w: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ru-RU" w:bidi="ar-SA"/>
              </w:rPr>
              <w:t>мм</w:t>
            </w: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ru-RU" w:bidi="ar-SA"/>
              </w:rPr>
              <w:t>(4-6м. - шт)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i w:val="false"/>
                <w:i w:val="false"/>
                <w:iCs w:val="false"/>
              </w:rPr>
            </w:pPr>
            <w:r>
              <w:rPr>
                <w:rFonts w:eastAsia="Calibri" w:cs="Times New Roman"/>
                <w:i w:val="false"/>
                <w:i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24.44.26.110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метр</w:t>
            </w:r>
          </w:p>
        </w:tc>
        <w:tc>
          <w:tcPr>
            <w:tcW w:w="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0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50</w:t>
            </w:r>
          </w:p>
        </w:tc>
      </w:tr>
    </w:tbl>
    <w:p>
      <w:pPr>
        <w:pStyle w:val="Normal"/>
        <w:widowControl w:val="false"/>
        <w:jc w:val="both"/>
        <w:rPr>
          <w:b/>
        </w:rPr>
      </w:pPr>
      <w:r>
        <w:rPr>
          <w:b/>
        </w:rPr>
      </w:r>
    </w:p>
    <w:p>
      <w:pPr>
        <w:pStyle w:val="Normal"/>
        <w:widowControl w:val="false"/>
        <w:spacing w:lineRule="auto" w:line="360"/>
        <w:ind w:left="709" w:hanging="0"/>
        <w:rPr>
          <w:b/>
        </w:rPr>
      </w:pPr>
      <w:r>
        <w:rPr>
          <w:b/>
        </w:rPr>
        <w:t>2.1.2.</w:t>
        <w:tab/>
        <w:t>Требования к срокам поставки продукции</w:t>
      </w:r>
    </w:p>
    <w:p>
      <w:pPr>
        <w:pStyle w:val="Normal"/>
        <w:widowControl w:val="false"/>
        <w:spacing w:lineRule="auto" w:line="360"/>
        <w:rPr/>
      </w:pPr>
      <w:r>
        <w:rPr/>
        <w:t>Таблица 2.2. Требования по срокам поставки продукции.</w:t>
      </w:r>
    </w:p>
    <w:tbl>
      <w:tblPr>
        <w:tblW w:w="10485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659"/>
        <w:gridCol w:w="5145"/>
        <w:gridCol w:w="2270"/>
        <w:gridCol w:w="2410"/>
      </w:tblGrid>
      <w:tr>
        <w:trPr/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п/п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продукции / партии продукции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началу срока поставки продукции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57" w:right="57" w:hanging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57" w:right="57" w:hanging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</w:tr>
      <w:tr>
        <w:trPr>
          <w:trHeight w:val="53" w:hRule="atLeast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tabs>
                <w:tab w:val="clear" w:pos="708"/>
                <w:tab w:val="left" w:pos="431" w:leader="none"/>
              </w:tabs>
              <w:suppressAutoHyphens w:val="true"/>
              <w:ind w:left="0" w:right="-114" w:hanging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Продукция указанная в п.п. 1 в Таблице 2.1.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С даты подписания договора (ориентировочно 01.09.2026)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не позднее 7 месяцев с даты подписания договора (плановый срок - 30.03.2027)</w:t>
            </w:r>
          </w:p>
        </w:tc>
      </w:tr>
    </w:tbl>
    <w:p>
      <w:pPr>
        <w:sectPr>
          <w:footerReference w:type="default" r:id="rId2"/>
          <w:type w:val="nextPage"/>
          <w:pgSz w:w="11906" w:h="16838"/>
          <w:pgMar w:left="851" w:right="425" w:gutter="0" w:header="0" w:top="1134" w:footer="709" w:bottom="1134"/>
          <w:pgNumType w:fmt="decimal"/>
          <w:formProt w:val="false"/>
          <w:titlePg/>
          <w:textDirection w:val="lrTb"/>
          <w:docGrid w:type="default" w:linePitch="360" w:charSpace="0"/>
        </w:sectPr>
        <w:pStyle w:val="Normal"/>
        <w:widowControl w:val="false"/>
        <w:numPr>
          <w:ilvl w:val="0"/>
          <w:numId w:val="0"/>
        </w:numPr>
        <w:ind w:left="0" w:hanging="0"/>
        <w:jc w:val="both"/>
        <w:outlineLvl w:val="0"/>
        <w:rPr>
          <w:rFonts w:eastAsia="Calibri"/>
          <w:b/>
        </w:rPr>
      </w:pPr>
      <w:r>
        <w:rPr>
          <w:b/>
          <w:i/>
        </w:rPr>
        <w:t>Поставка осуществляется одной партией</w:t>
      </w:r>
      <w:r>
        <w:rPr>
          <w:rStyle w:val="Style12"/>
          <w:bCs/>
          <w:shd w:fill="auto" w:val="clear"/>
        </w:rPr>
        <w:t>.</w:t>
      </w:r>
    </w:p>
    <w:p>
      <w:pPr>
        <w:pStyle w:val="Normal"/>
        <w:widowControl w:val="false"/>
        <w:spacing w:before="0" w:after="0"/>
        <w:contextualSpacing/>
        <w:rPr>
          <w:rFonts w:eastAsia="Calibri"/>
          <w:lang w:eastAsia="en-US"/>
        </w:rPr>
      </w:pPr>
      <w:bookmarkStart w:id="1" w:name="_Toc75446582"/>
      <w:r>
        <w:rPr>
          <w:rFonts w:eastAsia="Calibri"/>
          <w:b/>
          <w:lang w:eastAsia="en-US"/>
        </w:rPr>
        <w:t xml:space="preserve">2.2. </w:t>
      </w:r>
      <w:r>
        <w:rPr>
          <w:rFonts w:eastAsia="Calibri"/>
          <w:b/>
          <w:color w:val="000000"/>
          <w:lang w:eastAsia="en-US"/>
        </w:rPr>
        <w:t>Требования к кач</w:t>
      </w:r>
      <w:bookmarkEnd w:id="1"/>
      <w:r>
        <w:rPr>
          <w:rFonts w:eastAsia="Calibri"/>
          <w:b/>
          <w:color w:val="000000"/>
          <w:lang w:eastAsia="en-US"/>
        </w:rPr>
        <w:t>еству продукции</w:t>
      </w:r>
    </w:p>
    <w:p>
      <w:pPr>
        <w:pStyle w:val="Normal"/>
        <w:widowControl w:val="false"/>
        <w:spacing w:before="0" w:after="0"/>
        <w:contextualSpacing/>
        <w:rPr>
          <w:rFonts w:eastAsia="Calibri"/>
          <w:lang w:eastAsia="en-US"/>
        </w:rPr>
      </w:pPr>
      <w:r>
        <w:rPr>
          <w:rFonts w:eastAsia="Calibri"/>
          <w:lang w:eastAsia="en-US"/>
        </w:rPr>
        <w:t>Таблица 3. Требования к продукции</w:t>
      </w:r>
    </w:p>
    <w:p>
      <w:pPr>
        <w:pStyle w:val="Normal"/>
        <w:widowControl w:val="false"/>
        <w:spacing w:before="0" w:after="0"/>
        <w:contextualSpacing/>
        <w:rPr>
          <w:rFonts w:eastAsia="Calibri"/>
          <w:sz w:val="32"/>
          <w:lang w:eastAsia="en-US"/>
        </w:rPr>
      </w:pPr>
      <w:r>
        <w:rPr>
          <w:bCs/>
          <w:color w:val="000000"/>
          <w:szCs w:val="20"/>
        </w:rPr>
        <w:t xml:space="preserve">Наименование продукции (позиции № 1  Таблицы 2.1): </w:t>
      </w:r>
      <w:r>
        <w:rPr>
          <w:rFonts w:eastAsia="Calibri"/>
          <w:bCs/>
          <w:i/>
          <w:iCs w:val="false"/>
          <w:color w:val="000000"/>
          <w:sz w:val="24"/>
          <w:szCs w:val="24"/>
          <w:lang w:eastAsia="en-US"/>
        </w:rPr>
        <w:t>«ОКПД2 [24.44.26.110] Поставка шин медных трубчатых для нужд филиала ПАО «РусГидро» - «Жигулевская ГЭС»»</w:t>
      </w:r>
    </w:p>
    <w:tbl>
      <w:tblPr>
        <w:tblW w:w="15195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60"/>
        <w:gridCol w:w="1556"/>
        <w:gridCol w:w="146"/>
        <w:gridCol w:w="3448"/>
        <w:gridCol w:w="3843"/>
        <w:gridCol w:w="1495"/>
        <w:gridCol w:w="7"/>
        <w:gridCol w:w="1979"/>
        <w:gridCol w:w="21"/>
        <w:gridCol w:w="2109"/>
        <w:gridCol w:w="30"/>
      </w:tblGrid>
      <w:tr>
        <w:trPr>
          <w:trHeight w:val="53" w:hRule="atLeast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№ </w:t>
            </w:r>
            <w:r>
              <w:rPr>
                <w:rFonts w:eastAsia="Calibri"/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Наименование продукции</w:t>
            </w:r>
          </w:p>
        </w:tc>
        <w:tc>
          <w:tcPr>
            <w:tcW w:w="35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Наименование параметра</w:t>
            </w:r>
          </w:p>
        </w:tc>
        <w:tc>
          <w:tcPr>
            <w:tcW w:w="3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Требование заказчика</w:t>
            </w:r>
          </w:p>
        </w:tc>
        <w:tc>
          <w:tcPr>
            <w:tcW w:w="15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Соответствие стандартам</w:t>
            </w:r>
          </w:p>
        </w:tc>
        <w:tc>
          <w:tcPr>
            <w:tcW w:w="41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Способ подтверждения участником соответствия требованиям</w:t>
            </w:r>
          </w:p>
        </w:tc>
      </w:tr>
      <w:tr>
        <w:trPr>
          <w:trHeight w:val="53" w:hRule="atLeast"/>
        </w:trPr>
        <w:tc>
          <w:tcPr>
            <w:tcW w:w="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59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8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0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Согласие с требованием/ указание характеристик</w:t>
            </w:r>
          </w:p>
        </w:tc>
        <w:tc>
          <w:tcPr>
            <w:tcW w:w="2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Предоставление подтверждающего документа или иной способ подтверждения</w:t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-109" w:right="-113" w:hanging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1</w:t>
            </w:r>
          </w:p>
        </w:tc>
        <w:tc>
          <w:tcPr>
            <w:tcW w:w="104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21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-109" w:right="-113" w:hanging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Cs/>
                <w:color w:val="000000"/>
                <w:sz w:val="20"/>
              </w:rPr>
            </w:pPr>
            <w:r>
              <w:rPr>
                <w:sz w:val="20"/>
                <w:szCs w:val="20"/>
              </w:rPr>
              <w:t>Место поставки</w:t>
            </w:r>
          </w:p>
        </w:tc>
        <w:tc>
          <w:tcPr>
            <w:tcW w:w="87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Cs/>
                <w:color w:val="000000"/>
                <w:sz w:val="20"/>
              </w:rPr>
            </w:pPr>
            <w:r>
              <w:rPr>
                <w:color w:val="000000"/>
                <w:sz w:val="20"/>
                <w:szCs w:val="20"/>
              </w:rPr>
              <w:t>Российская Федерация, 445350, Самарская область, город Жигулевск, Московское шоссе, дом 2, территория Жигулевская ГЭС</w:t>
            </w:r>
          </w:p>
        </w:tc>
        <w:tc>
          <w:tcPr>
            <w:tcW w:w="198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1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-109" w:right="-113" w:hanging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Cs/>
                <w:color w:val="000000"/>
                <w:sz w:val="20"/>
              </w:rPr>
            </w:pPr>
            <w:r>
              <w:rPr>
                <w:sz w:val="20"/>
                <w:szCs w:val="20"/>
              </w:rPr>
              <w:t>Приемка продукции</w:t>
            </w:r>
          </w:p>
        </w:tc>
        <w:tc>
          <w:tcPr>
            <w:tcW w:w="87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Cs/>
                <w:color w:val="000000"/>
                <w:sz w:val="20"/>
              </w:rPr>
            </w:pPr>
            <w:r>
              <w:rPr>
                <w:sz w:val="20"/>
                <w:szCs w:val="20"/>
              </w:rPr>
              <w:t>Только в рабочие дни с 9-00 до 11-00 и с 14-00 до 16-00</w:t>
            </w:r>
            <w:r>
              <w:rPr>
                <w:b/>
                <w:bCs/>
                <w:color w:val="000000"/>
                <w:sz w:val="20"/>
                <w:szCs w:val="20"/>
              </w:rPr>
              <w:t>. Заезд на территорию Жигулевской ГЭС осуществляется без попутного груза. Разгрузка осуществляется за счет Поставщика.</w:t>
            </w:r>
          </w:p>
        </w:tc>
        <w:tc>
          <w:tcPr>
            <w:tcW w:w="198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1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60" w:hRule="atLeast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-109" w:right="-113" w:hanging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Cs/>
                <w:color w:val="000000"/>
                <w:sz w:val="20"/>
              </w:rPr>
            </w:pPr>
            <w:r>
              <w:rPr>
                <w:rFonts w:eastAsia="Calibri"/>
                <w:sz w:val="20"/>
              </w:rPr>
              <w:t>Допуск на территорию</w:t>
            </w:r>
          </w:p>
        </w:tc>
        <w:tc>
          <w:tcPr>
            <w:tcW w:w="87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both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Информация о транспорте (марка, гос.номер), на котором осуществляется доставка, а также ФИО и номер водительского удостоверения водителя и сопровождающих лиц (при наличии) для оформления допуска на территорию предоставляется не позднее предыдущего рабочего дня до прибытия транспорта, до 15.00.</w:t>
            </w:r>
          </w:p>
        </w:tc>
        <w:tc>
          <w:tcPr>
            <w:tcW w:w="198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1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-109" w:right="-113" w:hanging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104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Cs/>
                <w:color w:val="000000"/>
                <w:sz w:val="20"/>
              </w:rPr>
            </w:pPr>
            <w:r>
              <w:rPr>
                <w:b/>
                <w:sz w:val="20"/>
                <w:szCs w:val="20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21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-109" w:right="-113" w:hanging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sz w:val="20"/>
                <w:szCs w:val="20"/>
              </w:rPr>
              <w:t>Сроки гарантии</w:t>
            </w:r>
          </w:p>
        </w:tc>
        <w:tc>
          <w:tcPr>
            <w:tcW w:w="87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Cs/>
                <w:color w:val="000000"/>
                <w:sz w:val="20"/>
              </w:rPr>
            </w:pPr>
            <w:r>
              <w:rPr>
                <w:sz w:val="20"/>
                <w:szCs w:val="20"/>
              </w:rPr>
              <w:t>Не менее 12 месяцев с даты подписания сторонами ТОРГ-12 (УПД), но не менее гарантии завода изготовителя.</w:t>
            </w:r>
          </w:p>
        </w:tc>
        <w:tc>
          <w:tcPr>
            <w:tcW w:w="198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1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-109" w:right="-113" w:hanging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104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Cs/>
                <w:color w:val="000000"/>
                <w:sz w:val="20"/>
              </w:rPr>
            </w:pPr>
            <w:r>
              <w:rPr>
                <w:b/>
                <w:sz w:val="20"/>
                <w:szCs w:val="20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21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-109" w:right="-113" w:hanging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sz w:val="20"/>
                <w:szCs w:val="20"/>
              </w:rPr>
              <w:t>Документы, передаваемые вместе с продукцией</w:t>
            </w:r>
          </w:p>
        </w:tc>
        <w:tc>
          <w:tcPr>
            <w:tcW w:w="87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Поставщик обязан одновременно с передачей продукции передать Покупателю относящиеся к нему документы, оформленные надлежащим образом:</w:t>
            </w:r>
          </w:p>
          <w:p>
            <w:pPr>
              <w:pStyle w:val="ListParagraph"/>
              <w:widowControl w:val="false"/>
              <w:numPr>
                <w:ilvl w:val="0"/>
                <w:numId w:val="4"/>
              </w:numPr>
              <w:tabs>
                <w:tab w:val="clear" w:pos="708"/>
                <w:tab w:val="left" w:pos="314" w:leader="none"/>
              </w:tabs>
              <w:ind w:left="32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сертификаты качества;</w:t>
            </w:r>
          </w:p>
          <w:p>
            <w:pPr>
              <w:pStyle w:val="ListParagraph"/>
              <w:widowControl w:val="false"/>
              <w:numPr>
                <w:ilvl w:val="0"/>
                <w:numId w:val="4"/>
              </w:numPr>
              <w:tabs>
                <w:tab w:val="clear" w:pos="708"/>
                <w:tab w:val="left" w:pos="314" w:leader="none"/>
              </w:tabs>
              <w:ind w:left="32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сертификат соответствия техническому регламенту Таможенного союза «О безопасности низковольтного оборудования» (ТР ТС 004/2011)</w:t>
            </w:r>
          </w:p>
          <w:p>
            <w:pPr>
              <w:pStyle w:val="ListParagraph"/>
              <w:widowControl w:val="false"/>
              <w:numPr>
                <w:ilvl w:val="0"/>
                <w:numId w:val="4"/>
              </w:numPr>
              <w:tabs>
                <w:tab w:val="clear" w:pos="708"/>
                <w:tab w:val="left" w:pos="314" w:leader="none"/>
              </w:tabs>
              <w:ind w:left="32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технические паспорта;</w:t>
            </w:r>
          </w:p>
          <w:p>
            <w:pPr>
              <w:pStyle w:val="ListParagraph"/>
              <w:widowControl w:val="false"/>
              <w:numPr>
                <w:ilvl w:val="0"/>
                <w:numId w:val="4"/>
              </w:numPr>
              <w:tabs>
                <w:tab w:val="clear" w:pos="708"/>
                <w:tab w:val="left" w:pos="314" w:leader="none"/>
              </w:tabs>
              <w:ind w:left="320" w:hanging="0"/>
              <w:rPr>
                <w:b/>
                <w:bCs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товарную накладную унифицированной формы ТОРГ-12(УПД) в 2 экз.</w:t>
            </w:r>
          </w:p>
        </w:tc>
        <w:tc>
          <w:tcPr>
            <w:tcW w:w="198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1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-109" w:right="-113" w:hanging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104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Cs/>
                <w:color w:val="000000"/>
                <w:sz w:val="20"/>
              </w:rPr>
            </w:pPr>
            <w:r>
              <w:rPr>
                <w:b/>
                <w:sz w:val="20"/>
                <w:szCs w:val="20"/>
              </w:rPr>
              <w:t>Прочие (дополнительные) требования к продукции</w:t>
            </w: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21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</w:r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-109" w:right="-113" w:hanging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4.1.</w:t>
            </w:r>
          </w:p>
        </w:tc>
        <w:tc>
          <w:tcPr>
            <w:tcW w:w="104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Cs/>
                <w:color w:val="000000"/>
                <w:sz w:val="20"/>
              </w:rPr>
            </w:pPr>
            <w:r>
              <w:rPr>
                <w:sz w:val="20"/>
                <w:szCs w:val="20"/>
              </w:rPr>
              <w:t>Продукция должна быть новой, ранее не использовавшейся</w:t>
            </w:r>
          </w:p>
        </w:tc>
        <w:tc>
          <w:tcPr>
            <w:tcW w:w="198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1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-109" w:right="-113" w:hanging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4.2.</w:t>
            </w:r>
          </w:p>
        </w:tc>
        <w:tc>
          <w:tcPr>
            <w:tcW w:w="104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Cs/>
                <w:color w:val="000000"/>
                <w:sz w:val="20"/>
              </w:rPr>
            </w:pPr>
            <w:r>
              <w:rPr>
                <w:sz w:val="20"/>
                <w:szCs w:val="20"/>
              </w:rPr>
              <w:t>Продукция должна соответствовать обязательным требованиям, установленными нормативными документами, действующими в РФ. Продукция обязательно должна быть укомплектована документами, удостоверяющими качество продукции и гарантийные обязательства производителя, выданными производителем продукции, а также документами, выполнение требований которых является условием выполнения гарантийных обязательств производителя.</w:t>
            </w:r>
          </w:p>
        </w:tc>
        <w:tc>
          <w:tcPr>
            <w:tcW w:w="198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13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p>
      <w:pPr>
        <w:pStyle w:val="Normal"/>
        <w:widowControl w:val="false"/>
        <w:numPr>
          <w:ilvl w:val="0"/>
          <w:numId w:val="0"/>
        </w:numPr>
        <w:spacing w:before="120" w:after="60"/>
        <w:ind w:left="357" w:hanging="357"/>
        <w:jc w:val="center"/>
        <w:outlineLvl w:val="0"/>
        <w:rPr/>
      </w:pPr>
      <w:r>
        <w:rPr/>
      </w:r>
    </w:p>
    <w:sectPr>
      <w:footerReference w:type="default" r:id="rId3"/>
      <w:footerReference w:type="first" r:id="rId4"/>
      <w:type w:val="nextPage"/>
      <w:pgSz w:orient="landscape" w:w="16838" w:h="11906"/>
      <w:pgMar w:left="1134" w:right="1134" w:gutter="0" w:header="0" w:top="851" w:footer="709" w:bottom="76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Symbol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OST Type BU">
    <w:charset w:val="01"/>
    <w:family w:val="auto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t xml:space="preserve">Страница </w:t>
    </w:r>
    <w:r>
      <w:rPr>
        <w:b/>
        <w:bCs/>
        <w:sz w:val="24"/>
        <w:szCs w:val="24"/>
      </w:rPr>
      <w:fldChar w:fldCharType="begin"/>
    </w:r>
    <w:r>
      <w:rPr>
        <w:sz w:val="24"/>
        <w:b/>
        <w:szCs w:val="24"/>
        <w:bCs/>
      </w:rPr>
      <w:instrText xml:space="preserve"> PAGE </w:instrText>
    </w:r>
    <w:r>
      <w:rPr>
        <w:sz w:val="24"/>
        <w:b/>
        <w:szCs w:val="24"/>
        <w:bCs/>
      </w:rPr>
      <w:fldChar w:fldCharType="separate"/>
    </w:r>
    <w:r>
      <w:rPr>
        <w:sz w:val="24"/>
        <w:b/>
        <w:szCs w:val="24"/>
        <w:bCs/>
      </w:rPr>
      <w:t>2</w:t>
    </w:r>
    <w:r>
      <w:rPr>
        <w:sz w:val="24"/>
        <w:b/>
        <w:szCs w:val="24"/>
        <w:bCs/>
      </w:rPr>
      <w:fldChar w:fldCharType="end"/>
    </w:r>
    <w:r>
      <w:rPr/>
      <w:t xml:space="preserve"> из </w:t>
    </w:r>
    <w:r>
      <w:rPr>
        <w:b/>
        <w:bCs/>
        <w:sz w:val="24"/>
        <w:szCs w:val="24"/>
      </w:rPr>
      <w:fldChar w:fldCharType="begin"/>
    </w:r>
    <w:r>
      <w:rPr>
        <w:sz w:val="24"/>
        <w:b/>
        <w:szCs w:val="24"/>
        <w:bCs/>
      </w:rPr>
      <w:instrText xml:space="preserve"> NUMPAGES </w:instrText>
    </w:r>
    <w:r>
      <w:rPr>
        <w:sz w:val="24"/>
        <w:b/>
        <w:szCs w:val="24"/>
        <w:bCs/>
      </w:rPr>
      <w:fldChar w:fldCharType="separate"/>
    </w:r>
    <w:r>
      <w:rPr>
        <w:sz w:val="24"/>
        <w:b/>
        <w:szCs w:val="24"/>
        <w:bCs/>
      </w:rPr>
      <w:t>3</w:t>
    </w:r>
    <w:r>
      <w:rPr>
        <w:sz w:val="24"/>
        <w:b/>
        <w:szCs w:val="24"/>
        <w:bCs/>
      </w:rPr>
      <w:fldChar w:fldCharType="end"/>
    </w:r>
  </w:p>
  <w:p>
    <w:pPr>
      <w:pStyle w:val="Footer"/>
      <w:rPr>
        <w:sz w:val="24"/>
        <w:szCs w:val="24"/>
      </w:rPr>
    </w:pPr>
    <w:r>
      <w:rPr>
        <w:sz w:val="24"/>
        <w:szCs w:val="24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t xml:space="preserve">Страница </w:t>
    </w:r>
    <w:r>
      <w:rPr>
        <w:b/>
        <w:bCs/>
        <w:sz w:val="24"/>
        <w:szCs w:val="24"/>
      </w:rPr>
      <w:fldChar w:fldCharType="begin"/>
    </w:r>
    <w:r>
      <w:rPr>
        <w:sz w:val="24"/>
        <w:b/>
        <w:szCs w:val="24"/>
        <w:bCs/>
      </w:rPr>
      <w:instrText xml:space="preserve"> PAGE </w:instrText>
    </w:r>
    <w:r>
      <w:rPr>
        <w:sz w:val="24"/>
        <w:b/>
        <w:szCs w:val="24"/>
        <w:bCs/>
      </w:rPr>
      <w:fldChar w:fldCharType="separate"/>
    </w:r>
    <w:r>
      <w:rPr>
        <w:sz w:val="24"/>
        <w:b/>
        <w:szCs w:val="24"/>
        <w:bCs/>
      </w:rPr>
      <w:t>3</w:t>
    </w:r>
    <w:r>
      <w:rPr>
        <w:sz w:val="24"/>
        <w:b/>
        <w:szCs w:val="24"/>
        <w:bCs/>
      </w:rPr>
      <w:fldChar w:fldCharType="end"/>
    </w:r>
    <w:r>
      <w:rPr/>
      <w:t xml:space="preserve"> из </w:t>
    </w:r>
    <w:r>
      <w:rPr>
        <w:b/>
        <w:bCs/>
        <w:sz w:val="24"/>
        <w:szCs w:val="24"/>
      </w:rPr>
      <w:fldChar w:fldCharType="begin"/>
    </w:r>
    <w:r>
      <w:rPr>
        <w:sz w:val="24"/>
        <w:b/>
        <w:szCs w:val="24"/>
        <w:bCs/>
      </w:rPr>
      <w:instrText xml:space="preserve"> NUMPAGES </w:instrText>
    </w:r>
    <w:r>
      <w:rPr>
        <w:sz w:val="24"/>
        <w:b/>
        <w:szCs w:val="24"/>
        <w:bCs/>
      </w:rPr>
      <w:fldChar w:fldCharType="separate"/>
    </w:r>
    <w:r>
      <w:rPr>
        <w:sz w:val="24"/>
        <w:b/>
        <w:szCs w:val="24"/>
        <w:bCs/>
      </w:rPr>
      <w:t>3</w:t>
    </w:r>
    <w:r>
      <w:rPr>
        <w:sz w:val="24"/>
        <w:b/>
        <w:szCs w:val="24"/>
        <w:bCs/>
      </w:rPr>
      <w:fldChar w:fldCharType="end"/>
    </w:r>
  </w:p>
  <w:p>
    <w:pPr>
      <w:pStyle w:val="Footer"/>
      <w:rPr>
        <w:sz w:val="24"/>
        <w:szCs w:val="24"/>
      </w:rPr>
    </w:pPr>
    <w:r>
      <w:rPr>
        <w:sz w:val="24"/>
        <w:szCs w:val="24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GOST Type BU" w:hAnsi="GOST Type BU" w:cs="GOST Type BU" w:hint="default"/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color w:val="0000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b/>
        <w:szCs w:val="24"/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sz w:val="24"/>
        <w:szCs w:val="24"/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/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lvlText w:val="1.%1."/>
      <w:lvlJc w:val="left"/>
      <w:pPr>
        <w:tabs>
          <w:tab w:val="num" w:pos="0"/>
        </w:tabs>
        <w:ind w:left="527" w:hanging="360"/>
      </w:pPr>
      <w:rPr>
        <w:sz w:val="22"/>
        <w:u w:val="none"/>
        <w:szCs w:val="24"/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fals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pPr>
      <w:keepNext w:val="true"/>
      <w:outlineLvl w:val="0"/>
    </w:pPr>
    <w:rPr>
      <w:sz w:val="28"/>
      <w:szCs w:val="20"/>
      <w:lang w:eastAsia="en-US"/>
    </w:rPr>
  </w:style>
  <w:style w:type="paragraph" w:styleId="Heading2">
    <w:name w:val="Heading 2"/>
    <w:basedOn w:val="Normal"/>
    <w:next w:val="Normal"/>
    <w:link w:val="2"/>
    <w:qFormat/>
    <w:pPr>
      <w:keepNext w:val="true"/>
      <w:jc w:val="center"/>
      <w:outlineLvl w:val="1"/>
    </w:pPr>
    <w:rPr>
      <w:sz w:val="28"/>
      <w:szCs w:val="20"/>
      <w:lang w:val="en-US" w:eastAsia="en-US"/>
    </w:rPr>
  </w:style>
  <w:style w:type="paragraph" w:styleId="Heading4">
    <w:name w:val="Heading 4"/>
    <w:basedOn w:val="Normal"/>
    <w:next w:val="Normal"/>
    <w:link w:val="4"/>
    <w:qFormat/>
    <w:pPr>
      <w:keepNext w:val="true"/>
      <w:keepLines/>
      <w:spacing w:before="40" w:after="0"/>
      <w:outlineLvl w:val="3"/>
    </w:pPr>
    <w:rPr>
      <w:rFonts w:ascii="Cambria" w:hAnsi="Cambria"/>
      <w:i/>
      <w:iCs/>
      <w:color w:val="365F9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6" w:customStyle="1">
    <w:name w:val="Текст выноски Знак"/>
    <w:link w:val="BalloonText"/>
    <w:qFormat/>
    <w:rPr>
      <w:rFonts w:ascii="Tahoma" w:hAnsi="Tahoma" w:eastAsia="Times New Roman" w:cs="Tahoma"/>
      <w:sz w:val="16"/>
      <w:szCs w:val="16"/>
      <w:lang w:eastAsia="ru-RU"/>
    </w:rPr>
  </w:style>
  <w:style w:type="character" w:styleId="1" w:customStyle="1">
    <w:name w:val="Заголовок 1 Знак"/>
    <w:qFormat/>
    <w:rPr>
      <w:rFonts w:ascii="Times New Roman" w:hAnsi="Times New Roman" w:eastAsia="Times New Roman" w:cs="Times New Roman"/>
      <w:sz w:val="28"/>
      <w:szCs w:val="20"/>
    </w:rPr>
  </w:style>
  <w:style w:type="character" w:styleId="2" w:customStyle="1">
    <w:name w:val="Заголовок 2 Знак"/>
    <w:qFormat/>
    <w:rPr>
      <w:rFonts w:ascii="Times New Roman" w:hAnsi="Times New Roman" w:eastAsia="Times New Roman" w:cs="Times New Roman"/>
      <w:sz w:val="28"/>
      <w:szCs w:val="20"/>
      <w:lang w:val="en-US"/>
    </w:rPr>
  </w:style>
  <w:style w:type="character" w:styleId="Hyperlink">
    <w:name w:val="Hyperlink"/>
    <w:rPr>
      <w:color w:val="0000FF"/>
      <w:u w:val="single"/>
    </w:rPr>
  </w:style>
  <w:style w:type="character" w:styleId="Apple-converted-space" w:customStyle="1">
    <w:name w:val="apple-converted-space"/>
    <w:basedOn w:val="DefaultParagraphFont"/>
    <w:qFormat/>
    <w:rPr/>
  </w:style>
  <w:style w:type="character" w:styleId="4" w:customStyle="1">
    <w:name w:val="Заголовок 4 Знак"/>
    <w:qFormat/>
    <w:rPr>
      <w:rFonts w:ascii="Cambria" w:hAnsi="Cambria" w:eastAsia="Times New Roman" w:cs="Times New Roman"/>
      <w:i/>
      <w:iCs/>
      <w:color w:val="365F91"/>
      <w:sz w:val="24"/>
      <w:szCs w:val="24"/>
      <w:lang w:eastAsia="ru-RU"/>
    </w:rPr>
  </w:style>
  <w:style w:type="character" w:styleId="Style7" w:customStyle="1">
    <w:name w:val="Основной текст_"/>
    <w:link w:val="12"/>
    <w:qFormat/>
    <w:rPr>
      <w:rFonts w:cs="Times New Roman"/>
      <w:sz w:val="28"/>
      <w:szCs w:val="28"/>
      <w:shd w:fill="FFFFFF" w:val="clear"/>
    </w:rPr>
  </w:style>
  <w:style w:type="character" w:styleId="Style8" w:customStyle="1">
    <w:name w:val="Основной текст + Малые прописные"/>
    <w:qFormat/>
    <w:rPr>
      <w:rFonts w:ascii="Times New Roman" w:hAnsi="Times New Roman" w:cs="Times New Roman"/>
      <w:smallCaps/>
      <w:color w:val="000000"/>
      <w:spacing w:val="0"/>
      <w:w w:val="100"/>
      <w:sz w:val="28"/>
      <w:szCs w:val="28"/>
      <w:u w:val="none"/>
      <w:lang w:val="ru-RU" w:bidi="ar-SA"/>
    </w:rPr>
  </w:style>
  <w:style w:type="character" w:styleId="Jss379" w:customStyle="1">
    <w:name w:val="jss379"/>
    <w:basedOn w:val="DefaultParagraphFont"/>
    <w:qFormat/>
    <w:rPr/>
  </w:style>
  <w:style w:type="character" w:styleId="Jss368" w:customStyle="1">
    <w:name w:val="jss368"/>
    <w:basedOn w:val="DefaultParagraphFont"/>
    <w:qFormat/>
    <w:rPr/>
  </w:style>
  <w:style w:type="character" w:styleId="Jss416" w:customStyle="1">
    <w:name w:val="jss416"/>
    <w:basedOn w:val="DefaultParagraphFont"/>
    <w:qFormat/>
    <w:rPr/>
  </w:style>
  <w:style w:type="character" w:styleId="Jss398" w:customStyle="1">
    <w:name w:val="jss398"/>
    <w:basedOn w:val="DefaultParagraphFont"/>
    <w:qFormat/>
    <w:rPr/>
  </w:style>
  <w:style w:type="character" w:styleId="Jss981" w:customStyle="1">
    <w:name w:val="jss981"/>
    <w:basedOn w:val="DefaultParagraphFont"/>
    <w:qFormat/>
    <w:rPr/>
  </w:style>
  <w:style w:type="character" w:styleId="Jss387" w:customStyle="1">
    <w:name w:val="jss387"/>
    <w:basedOn w:val="DefaultParagraphFont"/>
    <w:qFormat/>
    <w:rPr/>
  </w:style>
  <w:style w:type="character" w:styleId="Ff-dinpro" w:customStyle="1">
    <w:name w:val="ff-dinpro"/>
    <w:basedOn w:val="DefaultParagraphFont"/>
    <w:qFormat/>
    <w:rPr/>
  </w:style>
  <w:style w:type="character" w:styleId="Jss637" w:customStyle="1">
    <w:name w:val="jss637"/>
    <w:basedOn w:val="DefaultParagraphFont"/>
    <w:qFormat/>
    <w:rPr/>
  </w:style>
  <w:style w:type="character" w:styleId="Jss382" w:customStyle="1">
    <w:name w:val="jss382"/>
    <w:basedOn w:val="DefaultParagraphFont"/>
    <w:qFormat/>
    <w:rPr/>
  </w:style>
  <w:style w:type="character" w:styleId="Typography" w:customStyle="1">
    <w:name w:val="typography"/>
    <w:basedOn w:val="DefaultParagraphFont"/>
    <w:qFormat/>
    <w:rPr/>
  </w:style>
  <w:style w:type="character" w:styleId="Style9" w:customStyle="1">
    <w:name w:val="Абзац списка Знак"/>
    <w:link w:val="ListParagraph"/>
    <w:qFormat/>
    <w:rPr>
      <w:rFonts w:ascii="Symbol" w:hAnsi="Symbol" w:eastAsia="Times New Roman" w:cs="Times New Roman"/>
      <w:sz w:val="26"/>
      <w:szCs w:val="26"/>
      <w:lang w:eastAsia="ru-RU"/>
    </w:rPr>
  </w:style>
  <w:style w:type="character" w:styleId="Style10" w:customStyle="1">
    <w:name w:val="Нижний колонтитул Знак"/>
    <w:qFormat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11" w:customStyle="1">
    <w:name w:val="Нижний колонтитул Знак1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1" w:customStyle="1">
    <w:name w:val="Верхний колонтитул Знак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Info-blockchars-list-item-value" w:customStyle="1">
    <w:name w:val="info-block__chars-list-item-value"/>
    <w:basedOn w:val="DefaultParagraphFont"/>
    <w:qFormat/>
    <w:rPr/>
  </w:style>
  <w:style w:type="character" w:styleId="Style12" w:customStyle="1">
    <w:name w:val="комментарий"/>
    <w:qFormat/>
    <w:rPr>
      <w:b/>
      <w:i/>
      <w:shd w:fill="FFFF99" w:val="clear"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Style13" w:customStyle="1">
    <w:name w:val="Текст примечания Знак"/>
    <w:link w:val="Annotationtext"/>
    <w:qFormat/>
    <w:rPr>
      <w:rFonts w:ascii="Times New Roman" w:hAnsi="Times New Roman" w:eastAsia="Times New Roman"/>
    </w:rPr>
  </w:style>
  <w:style w:type="character" w:styleId="Style14" w:customStyle="1">
    <w:name w:val="Тема примечания Знак"/>
    <w:link w:val="Annotationsubject"/>
    <w:qFormat/>
    <w:rPr>
      <w:rFonts w:ascii="Times New Roman" w:hAnsi="Times New Roman" w:eastAsia="Times New Roman"/>
      <w:b/>
      <w:bCs/>
    </w:rPr>
  </w:style>
  <w:style w:type="character" w:styleId="Style15" w:customStyle="1">
    <w:name w:val="Маркеры"/>
    <w:qFormat/>
    <w:rPr>
      <w:rFonts w:ascii="OpenSymbol" w:hAnsi="OpenSymbol" w:eastAsia="OpenSymbol" w:cs="OpenSymbol"/>
    </w:rPr>
  </w:style>
  <w:style w:type="character" w:styleId="Style16" w:customStyle="1">
    <w:name w:val="Символ нумерации"/>
    <w:qFormat/>
    <w:rPr>
      <w:rFonts w:ascii="Times New Roman" w:hAnsi="Times New Roman"/>
    </w:rPr>
  </w:style>
  <w:style w:type="character" w:styleId="Strong">
    <w:name w:val="Strong"/>
    <w:qFormat/>
    <w:rPr>
      <w:b/>
      <w:bCs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ListParagraph">
    <w:name w:val="List Paragraph"/>
    <w:basedOn w:val="Normal"/>
    <w:link w:val="Style9"/>
    <w:qFormat/>
    <w:pPr>
      <w:numPr>
        <w:ilvl w:val="0"/>
        <w:numId w:val="2"/>
      </w:numPr>
      <w:spacing w:before="0" w:after="0"/>
      <w:contextualSpacing/>
      <w:jc w:val="both"/>
    </w:pPr>
    <w:rPr>
      <w:rFonts w:ascii="Symbol" w:hAnsi="Symbol"/>
      <w:sz w:val="26"/>
      <w:szCs w:val="26"/>
    </w:rPr>
  </w:style>
  <w:style w:type="paragraph" w:styleId="BalloonText">
    <w:name w:val="Balloon Text"/>
    <w:basedOn w:val="Normal"/>
    <w:link w:val="Style6"/>
    <w:qFormat/>
    <w:pPr/>
    <w:rPr>
      <w:rFonts w:ascii="Tahoma" w:hAnsi="Tahoma" w:cs="Tahoma"/>
      <w:sz w:val="16"/>
      <w:szCs w:val="16"/>
    </w:rPr>
  </w:style>
  <w:style w:type="paragraph" w:styleId="12" w:customStyle="1">
    <w:name w:val="Основной текст1"/>
    <w:basedOn w:val="Normal"/>
    <w:link w:val="Style7"/>
    <w:qFormat/>
    <w:pPr>
      <w:widowControl w:val="false"/>
      <w:shd w:val="clear" w:color="auto" w:fill="FFFFFF"/>
      <w:spacing w:lineRule="exact" w:line="302"/>
    </w:pPr>
    <w:rPr>
      <w:rFonts w:ascii="Calibri" w:hAnsi="Calibri" w:eastAsia="Calibri"/>
      <w:sz w:val="28"/>
      <w:szCs w:val="28"/>
      <w:lang w:eastAsia="en-US"/>
    </w:rPr>
  </w:style>
  <w:style w:type="paragraph" w:styleId="Jss384" w:customStyle="1">
    <w:name w:val="jss384"/>
    <w:basedOn w:val="Normal"/>
    <w:qFormat/>
    <w:pPr>
      <w:spacing w:before="280" w:after="280"/>
    </w:pPr>
    <w:rPr/>
  </w:style>
  <w:style w:type="paragraph" w:styleId="Jss373" w:customStyle="1">
    <w:name w:val="jss373"/>
    <w:basedOn w:val="Normal"/>
    <w:qFormat/>
    <w:pPr>
      <w:spacing w:before="280" w:after="280"/>
    </w:pPr>
    <w:rPr/>
  </w:style>
  <w:style w:type="paragraph" w:styleId="Jss403" w:customStyle="1">
    <w:name w:val="jss403"/>
    <w:basedOn w:val="Normal"/>
    <w:qFormat/>
    <w:pPr>
      <w:spacing w:before="280" w:after="280"/>
    </w:pPr>
    <w:rPr/>
  </w:style>
  <w:style w:type="paragraph" w:styleId="Jss986" w:customStyle="1">
    <w:name w:val="jss986"/>
    <w:basedOn w:val="Normal"/>
    <w:qFormat/>
    <w:pPr>
      <w:spacing w:before="280" w:after="280"/>
    </w:pPr>
    <w:rPr/>
  </w:style>
  <w:style w:type="paragraph" w:styleId="Style19" w:customStyle="1">
    <w:name w:val="Колонтитул"/>
    <w:basedOn w:val="Normal"/>
    <w:qFormat/>
    <w:pPr/>
    <w:rPr/>
  </w:style>
  <w:style w:type="paragraph" w:styleId="Footer">
    <w:name w:val="Footer"/>
    <w:basedOn w:val="Normal"/>
    <w:link w:val="Style10"/>
    <w:pPr>
      <w:tabs>
        <w:tab w:val="clear" w:pos="708"/>
        <w:tab w:val="center" w:pos="4677" w:leader="none"/>
        <w:tab w:val="right" w:pos="9355" w:leader="none"/>
      </w:tabs>
      <w:suppressAutoHyphens w:val="true"/>
    </w:pPr>
    <w:rPr>
      <w:sz w:val="28"/>
      <w:szCs w:val="28"/>
    </w:rPr>
  </w:style>
  <w:style w:type="paragraph" w:styleId="Header">
    <w:name w:val="Header"/>
    <w:basedOn w:val="Normal"/>
    <w:link w:val="Style11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link w:val="Style13"/>
    <w:qFormat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4"/>
    <w:qFormat/>
    <w:pPr/>
    <w:rPr>
      <w:b/>
      <w:bCs/>
    </w:rPr>
  </w:style>
  <w:style w:type="paragraph" w:styleId="Msonormalmrcssattr" w:customStyle="1">
    <w:name w:val="msonormalmrcssattr"/>
    <w:basedOn w:val="Normal"/>
    <w:qFormat/>
    <w:pPr>
      <w:spacing w:before="280" w:after="280"/>
    </w:pPr>
    <w:rPr>
      <w:rFonts w:eastAsia="Calibri"/>
    </w:rPr>
  </w:style>
  <w:style w:type="paragraph" w:styleId="Style20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21" w:customStyle="1">
    <w:name w:val="Заголовок таблицы"/>
    <w:basedOn w:val="Style20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6728413151" w:customStyle="1">
    <w:name w:val="6728413151"/>
    <w:qFormat/>
  </w:style>
  <w:style w:type="numbering" w:styleId="32536027041" w:customStyle="1">
    <w:name w:val="32536027041"/>
    <w:qFormat/>
  </w:style>
  <w:style w:type="numbering" w:styleId="23312454041" w:customStyle="1">
    <w:name w:val="23312454041"/>
    <w:qFormat/>
  </w:style>
  <w:style w:type="numbering" w:styleId="2007016761" w:customStyle="1">
    <w:name w:val="2007016761"/>
    <w:qFormat/>
  </w:style>
  <w:style w:type="numbering" w:styleId="16681111651">
    <w:name w:val="16681111651"/>
    <w:qFormat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Application>AlterOffice/2025.3.0.0$Linux_X86_64 LibreOffice_project/4ba31b6a4271509a884f95065d0a726e9cb2bdbb</Application>
  <AppVersion>15.0000</AppVersion>
  <Pages>3</Pages>
  <Words>525</Words>
  <Characters>3639</Characters>
  <CharactersWithSpaces>4066</CharactersWithSpaces>
  <Paragraphs>90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2026-06-08T08:54:00Z</dcterms:created>
  <dc:creator>Егорушкин Яков Игоревич</dc:creator>
  <dc:description/>
  <dc:language>ru-RU</dc:language>
  <cp:lastModifiedBy>nikulshinrv@corp.gidroogk.com</cp:lastModifiedBy>
  <cp:lastPrinted>2026-06-08T08:36:00Z</cp:lastPrinted>
  <dcterms:modified xsi:type="dcterms:W3CDTF">2026-06-19T08:28:41Z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