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>ОКПД2 27.12.10.190 Поставка резервного электротехнического оборудования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>(трансформаторы напряжения 500кВ — аварийный запас)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 xml:space="preserve">Лот </w:t>
      </w:r>
    </w:p>
    <w:p>
      <w:pPr>
        <w:pStyle w:val="Normal"/>
        <w:keepNext w:val="true"/>
        <w:keepLines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  <w:r>
        <w:br w:type="page"/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9139547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9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Иные требования и сведения общего характера 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0">
            <w:r>
              <w:rPr>
                <w:webHidden/>
                <w:rStyle w:val="Style14"/>
                <w:vanish w:val="false"/>
                <w:color w:val="000000"/>
                <w:shd w:fill="auto" w:val="clear"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color w:val="000000"/>
                <w:shd w:fill="auto" w:val="clear"/>
                <w:lang w:val="en-US"/>
              </w:rPr>
              <w:t>Требования к участнику закупки, признанным победителем</w:t>
              <w:tab/>
            </w:r>
          </w:hyperlink>
          <w:r>
            <w:rPr>
              <w:color w:val="000000"/>
              <w:shd w:fill="auto" w:val="clear"/>
              <w:lang w:val="en-US"/>
            </w:rPr>
            <w:t>4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hyperlink w:anchor="_Toc19139548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2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3">
            <w:r>
              <w:rPr>
                <w:webHidden/>
                <w:rStyle w:val="Style14"/>
                <w:vanish w:val="false"/>
                <w:color w:val="000000"/>
                <w:shd w:fill="auto" w:val="clea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color w:val="000000"/>
                <w:shd w:fill="auto" w:val="clear"/>
              </w:rPr>
              <w:t>Перечень и объем закупаемой продукции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9139548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3">
            <w:r>
              <w:rPr>
                <w:webHidden/>
                <w:rStyle w:val="Style14"/>
                <w:vanish w:val="false"/>
                <w:color w:val="000000"/>
                <w:shd w:fill="auto" w:val="clea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0"/>
                <w:szCs w:val="20"/>
                <w:shd w:fill="auto" w:val="clear"/>
              </w:rPr>
              <w:t xml:space="preserve">Требования к срокам поставки </w:t>
            </w:r>
            <w:r>
              <w:rPr>
                <w:rStyle w:val="Style14"/>
                <w:color w:val="000000"/>
                <w:sz w:val="20"/>
                <w:szCs w:val="20"/>
                <w:shd w:fill="auto" w:val="clear"/>
              </w:rPr>
              <w:t>п</w:t>
            </w:r>
            <w:r>
              <w:rPr>
                <w:rStyle w:val="Style14"/>
                <w:color w:val="000000"/>
                <w:shd w:fill="auto" w:val="clear"/>
              </w:rPr>
              <w:t>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91395487">
            <w:r>
              <w:rPr>
                <w:webHidden/>
                <w:rStyle w:val="Style14"/>
                <w:vanish w:val="false"/>
                <w:color w:val="000000"/>
                <w:shd w:fill="auto" w:val="clear"/>
              </w:rPr>
              <w:t>Таблица 2.1 Требования к срокам поставки продукции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98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  <w:shd w:fill="auto" w:val="clear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rFonts w:eastAsia="Calibri"/>
                <w:color w:val="000000"/>
                <w:shd w:fill="auto" w:val="clear"/>
              </w:rPr>
              <w:t>Требования к качеству продукции</w:t>
            </w:r>
            <w:r>
              <w:rPr>
                <w:rStyle w:val="Style14"/>
                <w:color w:val="000000"/>
                <w:shd w:fill="auto" w:val="clear"/>
              </w:rPr>
              <w:tab/>
            </w:r>
          </w:hyperlink>
          <w:r>
            <w:rPr>
              <w:color w:val="000000"/>
              <w:shd w:fill="auto" w:val="clear"/>
              <w:lang w:val="en-US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30454099">
            <w:r>
              <w:rPr>
                <w:webHidden/>
                <w:rStyle w:val="Style14"/>
                <w:rFonts w:eastAsia="Calibri"/>
                <w:vanish w:val="false"/>
                <w:color w:val="000000"/>
                <w:shd w:fill="auto" w:val="clear"/>
              </w:rPr>
              <w:t>Таблица 3. Требования к продукции</w:t>
            </w:r>
            <w:r>
              <w:rPr>
                <w:rStyle w:val="Style14"/>
                <w:color w:val="000000"/>
                <w:shd w:fill="auto" w:val="clear"/>
              </w:rPr>
              <w:tab/>
            </w:r>
          </w:hyperlink>
          <w:r>
            <w:rPr>
              <w:color w:val="000000"/>
              <w:shd w:fill="auto" w:val="clear"/>
              <w:lang w:val="en-US"/>
            </w:rPr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91">
            <w:r>
              <w:rPr>
                <w:webHidden/>
                <w:rStyle w:val="Style14"/>
                <w:vanish w:val="false"/>
                <w:color w:val="000000"/>
                <w:shd w:fill="auto" w:val="clear"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color w:val="000000"/>
                <w:shd w:fill="auto" w:val="clear"/>
                <w:lang w:val="en-US"/>
              </w:rPr>
              <w:t>В составе заявки необходимо предоставить</w:t>
              <w:tab/>
            </w:r>
          </w:hyperlink>
          <w:r>
            <w:rPr>
              <w:color w:val="000000"/>
              <w:shd w:fill="auto" w:val="clear"/>
              <w:lang w:val="en-US"/>
            </w:rPr>
            <w:t>21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hyperlink w:anchor="_Toc191395492">
            <w:r>
              <w:rPr>
                <w:webHidden/>
                <w:rStyle w:val="Style14"/>
                <w:b/>
                <w:vanish w:val="false"/>
                <w:color w:val="000000"/>
                <w:shd w:fill="auto" w:val="clear"/>
                <w:lang w:val="en-US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b/>
                <w:color w:val="000000"/>
                <w:shd w:fill="auto" w:val="clear"/>
                <w:lang w:val="en-US"/>
              </w:rPr>
              <w:t>Требования к документации по ценообразованию на этапе закупки</w:t>
              <w:tab/>
            </w:r>
          </w:hyperlink>
          <w:r>
            <w:rPr>
              <w:b/>
              <w:color w:val="000000"/>
              <w:shd w:fill="auto" w:val="clear"/>
              <w:lang w:val="en-US"/>
            </w:rPr>
            <w:t>22</w:t>
          </w:r>
          <w:r>
            <w:rPr>
              <w:b/>
              <w:shd w:fill="auto" w:val="clear"/>
              <w:color w:val="000000"/>
              <w:lang w:val="en-US"/>
            </w:rPr>
            <w:fldChar w:fldCharType="end"/>
          </w:r>
        </w:p>
      </w:sdtContent>
    </w:sdt>
    <w:p>
      <w:pPr>
        <w:pStyle w:val="Heading2"/>
        <w:rPr>
          <w:b w:val="false"/>
          <w:i/>
          <w:i/>
          <w:color w:val="000000"/>
          <w:highlight w:val="none"/>
          <w:shd w:fill="auto" w:val="clear"/>
        </w:rPr>
      </w:pPr>
      <w:r>
        <w:rPr>
          <w:b w:val="false"/>
          <w:i/>
          <w:color w:val="000000"/>
          <w:shd w:fill="auto" w:val="clear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highlight w:val="none"/>
          <w:shd w:fill="auto" w:val="clear"/>
        </w:rPr>
      </w:pPr>
      <w:bookmarkStart w:id="2" w:name="_Toc130454087"/>
      <w:bookmarkStart w:id="3" w:name="_Toc51339692"/>
      <w:bookmarkEnd w:id="3"/>
      <w:r>
        <w:rPr>
          <w:color w:val="000000"/>
          <w:shd w:fill="auto" w:val="clear"/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4" w:name="_Toc130454088"/>
      <w:bookmarkStart w:id="5" w:name="_Toc46743505"/>
      <w:bookmarkEnd w:id="5"/>
      <w:r>
        <w:rPr>
          <w:color w:val="000000"/>
          <w:shd w:fill="auto" w:val="clear"/>
        </w:rPr>
        <w:t>Обозначения и сокращения</w:t>
      </w:r>
      <w:bookmarkEnd w:id="4"/>
    </w:p>
    <w:p>
      <w:pPr>
        <w:pStyle w:val="Normal"/>
        <w:rPr>
          <w:bCs/>
          <w:color w:val="000000"/>
          <w:sz w:val="24"/>
          <w:szCs w:val="24"/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Cs/>
                <w:i w:val="false"/>
                <w:color w:val="000000"/>
                <w:sz w:val="24"/>
                <w:szCs w:val="24"/>
                <w:shd w:fill="auto" w:val="clear"/>
                <w:lang w:val="en-US"/>
              </w:rPr>
              <w:t>ПТЭ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Правила технической эксплуатации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АНЗ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Аварийно неснижаемый запас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ТН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Трансформатор напряжения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климатическое исполнение «умеренный»;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51"/>
              <w:widowControl w:val="false"/>
              <w:numPr>
                <w:ilvl w:val="0"/>
              </w:numPr>
              <w:spacing w:before="120" w:after="60"/>
              <w:ind w:left="0" w:hanging="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1983-2015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 «Трансформаторы напряжения. Общие технические условия»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17516.1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межгосударственный стандарт. Изделия электротехнические. Общие требования в части стойкости к механическим внешним воздействующим факторам;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15150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15543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Общие требования в части стойкости к климатическим внешним воздействующим факторам;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Единая система конструкторской документации. Правила выполнения эксплуатационных документов;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2.601-2019</w:t>
            </w:r>
          </w:p>
        </w:tc>
        <w:tc>
          <w:tcPr>
            <w:tcW w:w="7997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Единая система конструкторской документации. Эксплуатационные документы;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Р 1.3-2018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Технические условия на продукцию. Общие требования к содержанию, оформлению, обозначению и обновлению.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14192-77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Маркировка грузов;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10198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Ящики деревянные для грузов массой св. 200 до 20000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2991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Ящики дощатые неразборные для грузов массой до 500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23216-78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Изделия электротехнические. Хранение, транспортирование, временная противокоррозионная защита, упаковка. Общие требования и методы испытаний;</w:t>
            </w:r>
          </w:p>
        </w:tc>
      </w:tr>
    </w:tbl>
    <w:p>
      <w:pPr>
        <w:pStyle w:val="Normal"/>
        <w:keepNext w:val="true"/>
        <w:keepLines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6" w:name="_Toc130454089"/>
      <w:bookmarkStart w:id="7" w:name="_Toc46743506"/>
      <w:bookmarkEnd w:id="7"/>
      <w:r>
        <w:rPr>
          <w:color w:val="000000"/>
          <w:shd w:fill="auto" w:val="clear"/>
        </w:rPr>
        <w:t>Наименование закупаемой продукции</w:t>
      </w:r>
      <w:bookmarkEnd w:id="6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rPr>
          <w:highlight w:val="none"/>
          <w:shd w:fill="auto" w:val="clear"/>
        </w:rPr>
      </w:pP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>27.12.10.190 Поставка резервного электротехнического оборудования (трансформаторы напряжения 500кВ — аварийный запас)</w:t>
      </w:r>
      <w:r>
        <w:rPr>
          <w:rFonts w:eastAsia="Calibri"/>
          <w:color w:val="000000"/>
          <w:shd w:fill="auto" w:val="clear"/>
          <w:lang w:eastAsia="x-none"/>
        </w:rPr>
        <w:br/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highlight w:val="none"/>
          <w:shd w:fill="auto" w:val="clear"/>
        </w:rPr>
      </w:pPr>
      <w:bookmarkStart w:id="8" w:name="_Toc130454090"/>
      <w:bookmarkStart w:id="9" w:name="_Toc46743507"/>
      <w:r>
        <w:rPr>
          <w:color w:val="000000"/>
          <w:shd w:fill="auto" w:val="clear"/>
        </w:rPr>
        <w:t xml:space="preserve">Цель </w:t>
      </w:r>
      <w:bookmarkEnd w:id="9"/>
      <w:r>
        <w:rPr>
          <w:color w:val="000000"/>
          <w:shd w:fill="auto" w:val="clear"/>
          <w:lang w:val="ru-RU"/>
        </w:rPr>
        <w:t>использования закупаемой продукции</w:t>
      </w:r>
      <w:bookmarkEnd w:id="8"/>
    </w:p>
    <w:p>
      <w:pPr>
        <w:pStyle w:val="Normal"/>
        <w:jc w:val="both"/>
        <w:rPr/>
      </w:pPr>
      <w:r>
        <w:rPr>
          <w:sz w:val="24"/>
          <w:szCs w:val="24"/>
        </w:rPr>
        <w:t xml:space="preserve">Электрооборудование 500кВ предназначено для эксплуатации в составе первичной схемы ОРУ Жигулевской ГЭС.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Для поддержания рекомендуемого состава аварийного запаса электротехнического оборудования согласно СТО РусГидро 02.01.145-2022 «Электрические станции, тепловые и электрические сети. Планирование и управление аварийным запасом», в соответствие с Правилами технической эксплуатации электрических станций и сетей Российской Федерации, утвержденными приказом Минэнерго России от 04.10.2022 № 1070 требуется поставка трансформаторов напряжения. 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x-none" w:bidi="ar-SA"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eastAsia="x-none" w:bidi="ar-SA"/>
        </w:rPr>
      </w:r>
    </w:p>
    <w:p>
      <w:pPr>
        <w:pStyle w:val="Normal"/>
        <w:jc w:val="both"/>
        <w:rPr/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lang w:eastAsia="x-none" w:bidi="ar-SA"/>
        </w:rPr>
        <w:t xml:space="preserve"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Заказчик предоставит поставщику для разгрузки на территории Филиала: 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</w:t>
      </w:r>
      <w:r>
        <w:rPr>
          <w:color w:val="000000"/>
          <w:sz w:val="24"/>
          <w:szCs w:val="24"/>
          <w:shd w:fill="auto" w:val="clear"/>
        </w:rPr>
        <w:t>1. Следующие виды ресурсов: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</w:t>
      </w:r>
      <w:r>
        <w:rPr>
          <w:color w:val="000000"/>
          <w:sz w:val="24"/>
          <w:szCs w:val="24"/>
          <w:shd w:fill="auto" w:val="clear"/>
        </w:rPr>
        <w:t>1.1. Вилочный погрузчик;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</w:t>
      </w:r>
      <w:r>
        <w:rPr>
          <w:color w:val="000000"/>
          <w:sz w:val="24"/>
          <w:szCs w:val="24"/>
          <w:shd w:fill="auto" w:val="clear"/>
        </w:rPr>
        <w:t>1.2. Автомобильный кран.</w:t>
      </w:r>
    </w:p>
    <w:p>
      <w:pPr>
        <w:pStyle w:val="Heading4"/>
        <w:numPr>
          <w:ilvl w:val="0"/>
        </w:numPr>
        <w:tabs>
          <w:tab w:val="clear" w:pos="0"/>
        </w:tabs>
        <w:ind w:left="432" w:hanging="0"/>
        <w:rPr>
          <w:b w:val="false"/>
          <w:iCs/>
        </w:rPr>
      </w:pPr>
      <w:r>
        <w:rPr>
          <w:b w:val="false"/>
          <w:iCs/>
        </w:rPr>
      </w:r>
      <w:bookmarkStart w:id="10" w:name="_Toc191395478_Копия_1"/>
      <w:bookmarkStart w:id="11" w:name="_Toc191395478_Копия_1"/>
      <w:bookmarkEnd w:id="11"/>
    </w:p>
    <w:p>
      <w:pPr>
        <w:pStyle w:val="Heading4"/>
        <w:numPr>
          <w:ilvl w:val="0"/>
          <w:numId w:val="0"/>
        </w:numPr>
        <w:ind w:left="0" w:hanging="0"/>
        <w:rPr/>
      </w:pPr>
      <w:bookmarkStart w:id="12" w:name="_Hlk48209761_Копия_1"/>
      <w:bookmarkStart w:id="13" w:name="_Toc46743510"/>
      <w:bookmarkStart w:id="14" w:name="_Toc50125126"/>
      <w:bookmarkEnd w:id="12"/>
      <w:bookmarkEnd w:id="13"/>
      <w:bookmarkEnd w:id="14"/>
      <w:r>
        <w:rPr/>
        <w:t xml:space="preserve">1.5. </w:t>
      </w:r>
      <w:bookmarkStart w:id="15" w:name="_Toc191395479"/>
      <w:r>
        <w:rPr/>
        <w:t xml:space="preserve">Иные требования и сведения общего характера </w:t>
      </w:r>
      <w:bookmarkEnd w:id="15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Требования к участнику закупки:  отсутствие сведений об участнике закупки в реестре недобросовестных поставщиков, предусмотренных статьей 5 Федерального закона от 18 июля 2011г. № 223-ФЗ «О закупках товаров, работ, услуг отдельными видами юридических лиц».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         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>1.5.1. Требования к участнику закупки, признанным победителем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Участник,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Письмо – подтверждение завода-изготовителя о согласии на изготовление с указанием конкретных сроков изготовления и предлагаемых гарантийных сроков (в произвольной форме).</w:t>
      </w:r>
    </w:p>
    <w:p>
      <w:pPr>
        <w:pStyle w:val="Heading4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highlight w:val="none"/>
          <w:shd w:fill="auto" w:val="clear"/>
        </w:rPr>
      </w:pPr>
      <w:bookmarkStart w:id="16" w:name="_Toc130454092"/>
      <w:bookmarkStart w:id="17" w:name="_Toc51339693"/>
      <w:bookmarkEnd w:id="17"/>
      <w:r>
        <w:rPr>
          <w:iCs/>
          <w:color w:val="000000"/>
          <w:shd w:fill="auto" w:val="clear"/>
        </w:rPr>
        <w:t>Требования к продукции</w:t>
      </w:r>
      <w:bookmarkEnd w:id="16"/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18" w:name="_Toc130454093"/>
      <w:r>
        <w:rPr>
          <w:color w:val="000000"/>
          <w:shd w:fill="auto" w:val="clear"/>
        </w:rPr>
        <w:t xml:space="preserve">Требования к объемам и срокам </w:t>
      </w:r>
      <w:r>
        <w:rPr>
          <w:color w:val="000000"/>
          <w:shd w:fill="auto" w:val="clear"/>
          <w:lang w:val="ru-RU"/>
        </w:rPr>
        <w:t>поставки</w:t>
      </w:r>
      <w:bookmarkEnd w:id="18"/>
    </w:p>
    <w:p>
      <w:pPr>
        <w:pStyle w:val="Heading3"/>
        <w:numPr>
          <w:ilvl w:val="2"/>
          <w:numId w:val="1"/>
        </w:numPr>
        <w:rPr>
          <w:highlight w:val="none"/>
          <w:shd w:fill="auto" w:val="clear"/>
        </w:rPr>
      </w:pPr>
      <w:bookmarkStart w:id="19" w:name="_Toc130454094"/>
      <w:r>
        <w:rPr>
          <w:color w:val="000000"/>
          <w:shd w:fill="auto" w:val="clear"/>
          <w:lang w:val="ru-RU"/>
        </w:rPr>
        <w:t>Перечень и объем закупаемой продукции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bookmarkStart w:id="20" w:name="_Toc130454095"/>
      <w:bookmarkStart w:id="21" w:name="_Toc51339695"/>
      <w:r>
        <w:rPr>
          <w:color w:val="000000"/>
          <w:sz w:val="24"/>
          <w:szCs w:val="24"/>
          <w:shd w:fill="auto" w:val="clear"/>
        </w:rPr>
        <w:t xml:space="preserve">Таблица </w:t>
      </w:r>
      <w:r>
        <w:rPr>
          <w:color w:val="000000"/>
          <w:sz w:val="24"/>
          <w:szCs w:val="24"/>
          <w:shd w:fill="auto" w:val="clear"/>
          <w:lang w:val="ru-RU"/>
        </w:rPr>
        <w:t>1.1</w:t>
      </w:r>
      <w:r>
        <w:rPr>
          <w:color w:val="000000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  <w:lang w:val="ru-RU"/>
        </w:rPr>
        <w:t xml:space="preserve">Перечень </w:t>
      </w:r>
      <w:bookmarkEnd w:id="21"/>
      <w:r>
        <w:rPr>
          <w:color w:val="000000"/>
          <w:sz w:val="24"/>
          <w:szCs w:val="24"/>
          <w:shd w:fill="auto" w:val="clear"/>
          <w:lang w:val="ru-RU"/>
        </w:rPr>
        <w:t>и объем закупаемой продукции</w:t>
      </w:r>
      <w:bookmarkEnd w:id="20"/>
    </w:p>
    <w:p>
      <w:pPr>
        <w:pStyle w:val="Heading1"/>
        <w:tabs>
          <w:tab w:val="clear" w:pos="0"/>
        </w:tabs>
        <w:spacing w:before="240" w:after="60"/>
        <w:ind w:left="0" w:hanging="0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765" w:type="dxa"/>
        <w:jc w:val="left"/>
        <w:tblInd w:w="30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9"/>
        <w:gridCol w:w="6150"/>
        <w:gridCol w:w="1413"/>
        <w:gridCol w:w="1412"/>
      </w:tblGrid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</w:rPr>
              <w:t>Трансформатор напряжения (однофазный)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3</w:t>
            </w:r>
          </w:p>
        </w:tc>
      </w:tr>
    </w:tbl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Heading3"/>
        <w:numPr>
          <w:ilvl w:val="0"/>
          <w:numId w:val="0"/>
        </w:numPr>
        <w:ind w:left="720" w:hanging="0"/>
        <w:rPr/>
      </w:pPr>
      <w:r>
        <w:rPr/>
        <w:t xml:space="preserve">2.1.2. </w:t>
      </w:r>
      <w:bookmarkStart w:id="22" w:name="_Toc191395486"/>
      <w:bookmarkStart w:id="23" w:name="_Toc51339696_Копия_1"/>
      <w:r>
        <w:rPr/>
        <w:t xml:space="preserve">Требования </w:t>
      </w:r>
      <w:bookmarkEnd w:id="23"/>
      <w:r>
        <w:rPr/>
        <w:t xml:space="preserve">к срокам поставки продукции </w:t>
      </w:r>
      <w:bookmarkEnd w:id="22"/>
    </w:p>
    <w:p>
      <w:pPr>
        <w:pStyle w:val="Style38"/>
        <w:numPr>
          <w:ilvl w:val="0"/>
          <w:numId w:val="0"/>
        </w:numPr>
        <w:ind w:left="0" w:hanging="0"/>
        <w:outlineLvl w:val="0"/>
        <w:rPr/>
      </w:pPr>
      <w:bookmarkStart w:id="24" w:name="_Toc191395487"/>
      <w:bookmarkStart w:id="25" w:name="_Toc50125127_Копия_1"/>
      <w:bookmarkStart w:id="26" w:name="_Toc51339697_Копия_1"/>
      <w:bookmarkStart w:id="27" w:name="_Toc50125126_Копия_1"/>
      <w:bookmarkEnd w:id="27"/>
      <w:r>
        <w:rPr/>
        <w:t xml:space="preserve">Таблица 2.1 </w:t>
      </w:r>
      <w:bookmarkStart w:id="28" w:name="_Hlk50465284_Копия_1"/>
      <w:r>
        <w:rPr/>
        <w:t xml:space="preserve">Требования к срокам </w:t>
      </w:r>
      <w:bookmarkEnd w:id="25"/>
      <w:bookmarkEnd w:id="26"/>
      <w:bookmarkEnd w:id="28"/>
      <w:r>
        <w:rPr/>
        <w:t>поставки продукции</w:t>
      </w:r>
      <w:bookmarkEnd w:id="24"/>
      <w:r>
        <w:rPr/>
        <w:t xml:space="preserve"> </w:t>
      </w:r>
    </w:p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49"/>
        <w:gridCol w:w="2980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left"/>
              <w:rPr/>
            </w:pPr>
            <w:r>
              <w:rPr/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</w:rPr>
              <w:t>Трансформатор напряжения  (однофазный)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(ориентировочно 01.09.2026)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7 месяцев с даты подписания договора (плановый срок - 30.03.2027)</w:t>
            </w:r>
          </w:p>
        </w:tc>
      </w:tr>
    </w:tbl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одной партией</w:t>
      </w:r>
      <w:r>
        <w:rPr>
          <w:rStyle w:val="Style8"/>
          <w:bCs/>
          <w:shd w:fill="auto" w:val="clear"/>
        </w:rPr>
        <w:t>.</w:t>
      </w:r>
    </w:p>
    <w:p>
      <w:pPr>
        <w:pStyle w:val="Normal"/>
        <w:ind w:left="57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left="567" w:hanging="0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color w:val="000000"/>
          <w:shd w:fill="auto" w:val="clear"/>
          <w:lang w:val="en-US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  </w:t>
      </w:r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29" w:name="_Toc51339698"/>
      <w:bookmarkStart w:id="30" w:name="_Toc130454098"/>
      <w:bookmarkStart w:id="31" w:name="_Toc46743511"/>
      <w:r>
        <w:rPr>
          <w:color w:val="000000"/>
          <w:shd w:fill="auto" w:val="clear"/>
        </w:rPr>
        <w:t xml:space="preserve">Требования к </w:t>
      </w:r>
      <w:bookmarkEnd w:id="31"/>
      <w:r>
        <w:rPr>
          <w:color w:val="000000"/>
          <w:shd w:fill="auto" w:val="clear"/>
          <w:lang w:val="ru-RU"/>
        </w:rPr>
        <w:t>качеству продукции</w:t>
      </w:r>
      <w:bookmarkEnd w:id="3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 </w:t>
      </w:r>
      <w:bookmarkStart w:id="32" w:name="_Toc130454099"/>
      <w:r>
        <w:rPr>
          <w:color w:val="000000"/>
          <w:sz w:val="24"/>
          <w:szCs w:val="24"/>
          <w:shd w:fill="auto" w:val="clear"/>
        </w:rPr>
        <w:t>Таблица </w:t>
      </w:r>
      <w:r>
        <w:rPr>
          <w:color w:val="000000"/>
          <w:sz w:val="24"/>
          <w:szCs w:val="24"/>
          <w:shd w:fill="auto" w:val="clear"/>
          <w:lang w:val="ru-RU"/>
        </w:rPr>
        <w:t>3</w:t>
      </w:r>
      <w:r>
        <w:rPr>
          <w:color w:val="000000"/>
          <w:sz w:val="24"/>
          <w:szCs w:val="24"/>
          <w:shd w:fill="auto" w:val="clear"/>
        </w:rPr>
        <w:t xml:space="preserve">. Требования к </w:t>
      </w:r>
      <w:r>
        <w:rPr>
          <w:color w:val="000000"/>
          <w:sz w:val="24"/>
          <w:szCs w:val="24"/>
          <w:shd w:fill="auto" w:val="clear"/>
          <w:lang w:val="ru-RU"/>
        </w:rPr>
        <w:t>продукции</w:t>
      </w:r>
      <w:bookmarkEnd w:id="29"/>
      <w:bookmarkEnd w:id="32"/>
      <w:r>
        <w:rPr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b/>
          <w:bCs/>
          <w:iCs/>
          <w:color w:val="000000"/>
          <w:sz w:val="24"/>
          <w:szCs w:val="24"/>
          <w:shd w:fill="auto" w:val="clear"/>
          <w:lang w:eastAsia="x-none"/>
        </w:rPr>
        <w:t>Наименование продукции: 27.90.5 Поставка резервного электротехнического оборудования (трансформаторы напряжения  500кВ — аварийный запас)</w:t>
      </w:r>
    </w:p>
    <w:tbl>
      <w:tblPr>
        <w:tblStyle w:val="affff8"/>
        <w:tblW w:w="15314" w:type="dxa"/>
        <w:jc w:val="left"/>
        <w:tblInd w:w="146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2"/>
        <w:gridCol w:w="1635"/>
        <w:gridCol w:w="300"/>
        <w:gridCol w:w="115"/>
        <w:gridCol w:w="296"/>
        <w:gridCol w:w="3132"/>
        <w:gridCol w:w="3781"/>
        <w:gridCol w:w="2624"/>
        <w:gridCol w:w="2738"/>
      </w:tblGrid>
      <w:tr>
        <w:trPr/>
        <w:tc>
          <w:tcPr>
            <w:tcW w:w="6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346" w:type="dxa"/>
            <w:gridSpan w:val="4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132" w:type="dxa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40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3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132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346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313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37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6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7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/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Наименование, тип, марка, завод-изготовитель предлагаемого оборудования</w:t>
            </w:r>
          </w:p>
        </w:tc>
        <w:tc>
          <w:tcPr>
            <w:tcW w:w="313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*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Номинальное первичное напряжени, кВ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550/v3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Номинальное напряжение основных вторичных обмоток, В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100/v3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Номинальное напряжение дополнительной вторичноый обмотки, В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частота, Гц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Вид изоляции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газонаполненная (элегаз)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Тех.предложение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Тех.условия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Исполнение обмоток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медь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Тех.предложение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Тех.условия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Принцип конструкции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опорные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Тех.предложение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Тех.условия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вторичная  нагрузка в классе точности 0,2, ВА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100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вторичная  нагрузка в классе точности 0,5, ВА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вторичная  нагрузка в классе точности 3Р, ВА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100-</w:t>
            </w:r>
            <w:r>
              <w:rPr>
                <w:sz w:val="24"/>
                <w:szCs w:val="24"/>
                <w:shd w:fill="auto" w:val="clear"/>
              </w:rPr>
              <w:t>2</w:t>
            </w:r>
            <w:r>
              <w:rPr>
                <w:sz w:val="24"/>
                <w:szCs w:val="24"/>
                <w:shd w:fill="auto" w:val="clear"/>
              </w:rPr>
              <w:t>00</w:t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Head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Габаритные размеры (высота/диаметр), мм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*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Масса, кг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*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Длина пути утечки внешней изоляции см/кВ, не менее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2,5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мощность трансформатора, ВА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1500-2500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Конструкция трансформаторов, имеющих вторичные обмотки для измерения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Предусмотреть одно или несколько мест для установки пломб или нанесения оттиска клейма о поверке трансформатора на соответствие ГОСТ 8.217-2003. Для неразборных конструкций трансформаторов допускается нанесение клейма на паспорт.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Тех.предложение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Тех.условия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Конструкция аварийного сброса давления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предохранительного клапана/мембраны аварийного сброса давления обязятельно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Тех.предложение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Тех.условия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метрологическому обеспечению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ind w:left="125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этапе поставки измерительного трансформатора на склад Заказчика, измерительный трансформатор должен быть утверждённого типа СИ, иметь свидетельство об утверждении типа средств измерений (тип поставляемого средства измерений должен быть внесён в Федеральный информационный фонд по обеспечению единства измерений РФ);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125"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этапе поставки измерительного трансформатора на склад Заказчика, измерительный трансформатор должен быть поверен в установленном порядке РФ, иметь подтверждение о прохождении первичной поверки (действующее свидетельство о поверке).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Интервал между поверками ТТ, не менее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25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Тех.предложение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397" w:right="0" w:hanging="3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Требования по безопасности: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соответствие ГОСТ 12.2.007.3.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наличие Российского Сертификата безопасности</w:t>
            </w:r>
          </w:p>
        </w:tc>
        <w:tc>
          <w:tcPr>
            <w:tcW w:w="313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да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621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3.1.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У, УХЛ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3.2.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Категория размещения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3.5.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Высота над уровнем моря, м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 1000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3.6.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Толщина стенки гололеда, мм, не менее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3.7.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3.8.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3.9.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Требования к материалам</w:t>
            </w:r>
          </w:p>
        </w:tc>
        <w:tc>
          <w:tcPr>
            <w:tcW w:w="3843" w:type="dxa"/>
            <w:gridSpan w:val="4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3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Год выпуска продукции (оборудования)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3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ранее 2026 г.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Погрузка, доставка, разгрузка и перемещение Товара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быть доставлена поставщиком по адресу: Российская Федерация, 445350, Самарская область, город Жигулевск, Московское шоссе, дом 2. Разгрузка осуществляется за счёт покупателя. Погрузка на территории Поставщика/ Производителя, транспорт и доставка до склада Заказчика выполняются за счёт средств Поставщика. Разгрузка на территории Заказчика за счет средств Заказчика. Приемка продукции в рабочие дни с 08.00 до 15.00 по местному времени. 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Возможность вертикальной разгрузки транспорта обязательна. Попутный груз при въезде на территорию Филиала запрещен.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Транспортная маркировка грузов - по ГОСТ 14192-77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Трансформаторы напряжения или их части (при транспортировании в частично разобранном виде) должны быть упакованы для транспортирования в плотные или решетчатые ящики по ГОСТ 10198 или ГОСТ 2991 или в специальную тару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229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неокрашенные металлические части должны быть подвергнуты консервации по ГОСТ 23216-78.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по ГОСТ 15150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5ОЖ4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согласно ГОСТ 23216-78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легкие (Л)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5.1.</w:t>
            </w:r>
          </w:p>
        </w:tc>
        <w:tc>
          <w:tcPr>
            <w:tcW w:w="2050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Монтаж, эксплуатация трансформаторов напряжения должна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42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5.2.</w:t>
            </w:r>
          </w:p>
        </w:tc>
        <w:tc>
          <w:tcPr>
            <w:tcW w:w="2050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заводской документации требований по мерам безопасности, перечня составных частей, включая цветные металлы, и методов утилизации изделий, представляющих опасность для жизни, здоровью людей и окружающей среды после окончания срока службы</w:t>
            </w:r>
          </w:p>
        </w:tc>
        <w:tc>
          <w:tcPr>
            <w:tcW w:w="342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Срок гарантии изготовителя, с момента ввода в эксплуатацию, не менее, лет</w:t>
            </w:r>
          </w:p>
        </w:tc>
        <w:tc>
          <w:tcPr>
            <w:tcW w:w="313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заключения договора на постгарантийное обслуживание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229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сервисных центров на территории РФ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распространяются на все поставляемое оборудование.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 запасных частей и принадлежностей ЗИП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 комплект ЗИП согласно комплектации производителя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327"/>
                <w:tab w:val="left" w:pos="284" w:leader="none"/>
              </w:tabs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Комплект для газотехнологических работ;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327"/>
                <w:tab w:val="left" w:pos="284" w:leader="none"/>
              </w:tabs>
              <w:ind w:left="284" w:hanging="284"/>
              <w:jc w:val="both"/>
              <w:rPr>
                <w:color w:val="000000"/>
              </w:rPr>
            </w:pPr>
            <w:r>
              <w:rPr>
                <w:color w:val="000000"/>
              </w:rPr>
              <w:t>Газ для первичной заправки ТТ;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Ведомость комплекта ЗИП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Эксплуатационная документация по ГОСТ Р 2.601-2019, экз.: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формуляр или паспорт;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ведомость ЗИП в виде отдельного документа или как составная часть паспорта или формуляра.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 12.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 (1 в электронном виде)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9.1.</w:t>
            </w:r>
          </w:p>
        </w:tc>
        <w:tc>
          <w:tcPr>
            <w:tcW w:w="2050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Во всем неоговоренном трансформаторы напряжения  должны соответствовать требованиям </w:t>
            </w:r>
            <w:r>
              <w:rPr>
                <w:rFonts w:eastAsia="Times New Roman" w:cs="Times New Roman"/>
                <w:b w:val="false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1983-2015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ПУЭ</w:t>
            </w:r>
          </w:p>
        </w:tc>
        <w:tc>
          <w:tcPr>
            <w:tcW w:w="342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10.1.</w:t>
            </w:r>
          </w:p>
        </w:tc>
        <w:tc>
          <w:tcPr>
            <w:tcW w:w="2050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службы, не менее, лет</w:t>
            </w:r>
          </w:p>
        </w:tc>
        <w:tc>
          <w:tcPr>
            <w:tcW w:w="342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11.1.1.</w:t>
            </w:r>
          </w:p>
        </w:tc>
        <w:tc>
          <w:tcPr>
            <w:tcW w:w="2050" w:type="dxa"/>
            <w:gridSpan w:val="3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Участие в монтаже технического представителя завода</w:t>
            </w:r>
          </w:p>
        </w:tc>
        <w:tc>
          <w:tcPr>
            <w:tcW w:w="3428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ind w:left="357" w:hanging="0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>Примечания: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1) 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2) * - Параметр не установлен - Указывается Участником.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color w:val="00000A"/>
          <w:kern w:val="0"/>
          <w:sz w:val="24"/>
          <w:szCs w:val="24"/>
          <w:lang w:val="x-none" w:eastAsia="x-none" w:bidi="ar-SA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color w:val="000000"/>
          <w:shd w:fill="auto" w:val="clear"/>
          <w:lang w:val="en-US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>2.2.1. В составе заявки необходимо предоставить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2.2.1.1.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2.2.1.2. </w:t>
      </w:r>
      <w:bookmarkStart w:id="33" w:name="_Ref184912271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Габаритно – установочные чертежи с присоединительными и установочными размерами</w:t>
      </w:r>
      <w:bookmarkEnd w:id="33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;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2.2.1.3. </w:t>
      </w:r>
      <w:bookmarkStart w:id="34" w:name="_Ref18491238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Отсканированные копии утвержденных технических условий (все страницы документа) в соответствии с которыми выпускается ТН (при условии изготовления по ТУ).</w:t>
      </w:r>
      <w:bookmarkEnd w:id="34"/>
    </w:p>
    <w:p>
      <w:pPr>
        <w:pStyle w:val="Normal"/>
        <w:numPr>
          <w:ilvl w:val="0"/>
          <w:numId w:val="0"/>
        </w:numPr>
        <w:ind w:left="57" w:hanging="0"/>
        <w:jc w:val="both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2.2.1.4. </w:t>
      </w:r>
      <w:bookmarkStart w:id="35" w:name="_Ref18491240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Руководство по эксплуатации (руководство по монтажу и наладке, техническое описание согласно ГОСТ 2.610-2019, ГОСТ 2.601-2019, ГОСТ Р 1.3-2018) производителя с описанием конструктивного исполнения закупаемого оборудования: назначение и область применения; состав оборудования; основные технические характеристики; информацию о конструкции и принципе действия.</w:t>
      </w:r>
      <w:bookmarkEnd w:id="35"/>
    </w:p>
    <w:p>
      <w:pPr>
        <w:pStyle w:val="51"/>
        <w:widowControl w:val="false"/>
        <w:numPr>
          <w:ilvl w:val="0"/>
          <w:numId w:val="0"/>
        </w:numPr>
        <w:ind w:left="0" w:hanging="0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2.2.1.5. </w:t>
      </w:r>
      <w:bookmarkStart w:id="36" w:name="_Ref184912424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Ведомость комплекта ЗИП предусмотренная заводом изготовителем в виде отдельного документа или как составная часть паспорта или формуляра</w:t>
      </w:r>
      <w:bookmarkEnd w:id="36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.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  <w:pStyle w:val="51"/>
        <w:widowControl w:val="false"/>
        <w:numPr>
          <w:ilvl w:val="0"/>
          <w:numId w:val="0"/>
        </w:numPr>
        <w:ind w:left="0" w:hanging="0"/>
        <w:jc w:val="both"/>
        <w:rPr>
          <w:rFonts w:eastAsia="Calibri" w:cs="Times New Roman"/>
          <w:b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2.2.1.6. </w:t>
      </w:r>
      <w:bookmarkStart w:id="37" w:name="_Ref184912253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Копию действующей декларации о соответствии,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</w:t>
      </w:r>
      <w:bookmarkEnd w:id="3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вия». </w:t>
      </w:r>
      <w:r>
        <w:rPr>
          <w:sz w:val="24"/>
          <w:szCs w:val="24"/>
        </w:rPr>
        <w:t xml:space="preserve">Декларация о соответствии должна иметь электронную регистрацию (статус действующего документа)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</w:t>
      </w:r>
      <w:r>
        <w:rPr>
          <w:rFonts w:eastAsia="Calibri" w:cs="Times New Roman"/>
          <w:b w:val="false"/>
          <w:color w:val="00000A"/>
          <w:kern w:val="0"/>
          <w:sz w:val="24"/>
          <w:szCs w:val="24"/>
          <w:lang w:val="x-none" w:eastAsia="x-none" w:bidi="ar-SA"/>
        </w:rPr>
        <w:t>ГОСТ 15581-80</w:t>
      </w:r>
      <w:r>
        <w:rPr>
          <w:sz w:val="24"/>
          <w:szCs w:val="24"/>
        </w:rPr>
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 </w:t>
      </w:r>
    </w:p>
    <w:p>
      <w:pPr>
        <w:pStyle w:val="Heading1"/>
        <w:numPr>
          <w:ilvl w:val="0"/>
          <w:numId w:val="0"/>
        </w:numPr>
        <w:ind w:left="426" w:hanging="0"/>
        <w:rPr/>
      </w:pPr>
      <w:r>
        <w:rPr/>
        <w:t xml:space="preserve">3. </w:t>
      </w:r>
      <w:bookmarkStart w:id="38" w:name="_Toc191395492"/>
      <w:bookmarkStart w:id="39" w:name="_Toc53393312"/>
      <w:r>
        <w:rPr/>
        <w:t>Требования к документации по ценообразованию</w:t>
      </w:r>
      <w:bookmarkEnd w:id="39"/>
      <w:r>
        <w:rPr/>
        <w:t xml:space="preserve"> на этапе закупки</w:t>
      </w:r>
      <w:bookmarkEnd w:id="38"/>
    </w:p>
    <w:p>
      <w:pPr>
        <w:pStyle w:val="Normal"/>
        <w:widowControl w:val="false"/>
        <w:numPr>
          <w:ilvl w:val="3"/>
        </w:numPr>
        <w:tabs>
          <w:tab w:val="clear" w:pos="327"/>
          <w:tab w:val="left" w:pos="426" w:leader="none"/>
        </w:tabs>
        <w:spacing w:before="60" w:after="0"/>
        <w:jc w:val="both"/>
        <w:rPr/>
      </w:pPr>
      <w:r>
        <w:rPr>
          <w:rStyle w:val="Style8"/>
          <w:rFonts w:eastAsia="Calibri"/>
          <w:b w:val="false"/>
          <w:bCs/>
          <w:i w:val="false"/>
          <w:iCs/>
          <w:color w:val="000000"/>
          <w:sz w:val="24"/>
          <w:szCs w:val="24"/>
          <w:shd w:fill="auto" w:val="clear"/>
          <w:lang w:val="x-none" w:eastAsia="x-none"/>
        </w:rPr>
        <w:t xml:space="preserve">        </w:t>
      </w:r>
      <w:r>
        <w:rPr>
          <w:rStyle w:val="Style8"/>
          <w:rFonts w:eastAsia="Calibri"/>
          <w:b w:val="false"/>
          <w:bCs/>
          <w:i w:val="false"/>
          <w:iCs/>
          <w:color w:val="000000"/>
          <w:sz w:val="24"/>
          <w:szCs w:val="24"/>
          <w:shd w:fill="auto" w:val="clear"/>
          <w:lang w:val="x-none" w:eastAsia="x-none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3"/>
        </w:numPr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highlight w:val="none"/>
          <w:shd w:fill="auto" w:val="clear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shd w:fill="auto" w:val="clear"/>
          <w:lang w:val="x-none" w:eastAsia="x-none"/>
        </w:rPr>
      </w:r>
    </w:p>
    <w:p>
      <w:pPr>
        <w:pStyle w:val="Heading1"/>
        <w:keepLines/>
        <w:numPr>
          <w:ilvl w:val="3"/>
        </w:numPr>
        <w:tabs>
          <w:tab w:val="clear" w:pos="0"/>
        </w:tabs>
        <w:spacing w:before="120" w:after="60"/>
        <w:ind w:left="1134" w:hanging="425"/>
        <w:rPr>
          <w:b w:val="false"/>
          <w:iCs/>
          <w:color w:val="000000"/>
          <w:sz w:val="24"/>
          <w:szCs w:val="24"/>
          <w:highlight w:val="none"/>
          <w:shd w:fill="auto" w:val="clear"/>
          <w:lang w:val="ru-RU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1134" w:gutter="0" w:header="1134" w:top="145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4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327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basedOn w:val="DefaultParagraphFont"/>
    <w:uiPriority w:val="99"/>
    <w:unhideWhenUsed/>
    <w:qFormat/>
    <w:rsid w:val="007450ef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WW8Num25z0" w:customStyle="1">
    <w:name w:val="WW8Num25z0"/>
    <w:qFormat/>
    <w:rPr>
      <w:b/>
    </w:rPr>
  </w:style>
  <w:style w:type="character" w:styleId="WW8Num46z0" w:customStyle="1">
    <w:name w:val="WW8Num46z0"/>
    <w:qFormat/>
    <w:rPr/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68z0" w:customStyle="1">
    <w:name w:val="WW8Num68z0"/>
    <w:qFormat/>
    <w:rPr>
      <w:rFonts w:ascii="Symbol" w:hAnsi="Symbol" w:cs="Symbol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55z0" w:customStyle="1">
    <w:name w:val="WW8Num55z0"/>
    <w:qFormat/>
    <w:rPr>
      <w:rFonts w:ascii="Symbol" w:hAnsi="Symbol" w:cs="Symbol"/>
    </w:rPr>
  </w:style>
  <w:style w:type="character" w:styleId="WW8Num55z1" w:customStyle="1">
    <w:name w:val="WW8Num55z1"/>
    <w:qFormat/>
    <w:rPr>
      <w:rFonts w:ascii="Courier New" w:hAnsi="Courier New" w:cs="Courier New"/>
    </w:rPr>
  </w:style>
  <w:style w:type="character" w:styleId="WW8Num55z2" w:customStyle="1">
    <w:name w:val="WW8Num55z2"/>
    <w:qFormat/>
    <w:rPr>
      <w:rFonts w:ascii="Wingdings" w:hAnsi="Wingdings" w:cs="Wingdings"/>
    </w:rPr>
  </w:style>
  <w:style w:type="character" w:styleId="WW8Num56z0" w:customStyle="1">
    <w:name w:val="WW8Num56z0"/>
    <w:qFormat/>
    <w:rPr>
      <w:color w:val="000000"/>
    </w:rPr>
  </w:style>
  <w:style w:type="character" w:styleId="WW8Num56z1" w:customStyle="1">
    <w:name w:val="WW8Num56z1"/>
    <w:qFormat/>
    <w:rPr>
      <w:rFonts w:ascii="Symbol" w:hAnsi="Symbol" w:eastAsia="Times New Roman" w:cs="Times New Roman"/>
    </w:rPr>
  </w:style>
  <w:style w:type="character" w:styleId="WW8Num62z0" w:customStyle="1">
    <w:name w:val="WW8Num62z0"/>
    <w:qFormat/>
    <w:rPr/>
  </w:style>
  <w:style w:type="character" w:styleId="WW8Num62z1" w:customStyle="1">
    <w:name w:val="WW8Num62z1"/>
    <w:qFormat/>
    <w:rPr>
      <w:rFonts w:ascii="Symbol" w:hAnsi="Symbol" w:cs="Symbol"/>
    </w:rPr>
  </w:style>
  <w:style w:type="character" w:styleId="WW8Num53z0" w:customStyle="1">
    <w:name w:val="WW8Num53z0"/>
    <w:qFormat/>
    <w:rPr>
      <w:rFonts w:ascii="Symbol" w:hAnsi="Symbol" w:cs="Symbol"/>
    </w:rPr>
  </w:style>
  <w:style w:type="character" w:styleId="WW8Num53z1" w:customStyle="1">
    <w:name w:val="WW8Num53z1"/>
    <w:qFormat/>
    <w:rPr>
      <w:rFonts w:ascii="Courier New" w:hAnsi="Courier New" w:cs="Courier New"/>
    </w:rPr>
  </w:style>
  <w:style w:type="character" w:styleId="WW8Num53z2" w:customStyle="1">
    <w:name w:val="WW8Num53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Symbol" w:hAnsi="Symbol" w:cs="Symbol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66z0" w:customStyle="1">
    <w:name w:val="WW8Num66z0"/>
    <w:qFormat/>
    <w:rPr/>
  </w:style>
  <w:style w:type="character" w:styleId="WW8Num66z1" w:customStyle="1">
    <w:name w:val="WW8Num66z1"/>
    <w:qFormat/>
    <w:rPr>
      <w:rFonts w:ascii="Symbol" w:hAnsi="Symbol" w:cs="Symbol"/>
    </w:rPr>
  </w:style>
  <w:style w:type="character" w:styleId="WW8Num41z0" w:customStyle="1">
    <w:name w:val="WW8Num41z0"/>
    <w:qFormat/>
    <w:rPr>
      <w:rFonts w:ascii="Wingdings" w:hAnsi="Wingdings" w:cs="Wingdings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3" w:customStyle="1">
    <w:name w:val="WW8Num41z3"/>
    <w:qFormat/>
    <w:rPr>
      <w:rFonts w:ascii="Symbol" w:hAnsi="Symbol" w:cs="Symbol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54z0">
    <w:name w:val="WW8Num54z0"/>
    <w:qFormat/>
    <w:rPr/>
  </w:style>
  <w:style w:type="character" w:styleId="WW8Num54z1">
    <w:name w:val="WW8Num54z1"/>
    <w:qFormat/>
    <w:rPr>
      <w:rFonts w:ascii="Wingdings" w:hAnsi="Wingdings" w:cs="Wingdings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pPr/>
    <w:rPr/>
  </w:style>
  <w:style w:type="paragraph" w:styleId="Style36" w:customStyle="1">
    <w:name w:val="Заголовок таблицы"/>
    <w:basedOn w:val="Style35"/>
    <w:qFormat/>
    <w:pPr/>
    <w:rPr/>
  </w:style>
  <w:style w:type="paragraph" w:styleId="Msonormalmrcssattr" w:customStyle="1">
    <w:name w:val="msonormalmrcssattr"/>
    <w:basedOn w:val="Normal"/>
    <w:qFormat/>
    <w:pPr>
      <w:spacing w:beforeAutospacing="1" w:afterAutospacing="1"/>
    </w:pPr>
    <w:rPr>
      <w:rFonts w:eastAsia="Calibri" w:eastAsiaTheme="minorHAnsi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Paragraph">
    <w:name w:val="Table Paragraph"/>
    <w:basedOn w:val="Normal"/>
    <w:qFormat/>
    <w:pPr>
      <w:ind w:left="115" w:hanging="0"/>
    </w:pPr>
    <w:rPr/>
  </w:style>
  <w:style w:type="paragraph" w:styleId="Style38">
    <w:name w:val="НТ"/>
    <w:basedOn w:val="Normal"/>
    <w:qFormat/>
    <w:pPr/>
    <w:rPr>
      <w:b/>
      <w:sz w:val="24"/>
      <w:szCs w:val="24"/>
    </w:rPr>
  </w:style>
  <w:style w:type="paragraph" w:styleId="51">
    <w:name w:val="Н5"/>
    <w:basedOn w:val="Heading3"/>
    <w:qFormat/>
    <w:pPr>
      <w:numPr>
        <w:ilvl w:val="3"/>
      </w:numPr>
      <w:ind w:left="1418" w:hanging="992"/>
      <w:outlineLvl w:val="9"/>
    </w:pPr>
    <w:rPr>
      <w:b w:val="false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numbering" w:styleId="WW8Num25" w:customStyle="1">
    <w:name w:val="WW8Num25"/>
    <w:qFormat/>
  </w:style>
  <w:style w:type="numbering" w:styleId="WW8Num46" w:customStyle="1">
    <w:name w:val="WW8Num46"/>
    <w:qFormat/>
  </w:style>
  <w:style w:type="numbering" w:styleId="WW8Num35" w:customStyle="1">
    <w:name w:val="WW8Num35"/>
    <w:qFormat/>
  </w:style>
  <w:style w:type="numbering" w:styleId="WW8Num68" w:customStyle="1">
    <w:name w:val="WW8Num68"/>
    <w:qFormat/>
  </w:style>
  <w:style w:type="numbering" w:styleId="WW8Num55" w:customStyle="1">
    <w:name w:val="WW8Num55"/>
    <w:qFormat/>
  </w:style>
  <w:style w:type="numbering" w:styleId="WW8Num56" w:customStyle="1">
    <w:name w:val="WW8Num56"/>
    <w:qFormat/>
  </w:style>
  <w:style w:type="numbering" w:styleId="WW8Num62" w:customStyle="1">
    <w:name w:val="WW8Num62"/>
    <w:qFormat/>
  </w:style>
  <w:style w:type="numbering" w:styleId="WW8Num53" w:customStyle="1">
    <w:name w:val="WW8Num53"/>
    <w:qFormat/>
  </w:style>
  <w:style w:type="numbering" w:styleId="WW8Num39" w:customStyle="1">
    <w:name w:val="WW8Num39"/>
    <w:qFormat/>
  </w:style>
  <w:style w:type="numbering" w:styleId="WW8Num66" w:customStyle="1">
    <w:name w:val="WW8Num66"/>
    <w:qFormat/>
  </w:style>
  <w:style w:type="numbering" w:styleId="WW8Num41" w:customStyle="1">
    <w:name w:val="WW8Num41"/>
    <w:qFormat/>
  </w:style>
  <w:style w:type="numbering" w:styleId="WW8Num2" w:customStyle="1">
    <w:name w:val="WW8Num2"/>
    <w:qFormat/>
  </w:style>
  <w:style w:type="numbering" w:styleId="39766624161" w:customStyle="1">
    <w:name w:val="39766624161"/>
    <w:qFormat/>
  </w:style>
  <w:style w:type="numbering" w:styleId="WW8Num45">
    <w:name w:val="WW8Num45"/>
    <w:qFormat/>
  </w:style>
  <w:style w:type="numbering" w:styleId="WW8Num58">
    <w:name w:val="WW8Num58"/>
    <w:qFormat/>
  </w:style>
  <w:style w:type="numbering" w:styleId="WW8Num33">
    <w:name w:val="WW8Num33"/>
    <w:qFormat/>
  </w:style>
  <w:style w:type="numbering" w:styleId="WW8Num60">
    <w:name w:val="WW8Num60"/>
    <w:qFormat/>
  </w:style>
  <w:style w:type="numbering" w:styleId="WW8Num36">
    <w:name w:val="WW8Num36"/>
    <w:qFormat/>
  </w:style>
  <w:style w:type="numbering" w:styleId="WW8Num67">
    <w:name w:val="WW8Num67"/>
    <w:qFormat/>
  </w:style>
  <w:style w:type="numbering" w:styleId="WW8Num54">
    <w:name w:val="WW8Num5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3845-4124-4F1E-98E8-E9E4520D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24170</TotalTime>
  <Application>AlterOffice/2025.3.0.0$Linux_X86_64 LibreOffice_project/4ba31b6a4271509a884f95065d0a726e9cb2bdbb</Application>
  <AppVersion>15.0000</AppVersion>
  <Pages>19</Pages>
  <Words>2487</Words>
  <Characters>17126</Characters>
  <CharactersWithSpaces>19074</CharactersWithSpaces>
  <Paragraphs>504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2023-04-20T09:36:00Z</dcterms:created>
  <dc:creator>Быстров Олег Геннадьевич</dc:creator>
  <dc:description/>
  <dc:language>ru-RU</dc:language>
  <cp:lastModifiedBy>nikulshinrv@corp.gidroogk.com</cp:lastModifiedBy>
  <cp:lastPrinted>2024-10-09T13:11:00Z</cp:lastPrinted>
  <dcterms:modified xsi:type="dcterms:W3CDTF">2026-06-19T09:12:27Z</dcterms:modified>
  <cp:revision>223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