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bCs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bCs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bCs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27.12.24.190 Поставка запасных частей устройств релейной защиты для комплектации расширенного аварийного запаса ПАО «РусГидро» - «Жигулевская ГЭС» 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1.</w:t>
        <w:tab/>
        <w:t>Общие сведения</w:t>
        <w:tab/>
        <w:t>3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1.1.</w:t>
        <w:tab/>
        <w:t>Обозначения и сокращения</w:t>
        <w:tab/>
        <w:t>3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1.2.</w:t>
        <w:tab/>
        <w:t>Наименование закупаемой продукции</w:t>
        <w:tab/>
        <w:t>3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1.3.</w:t>
        <w:tab/>
        <w:t>Цель использования закупаемой продукции</w:t>
        <w:tab/>
        <w:t>3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1.4.</w:t>
        <w:tab/>
        <w:t>Существующее положение</w:t>
        <w:tab/>
        <w:t>3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2.</w:t>
        <w:tab/>
        <w:t>Требования к продукции</w:t>
        <w:tab/>
        <w:t>3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2.1.</w:t>
        <w:tab/>
        <w:t>Требования к объемам и срокам поставки</w:t>
        <w:tab/>
        <w:t>3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2.1.1.</w:t>
        <w:tab/>
        <w:t>Перечень и объем закупаемой продукции</w:t>
        <w:tab/>
        <w:t>3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Таблица 1. Перечень и объем закупаемой продукции</w:t>
        <w:tab/>
        <w:t>3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Таблица 2. Требования по срокам поставки продукции</w:t>
        <w:tab/>
        <w:t>4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2.2.</w:t>
        <w:tab/>
        <w:t>Требования к качеству продукции</w:t>
        <w:tab/>
        <w:t>5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Таблица 3. Требования к продукции</w:t>
        <w:tab/>
        <w:t>5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3.</w:t>
        <w:tab/>
        <w:t>Требования к техническому предложению и спецификации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Участника на этапе закупки………………………………………………………………………….18</w:t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>
          <w:b w:val="false"/>
        </w:rPr>
        <w:t>4.        Требования к документации по ценообразованию на этапе закупки</w:t>
        <w:tab/>
        <w:t>18</w:t>
      </w:r>
    </w:p>
    <w:p>
      <w:pPr>
        <w:pStyle w:val="Normal"/>
        <w:rPr/>
      </w:pPr>
      <w:r>
        <w:rPr>
          <w:sz w:val="24"/>
          <w:szCs w:val="24"/>
        </w:rPr>
        <w:t>5.         Приложения…………………………………………………………………………………...18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75446566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75446567"/>
      <w:r>
        <w:rPr/>
        <w:t>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АЗ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Аварийный запас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lang w:eastAsia="en-US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/>
              <w:t>Заказчик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Подразумевается </w:t>
            </w:r>
            <w:r>
              <w:rPr>
                <w:rFonts w:eastAsia="Calibri"/>
                <w:sz w:val="24"/>
                <w:szCs w:val="24"/>
                <w:lang w:eastAsia="en-US"/>
              </w:rPr>
              <w:t>филиал ПАО «РусГидро»-«Жигулёвская ГЭС»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lang w:eastAsia="en-US"/>
              </w:rPr>
              <w:t>РЗА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Релейная защита и автоматика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r>
        <w:rPr/>
        <w:t>Наименование закупаемой продукции</w:t>
      </w:r>
    </w:p>
    <w:p>
      <w:pPr>
        <w:pStyle w:val="Normal"/>
        <w:keepNext w:val="true"/>
        <w:keepLines/>
        <w:jc w:val="both"/>
        <w:rPr/>
      </w:pP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27.12.24.190 Поставка запасных частей устройств релейной защиты для комплектации расширенного аварийного запаса ПАО «РусГидро» - «Жигулевская ГЭС» </w:t>
      </w:r>
      <w:bookmarkStart w:id="4" w:name="_Toc75446569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8"/>
          <w:b/>
          <w:lang w:val="ru-RU"/>
        </w:rPr>
      </w:pPr>
      <w:bookmarkStart w:id="5" w:name="_Toc46743507"/>
      <w:r>
        <w:rPr/>
        <w:t xml:space="preserve">Цель </w:t>
      </w:r>
      <w:bookmarkEnd w:id="5"/>
      <w:r>
        <w:rPr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rPr>
          <w:lang w:eastAsia="x-none"/>
        </w:rPr>
      </w:pPr>
      <w:r>
        <w:rPr>
          <w:color w:val="000000"/>
          <w:sz w:val="24"/>
          <w:szCs w:val="24"/>
          <w:lang w:eastAsia="zh-CN"/>
        </w:rPr>
        <w:t>Размещение запасных частей в аварийном запасе Филиала для обеспечения возможности быстрого восстановления работоспособности РЗА и обеспечение бесперебойной работы станции.</w:t>
      </w:r>
    </w:p>
    <w:p>
      <w:pPr>
        <w:pStyle w:val="Heading4"/>
        <w:numPr>
          <w:ilvl w:val="1"/>
          <w:numId w:val="3"/>
        </w:numPr>
        <w:rPr>
          <w:rStyle w:val="Style8"/>
          <w:b/>
          <w:lang w:val="ru-RU"/>
        </w:rPr>
      </w:pPr>
      <w:bookmarkStart w:id="6" w:name="_Toc75446570"/>
      <w:bookmarkStart w:id="7" w:name="_Toc46743508"/>
      <w:r>
        <w:rPr/>
        <w:t>Существующее положение</w:t>
      </w:r>
      <w:bookmarkEnd w:id="7"/>
      <w:r>
        <w:rPr>
          <w:lang w:val="ru-RU"/>
        </w:rPr>
        <w:t xml:space="preserve"> </w:t>
      </w:r>
      <w:bookmarkEnd w:id="6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Закупка устройств РЗА для комплектации расширенного аварийного запаса Филиала.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75446573"/>
      <w:bookmarkStart w:id="10" w:name="_Toc50125126"/>
      <w:bookmarkEnd w:id="10"/>
      <w:r>
        <w:rPr>
          <w:iCs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1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>
      <w:pPr>
        <w:pStyle w:val="Heading3"/>
        <w:numPr>
          <w:ilvl w:val="2"/>
          <w:numId w:val="3"/>
        </w:numPr>
        <w:rPr/>
      </w:pPr>
      <w:bookmarkStart w:id="12" w:name="_Toc75446575"/>
      <w:r>
        <w:rPr>
          <w:lang w:val="ru-RU"/>
        </w:rPr>
        <w:t>Перечень и объем закупаемой продукции</w:t>
      </w:r>
      <w:bookmarkEnd w:id="1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3" w:name="_Toc75446576"/>
      <w:bookmarkStart w:id="1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8"/>
        <w:gridCol w:w="4848"/>
        <w:gridCol w:w="1997"/>
        <w:gridCol w:w="2116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ильтр присоединения ФП 75-1000 / 4650, частотный диапазон 75-1000 кГц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Фильтр присоединения ФПМР 4650, частотный диапазон 48-120 кГц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 КС (ф.В)Фильтр присоединения ФПМР 75-1000 / 3200, частотный диапазон 75-1000 кГц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 КС (ф.А)Фильтр присоединения ФП 36-63 / 3200, частотный диапазон 36-63 кГц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</w:t>
            </w:r>
          </w:p>
        </w:tc>
        <w:tc>
          <w:tcPr>
            <w:tcW w:w="4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Ш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каф отбора напряжения ШОН 301С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5" w:name="_Toc75446578"/>
      <w:bookmarkStart w:id="16" w:name="_Toc51339696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поставки продукции и оказания сопутствующих услуг</w:t>
      </w:r>
      <w:bookmarkEnd w:id="1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75446579"/>
      <w:bookmarkStart w:id="18" w:name="_Toc51339697"/>
      <w:bookmarkStart w:id="19" w:name="_Toc50125127"/>
      <w:bookmarkStart w:id="20" w:name="_Toc50125126_Копия_1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bookmarkStart w:id="21" w:name="_Hlk50465284"/>
      <w:r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549"/>
        <w:gridCol w:w="2980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Вся закупаемая продукция в рамках данных технических требований (Таблица 1)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2-х месяцев с даты заключения договора (плановый срок – 30.11.2026)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2" w:name="_Toc51339698"/>
      <w:bookmarkStart w:id="23" w:name="_Toc75446581"/>
      <w:bookmarkStart w:id="24" w:name="_Toc46743511"/>
      <w:r>
        <w:rPr/>
        <w:t xml:space="preserve">Требования к </w:t>
      </w:r>
      <w:bookmarkEnd w:id="24"/>
      <w:r>
        <w:rPr>
          <w:lang w:val="ru-RU"/>
        </w:rPr>
        <w:t>качеству продукции</w:t>
      </w:r>
      <w:bookmarkEnd w:id="2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25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5"/>
      <w:r>
        <w:rPr>
          <w:sz w:val="24"/>
          <w:szCs w:val="24"/>
        </w:rPr>
        <w:t xml:space="preserve"> </w:t>
      </w:r>
      <w:bookmarkEnd w:id="22"/>
    </w:p>
    <w:p>
      <w:pPr>
        <w:pStyle w:val="Normal"/>
        <w:jc w:val="both"/>
        <w:rPr>
          <w:rStyle w:val="Style8"/>
          <w:bCs/>
          <w:iCs/>
          <w:sz w:val="24"/>
          <w:szCs w:val="24"/>
          <w:shd w:fill="auto" w:val="clear"/>
        </w:rPr>
      </w:pPr>
      <w:r>
        <w:rPr>
          <w:b/>
          <w:bCs/>
          <w:iCs/>
          <w:sz w:val="24"/>
          <w:szCs w:val="24"/>
        </w:rPr>
        <w:t>Наименование продукции (позиции 1.2. – 1.6. Таблицы 1):</w:t>
      </w:r>
      <w:r>
        <w:rPr/>
        <w:t xml:space="preserve"> </w:t>
      </w:r>
      <w:r>
        <w:rPr>
          <w:bCs/>
          <w:iCs/>
          <w:sz w:val="24"/>
          <w:szCs w:val="24"/>
        </w:rPr>
        <w:t>закупаемая продукция</w:t>
      </w:r>
    </w:p>
    <w:tbl>
      <w:tblPr>
        <w:tblStyle w:val="affff7"/>
        <w:tblW w:w="147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2978"/>
        <w:gridCol w:w="4110"/>
        <w:gridCol w:w="2409"/>
        <w:gridCol w:w="2410"/>
        <w:gridCol w:w="1984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эквивалентов</w:t>
            </w:r>
          </w:p>
        </w:tc>
        <w:tc>
          <w:tcPr>
            <w:tcW w:w="4110" w:type="dxa"/>
            <w:tcBorders/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Возможно использование эквивалентов при условии соответствия функциональности, технических характеристик, установочных размеров запасных частей и работоспособности оборудования составной частью которого они являются без дополнительных трудозатрат. Соответствие требованиям указанных в таблице 3 п. 1.2-1.6.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ильтр присоединения ФП 75-1000 / 4650, частотный диапазон 75-1000 кГц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tcBorders>
              <w:top w:val="nil"/>
            </w:tcBorders>
            <w:shd w:fill="FFFFFF" w:val="clear"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Основные технические данные: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- нижняя граничная частота полоса пропускания: 75 кГц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 xml:space="preserve"> </w:t>
            </w: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- верхняя граничная частота полоса пропускания: 1000 кГц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- емкость конденсатора связи: 4650 пФ;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- класс ВЛ: 500 кВ;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- входное сопротивление ФП со стороны ВЛ: 310 Ом;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- входное сопротивление ФП со стороны высокочастотного кабеля: 75 Ом.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Технические характеристики: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Номинальное затухание в полосе пропускания: не более 1,5 дБ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Затухание несогласованности в полосе пропускания не менее 12 дБ.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Входное сопротивление ФП со стороны ВЛ току промышленной частоты не более 4 Ом.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Допустимая суммарная пиковая мощность высокочастотных сигналов со стороны кабельного ввода не должна превышать 400 Вт.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Уровень мощности ВЧ-продуктов нелинейных искажений 2-го и 3-го порядков относительно допустимой мощности ВЧ-сигнала не превышает минус 80 дБ.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Электрическое сопротивление изоляции между обмотками согласующего трансформатора, между каждой обмоткой и корпусом фильтра не менее 100 МОм.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Изоляция между обмотками согласующего трансформатора, между каждой обмоткой и корпусом фильтра выдерживает в течение минуты без пробоя напряжение 10 кВ промышленной частоты.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ФП защищен от воздействия высоких напряжений на входе со стороны ВЛ вентильным разрядником либо ограничителем перенапряжения (ОПН). Напряжение пробоя разрядника на промышленной частоте находится в пределах от 2,3 до 2,7 кВ. Максимальное длительное напряжение промышленной частоты на ОПН не более 2,7 кВ.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ФП защищен от воздействия высоких напряжений на входе со стороны высокочастотного кабеля посредством варистора. Максимальнодопустимое длительное напряжение промышленной частоты на варисторе не более 1,1 кВ.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Механические характеристики: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Габаритные размеры: 328 мм × 335 мм × 163 мм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Масса: не более 10 кг.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Материал корпуса: устойчивый к механическим воздействиям и коррозии.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Климатическое исполнение: УХЛ1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Рабочий температурный диапазон: от -50°C до +50°C.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Влажность: до 100% при температуре +25°C.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Срок службы: не менее 20 лет.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Фильтр присоединения 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ПМР 4650, частотный диапазон 48-120 кГц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4110" w:type="dxa"/>
            <w:tcBorders>
              <w:top w:val="nil"/>
            </w:tcBorders>
            <w:shd w:fill="FFFFFF" w:val="clear"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Основные технические данные: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- нижняя граничная частота полоса пропускания: 48 кГц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 xml:space="preserve"> </w:t>
            </w: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- верхняя граничная частота полоса пропускания: 120 кГц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- емкость конденсатора связи: 4650 пФ;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- класс ВЛ: 500 кВ;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- входное сопротивление ФП со стороны ВЛ: 310 Ом;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shd w:fill="FFFFFF" w:val="clear"/>
                <w:vertAlign w:val="baseline"/>
                <w:lang w:val="ru-RU" w:eastAsia="ru-RU" w:bidi="ar-SA"/>
              </w:rPr>
              <w:t>- входное сопротивление ФП со стороны высокочастотного кабеля: 75 Ом.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Технические характеристики: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Номинальное затухание в полосе пропускания: не более 1,5 дБ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Затухание несогласованности в полосе пропускания не менее 12 дБ.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Входное сопротивление ФП со стороны ВЛ току промышленной частоты не более 4 Ом.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Номинальная пиковая мощность ВЧ сигнала, которую может пропустить фильтр, не более 200 Вт.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Затухание нелинейности при номинальной пиковой мощности ВЧ сигнала не менее 80 дБ.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Электрическое сопротивление изоляции между обмотками согласующего трансформатора, между каждой обмоткой и корпусом фильтра не менее 100 МОм.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 xml:space="preserve"> </w:t>
            </w: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Изоляция между обмотками согласующего трансформатора, между каждой обмоткой и корпусом  фильтра выдерживает в течение минуты без пробоя напряжение 5 кВ промышленной частоты.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ФП защищен от воздействия высоких напряжений на входе со стороны ВЛ вентильным разрядником либо ограничителем перенапряжения (ОПН). Напряжение пробоя разрядника на промышленной частоте находится в пределах от 2,3 до 2,7 кВ. Максимальное длительное напряжение промышленной частоты на ОПН не более 2,7 кВ.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ФП защищен от воздействия высоких напряжений на входе со стороны высокочастотного кабеля посредством варистора. Максимальнодопустимое длительное напряжение промышленной частоты на варисторе не более 1,1 кВ.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Механические характеристики: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Габаритные размеры: 523 мм × 332 мм × 232 мм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Масса: не более 10 кг.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Материал корпуса: устойчивый к механическим воздействиям и коррозии.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Климатическое исполнение: У1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Рабочий температурный диапазон: от -50°C до +50°C.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Влажность: до 100% при температуре +25°C.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hd w:fill="FFFFFF" w:val="clear"/>
              </w:rPr>
              <w:t>Срок службы: не менее 12 лет.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В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 КС (ф.В)Фильтр присоединения ФПМР 75-1000 / 3200, частотный диапазон 75-1000 кГц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u w:val="none"/>
                <w:em w:val="non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tcBorders>
              <w:top w:val="nil"/>
            </w:tcBorders>
            <w:shd w:fill="FFFFFF" w:val="clear"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Частотный диапазон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: 75-1000 кГц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Рабочий диапазон частот, в котором фильтр обеспечивает требуемые характеристики.\</w:t>
            </w:r>
          </w:p>
          <w:p>
            <w:pPr>
              <w:pStyle w:val="BodyText"/>
              <w:widowControl w:val="false"/>
              <w:spacing w:before="120" w:after="120"/>
              <w:rPr>
                <w:rFonts w:ascii="Times New Roman" w:hAnsi="Times New Roman"/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  <w:t>- нижняя граничная частота полоса пропускания: 75 кГц</w:t>
            </w:r>
          </w:p>
          <w:p>
            <w:pPr>
              <w:pStyle w:val="BodyText"/>
              <w:widowControl w:val="false"/>
              <w:spacing w:before="120" w:after="120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 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- верхняя граничная частота полоса пропускания: 1000 кГц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- емкость конденсатора связи: 3200 пФ;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- класс ВЛ: 220 кВ;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Входное сопротивление линейного тракта 450 Ом;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Значение рабочего затухания в полосе пропускания - не более 1,3 дБ;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Затухание несогласованности в полосе пропускания,  - не менее 12 дБ;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120" w:after="120"/>
              <w:ind w:left="0" w:right="0" w:hanging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Номинальное входное сопротивление ФП со стороны высокочастотного кабеля 75 Ом для варианта коаксиального кабеля или 150 Ом для варианта симметричного кабеля;</w:t>
            </w:r>
          </w:p>
          <w:p>
            <w:pPr>
              <w:pStyle w:val="BodyText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Сопротивление ФП со стороны ВЛ току промышленной частоты - не более 20 Ом;  </w:t>
            </w:r>
            <w:r>
              <w:rPr>
                <w:color w:val="000000"/>
                <w:sz w:val="24"/>
                <w:szCs w:val="24"/>
              </w:rPr>
              <w:br/>
              <w:t>Н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оминальное входное сопротивление ФП со стороны ВЛ соответствует волновому сопротивлению ВЛ;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Допустимая суммарная пиковая мощность высокочастотных сигналов со стороны кабельного ввода не более 200 Вт;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Уровень мощности ВЧ-продуктов нелинейных искажений 2-го и 3-го порядка относительно допустимой мощности ВЧ сигнала не превышает - 80 дБ.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Электрическое сопротивление изоляции между обмотками трансформатора фильтра не менее 100 МОм в нормальных климатических условиях;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Изоляция между обмотками трансформатора выдерживает в течение 1 минуты без пробоя напряжение переменного тока 5 кВ эфф, 50 Гц;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Вентильный разрядник установленный со стороны ВЛ имеет: - напряжение пробоя на промышленной частоте в пределах от 2,3 кВ до 2,7 кВ;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 импульсное напряжение пробоя не более 4,3 кВ при предзарядном времени действия импульса от 2мкс до 20 мкс;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 остающееся напряжение не более 2,5кВ при импульсном токе волной 8/20 мкс равном 1000А;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 допустимое значение импульсного тока волной 8/20 мкс не более 5000А.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Варистор установленный со стороны кабеля связи имеет: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 длительно допустимое напряжение переменного тока не более 1100 В эфф;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-остающееся напряжение не менее 1800 В при значениях импульсного тока волной 8/20 мкс от 1мА и выше;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 максимальное остающееся напряжение не более 2970 В при значении импульсноготока волной 8/20 мкс равном 50 А;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допустимое значение импульсного тока волной 8/20 мкс не более 4500А.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Фильтр выполнен в металлическом корпусе (из алюминиевого сплава)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Габаритные размеры: 523мм*332мм*232мм.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Масса фильтра не более 9 кг.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В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 КС (ф.А)Фильтр присоединения ФП 36-63 / 3200, частотный диапазон 36-63 кГц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0" w:type="dxa"/>
            <w:tcBorders>
              <w:top w:val="nil"/>
            </w:tcBorders>
            <w:shd w:fill="FFFFFF" w:val="clear"/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rong2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Основные технические данные:</w:t>
            </w:r>
          </w:p>
          <w:p>
            <w:pPr>
              <w:pStyle w:val="BodyText"/>
              <w:widowControl w:val="false"/>
              <w:spacing w:before="120" w:after="120"/>
              <w:rPr>
                <w:rFonts w:ascii="Times New Roman" w:hAnsi="Times New Roman"/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  <w:t>- нижняя граничная частота полоса пропускания: 36 кГц</w:t>
            </w:r>
          </w:p>
          <w:p>
            <w:pPr>
              <w:pStyle w:val="BodyText"/>
              <w:widowControl w:val="false"/>
              <w:spacing w:before="120" w:after="120"/>
              <w:rPr/>
            </w:pPr>
            <w:r>
              <w:rPr>
                <w:color w:val="000000"/>
                <w:shd w:fill="FFFFFF" w:val="clear"/>
              </w:rPr>
              <w:t> </w:t>
            </w:r>
            <w:r>
              <w:rPr>
                <w:color w:val="000000"/>
                <w:sz w:val="24"/>
                <w:shd w:fill="FFFFFF" w:val="clear"/>
              </w:rPr>
              <w:t>- верхняя граничная частота полоса пропускания: 63 кГц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  <w:t>- емкость конденсатора связи: 3200 пФ;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  <w:t>- класс ВЛ: 220 кВ;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  <w:t>- входное сопротивление ФП со стороны ВЛ: 450 Ом;</w:t>
            </w:r>
          </w:p>
          <w:p>
            <w:pPr>
              <w:pStyle w:val="BodyText"/>
              <w:widowControl w:val="false"/>
              <w:spacing w:before="120" w:after="120"/>
              <w:rPr>
                <w:rFonts w:ascii="Times New Roman" w:hAnsi="Times New Roman"/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  <w:t>- входное сопротивление ФП со стороны высокочастотного кабеля: 75 Ом.</w:t>
            </w:r>
          </w:p>
          <w:p>
            <w:pPr>
              <w:pStyle w:val="BodyText"/>
              <w:widowControl w:val="false"/>
              <w:spacing w:before="120" w:after="120"/>
              <w:rPr/>
            </w:pPr>
            <w:r>
              <w:rPr>
                <w:color w:val="000000"/>
                <w:sz w:val="24"/>
                <w:shd w:fill="FFFFFF" w:val="clear"/>
              </w:rPr>
              <w:t>Технические характеристики:</w:t>
            </w:r>
          </w:p>
          <w:p>
            <w:pPr>
              <w:pStyle w:val="BodyText"/>
              <w:widowControl w:val="false"/>
              <w:spacing w:before="120" w:after="120"/>
              <w:rPr/>
            </w:pPr>
            <w:r>
              <w:rPr>
                <w:color w:val="000000"/>
                <w:sz w:val="24"/>
                <w:shd w:fill="FFFFFF" w:val="clear"/>
              </w:rPr>
              <w:t>Номинальное затухание в полосе пропускания: не более 1,5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дБ</w:t>
            </w:r>
          </w:p>
          <w:p>
            <w:pPr>
              <w:pStyle w:val="BodyText"/>
              <w:widowControl w:val="false"/>
              <w:spacing w:before="120" w:after="120"/>
              <w:rPr/>
            </w:pPr>
            <w:r>
              <w:rPr>
                <w:color w:val="000000"/>
                <w:sz w:val="24"/>
                <w:shd w:fill="FFFFFF" w:val="clear"/>
              </w:rPr>
              <w:t>Затухание несогласованности в полосе пропускания не менее 12 дБ</w:t>
            </w:r>
            <w:r>
              <w:rPr>
                <w:color w:val="000000"/>
                <w:sz w:val="24"/>
              </w:rPr>
              <w:t>.</w:t>
            </w:r>
          </w:p>
          <w:p>
            <w:pPr>
              <w:pStyle w:val="BodyText"/>
              <w:widowControl w:val="false"/>
              <w:spacing w:before="120" w:after="120"/>
              <w:rPr>
                <w:rFonts w:ascii="Times New Roman" w:hAnsi="Times New Roman"/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  <w:t>Входное сопротивление ФП со стороны ВЛ току промышленной частоты не более 4 Ом.</w:t>
            </w:r>
          </w:p>
          <w:p>
            <w:pPr>
              <w:pStyle w:val="BodyText"/>
              <w:widowControl w:val="false"/>
              <w:spacing w:before="120" w:after="120"/>
              <w:rPr>
                <w:rFonts w:ascii="Times New Roman" w:hAnsi="Times New Roman"/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  <w:t>Допустимая суммарная пиковая мощность высокочастотных сигналов со стороны кабельного ввода не должна превышать 400 Вт.</w:t>
            </w:r>
          </w:p>
          <w:p>
            <w:pPr>
              <w:pStyle w:val="BodyText"/>
              <w:widowControl w:val="false"/>
              <w:spacing w:before="120" w:after="120"/>
              <w:rPr>
                <w:rFonts w:ascii="Times New Roman" w:hAnsi="Times New Roman"/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  <w:t>Уровень мощности ВЧ-продуктов нелинейных искажений 2-го и 3-го порядков относительно допустимой мощности ВЧ-сигнала не превышает минус 80 дБ.</w:t>
            </w:r>
          </w:p>
          <w:p>
            <w:pPr>
              <w:pStyle w:val="BodyText"/>
              <w:widowControl w:val="false"/>
              <w:spacing w:before="120" w:after="120"/>
              <w:rPr>
                <w:rFonts w:ascii="Times New Roman" w:hAnsi="Times New Roman"/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  <w:t>Электрическое сопротивление изоляции между обмотками согласующего трансформатора, между каждой обмоткой и корпусом фильтра не менее 100 МОм.</w:t>
            </w:r>
          </w:p>
          <w:p>
            <w:pPr>
              <w:pStyle w:val="BodyText"/>
              <w:widowControl w:val="false"/>
              <w:spacing w:before="120" w:after="120"/>
              <w:rPr/>
            </w:pPr>
            <w:r>
              <w:rPr>
                <w:color w:val="000000"/>
                <w:shd w:fill="FFFFFF" w:val="clear"/>
              </w:rPr>
              <w:t> </w:t>
            </w:r>
            <w:r>
              <w:rPr>
                <w:color w:val="000000"/>
                <w:sz w:val="24"/>
                <w:shd w:fill="FFFFFF" w:val="clear"/>
              </w:rPr>
              <w:t>Изоляция между обмотками согласующего трансформатора, между каждой обмоткой и корпусом фильтра выдерживает в течение минуты без пробоя напряжение 10 кВ промышленной частоты.</w:t>
            </w:r>
          </w:p>
          <w:p>
            <w:pPr>
              <w:pStyle w:val="BodyText"/>
              <w:widowControl w:val="false"/>
              <w:spacing w:before="120" w:after="120"/>
              <w:rPr/>
            </w:pPr>
            <w:r>
              <w:rPr>
                <w:color w:val="000000"/>
                <w:sz w:val="24"/>
                <w:shd w:fill="FFFFFF" w:val="clear"/>
              </w:rPr>
              <w:t>ФП защищен от воздействия высоких напряжений на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входе со стороны ВЛ вентильным разрядником либо ограничителем перенапряжения (ОПН). Напряжение пробоя разрядника на промышленной частоте находится в пределах от 2,3 до 2,7 кВ. Максимальное длительное напряжение промышленной частоты на ОПН не более 2,7 кВ.</w:t>
            </w:r>
          </w:p>
          <w:p>
            <w:pPr>
              <w:pStyle w:val="BodyText"/>
              <w:widowControl w:val="false"/>
              <w:spacing w:before="120" w:after="120"/>
              <w:rPr>
                <w:rFonts w:ascii="Times New Roman" w:hAnsi="Times New Roman"/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  <w:t>ФП защищен от воздействия высоких напряжений на входе со стороны высокочастотного кабеля посредством варистора. Максимальнодопустимое длительное напряжение промышленной частоты на варисторе не более 1,1 кВ.</w:t>
            </w:r>
          </w:p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Механические характеристики:</w:t>
            </w:r>
          </w:p>
          <w:p>
            <w:pPr>
              <w:pStyle w:val="BodyText"/>
              <w:widowControl w:val="false"/>
              <w:spacing w:before="0" w:after="12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Габаритные размеры: 328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мм × 335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мм × 172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мм</w:t>
            </w:r>
          </w:p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Масса: не более 10 кг.</w:t>
            </w:r>
          </w:p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Материал корпуса: устойчивый к механическим воздействиям и коррозии.</w:t>
            </w:r>
          </w:p>
          <w:p>
            <w:pPr>
              <w:pStyle w:val="BodyText"/>
              <w:widowControl w:val="false"/>
              <w:spacing w:before="0" w:after="120"/>
              <w:rPr/>
            </w:pPr>
            <w:r>
              <w:rPr>
                <w:color w:val="000000"/>
                <w:sz w:val="24"/>
                <w:shd w:fill="FFFFFF" w:val="clear"/>
              </w:rPr>
              <w:t>Климатическое исполнение: УХЛ1</w:t>
            </w:r>
          </w:p>
          <w:p>
            <w:pPr>
              <w:pStyle w:val="BodyText"/>
              <w:widowControl w:val="false"/>
              <w:spacing w:before="120" w:after="120"/>
              <w:rPr/>
            </w:pPr>
            <w:r>
              <w:rPr>
                <w:color w:val="000000"/>
                <w:sz w:val="24"/>
                <w:shd w:fill="FFFFFF" w:val="clear"/>
              </w:rPr>
              <w:t>Рабочий температурный диапазон: от -50°C до +50°</w:t>
            </w:r>
            <w:r>
              <w:rPr>
                <w:color w:val="000000"/>
                <w:sz w:val="24"/>
              </w:rPr>
              <w:t>C.</w:t>
            </w:r>
          </w:p>
          <w:p>
            <w:pPr>
              <w:pStyle w:val="BodyText"/>
              <w:widowControl w:val="false"/>
              <w:spacing w:before="0" w:after="120"/>
              <w:rPr/>
            </w:pPr>
            <w:r>
              <w:rPr>
                <w:color w:val="000000"/>
                <w:sz w:val="24"/>
              </w:rPr>
              <w:t xml:space="preserve">Влажность: </w:t>
            </w:r>
            <w:r>
              <w:rPr>
                <w:color w:val="000000"/>
                <w:sz w:val="24"/>
                <w:shd w:fill="FFFFFF" w:val="clear"/>
              </w:rPr>
              <w:t>до 100%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при температуре +25°C.</w:t>
            </w:r>
          </w:p>
          <w:p>
            <w:pPr>
              <w:pStyle w:val="BodyText"/>
              <w:widowControl w:val="false"/>
              <w:spacing w:before="0" w:after="120"/>
              <w:rPr/>
            </w:pPr>
            <w:r>
              <w:rPr>
                <w:color w:val="000000"/>
                <w:sz w:val="24"/>
              </w:rPr>
              <w:t>Срок службы: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не менее 20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лет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Ш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каф отбора напряжения ШОН 301С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Рабочее напряжение, В- 380;           Номинальный ток первичной обмотки на частоте 50 Гц, Iном вх,-0,128А;                                          Номинальный ток вторичных обмоток Iном вых, А- 0,075 XT1 (XT3), 0,15 XT2 (XT4);                           Тип конденсатора связи/емкость, нФ для напряжения ВЛ, 110кВ-1*(110√3−6,4)/6,4; 220 кВ-2*(110√3−6,4)/3,2;  330 кВ-3*(110√З−6,4)/2,15;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Номинальный коэффициент трансформации токов  для ТОН1 =0,853, для ТОН2=1,707.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Разделительный конденсатор 30000 пФ.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Разрядник РВН-0,5. Дроссель 100 мГн.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               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Возможность ступенчатого регулирования тока вторичной обмотки:+/-5,+/-10%;                    Допустимое отклонение тока вторичных обмоток,+/-5%;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         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Максимальное напряжение вторичных обмоток — 120 В;       Степень защиты согласно ГОСТ 14256-96-IP54;                                 Механическое исполнение согласно ГОСТ17516.1-90- М3;       Габаритные размеры, мм:  470×398×210/ 667×488×250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Требования к изготовлению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Должны быть заводского изготовления и быть изготовлены в соответствии с документацией завода изготовителя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x-none" w:eastAsia="x-none" w:bidi="ar-SA"/>
              </w:rPr>
              <w:t xml:space="preserve">Условия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x-none" w:bidi="ar-SA"/>
              </w:rPr>
              <w:t>доставки</w:t>
            </w:r>
          </w:p>
        </w:tc>
        <w:tc>
          <w:tcPr>
            <w:tcW w:w="41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763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Поставляемая продукция предназначена для пополнения аварийного запаса.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763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должно быть без механического воздействия на упаковку и само изделие.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763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поставляемого оборудования будет осуществляться на складе Заказчика. Поставщик должен предусмотреть отправку своего представителя для осуществления приемки.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763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Входной контроль включает внешний осмотр на предмет отсутствия физических дефектов.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763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в будние рабочие дни с 8-00 до 15-00 по местному времени.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763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уведомить Заказчика о поставке продукции не позднее дня, предшествующего дню поставки, необходимо также указать марку и государственный номер автомобиля, на котором будет осуществляться поставка, а также  ФИО и номер водительского удостоверения водителя.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10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поставки закупаемого оборудования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осуществляется на склад заказчика: Московское шоссе, д.2,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 Жигулевск, Самарская обл., Российская Федерация, 445350.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x-none" w:bidi="ar-SA"/>
              </w:rPr>
              <w:t>Назначенный срок службы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30 лет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99" w:hRule="atLeast"/>
        </w:trPr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x-none" w:eastAsia="ru-RU" w:bidi="ar-SA"/>
              </w:rPr>
              <w:t xml:space="preserve">Срок  гарантии на 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поставляемое оборудование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Срок гарантии не менее 36 месяцев</w:t>
            </w:r>
            <w:r>
              <w:rPr>
                <w:rFonts w:eastAsia="Calibri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 даты подписания товарной накладной по форме ТОРГ-12.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0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при поставке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7639" w:leader="none"/>
              </w:tabs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Поставщик должен обеспечит наличие документов: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7639" w:leader="none"/>
              </w:tabs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сертификаты соответствия ГОСТ;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7639" w:leader="none"/>
              </w:tabs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паспорт;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7639" w:leader="none"/>
              </w:tabs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протокол заводских испытаний;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7639" w:leader="none"/>
              </w:tabs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товарная накладная по форме ТОРГ-12 (2 шт.).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spacing w:before="0" w:after="120"/>
        <w:ind w:left="327" w:hanging="0"/>
        <w:contextualSpacing/>
        <w:jc w:val="center"/>
        <w:rPr>
          <w:b/>
          <w:color w:val="000000"/>
        </w:rPr>
      </w:pPr>
      <w:bookmarkStart w:id="26" w:name="_Toc75446583"/>
      <w:bookmarkStart w:id="27" w:name="_Toc53393312"/>
      <w:r>
        <w:rPr>
          <w:b/>
          <w:bCs/>
          <w:iCs/>
          <w:color w:val="000000"/>
          <w:lang w:eastAsia="x-none"/>
        </w:rPr>
        <w:t>3.</w:t>
      </w:r>
      <w:r>
        <w:rPr>
          <w:b/>
          <w:color w:val="000000"/>
        </w:rPr>
        <w:t xml:space="preserve"> Требования к техническому предложению и спецификации </w:t>
      </w:r>
    </w:p>
    <w:p>
      <w:pPr>
        <w:pStyle w:val="ListParagraph"/>
        <w:spacing w:before="0" w:after="120"/>
        <w:ind w:left="327" w:hanging="0"/>
        <w:contextualSpacing/>
        <w:jc w:val="center"/>
        <w:rPr>
          <w:b/>
          <w:color w:val="000000"/>
        </w:rPr>
      </w:pPr>
      <w:r>
        <w:rPr>
          <w:b/>
          <w:color w:val="000000"/>
        </w:rPr>
        <w:t>Участника на этапе закупки</w:t>
      </w:r>
    </w:p>
    <w:p>
      <w:pPr>
        <w:pStyle w:val="ListParagraph"/>
        <w:spacing w:before="0" w:after="120"/>
        <w:ind w:left="327" w:hanging="0"/>
        <w:contextualSpacing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ListParagraph"/>
        <w:spacing w:before="0" w:after="120"/>
        <w:ind w:left="0" w:hanging="0"/>
        <w:contextualSpacing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>3.1.   В техническом предложении Участник должен заполнить столбец таблицы 3 с предложением участника. Участнику необходимо выразить свое согласие с требованиями, указанными в таблице, которым Участник подтверждает необходимость соблюдения данного требования. Отсутствие в техническом предложении Участника заполненной таблицы 3 настоящих ТТ с обязательным содержанием и заполнением всех строк, несогласие с требованиями или несоответствие требованиям Заказчика, отсутствие подтверждающих документов, требуемых Заказчиком, будет являться основанием для отклонения заявки Участника от дальнейшего рассмотрения. Техническое предложение победителя закупки будет приложено к договору.</w:t>
      </w:r>
    </w:p>
    <w:p>
      <w:pPr>
        <w:pStyle w:val="ListParagraph"/>
        <w:spacing w:before="0" w:after="120"/>
        <w:ind w:left="0" w:hanging="0"/>
        <w:contextualSpacing/>
        <w:rPr>
          <w:color w:val="000000"/>
        </w:rPr>
      </w:pPr>
      <w:r>
        <w:rPr>
          <w:color w:val="000000"/>
        </w:rPr>
      </w:r>
    </w:p>
    <w:p>
      <w:pPr>
        <w:pStyle w:val="ListParagraph"/>
        <w:spacing w:before="0" w:after="120"/>
        <w:ind w:left="0" w:hanging="0"/>
        <w:contextualSpacing/>
        <w:rPr>
          <w:color w:val="000000"/>
        </w:rPr>
      </w:pPr>
      <w:r>
        <w:rPr>
          <w:color w:val="000000"/>
        </w:rPr>
        <w:t xml:space="preserve">         </w:t>
      </w:r>
      <w:r>
        <w:rPr>
          <w:color w:val="000000"/>
        </w:rPr>
        <w:t>3.2.   В составе заявки каждого Участника должна быть приложена заполненная спецификация поставляемого оборудования (спецификация должна быть предоставлена в двух вариантах – в pdf и Excel) по форме приложения № 1 к ТТ. Отсутствие в заявке Участника заполненной спецификации с обязательным содержанием и заполнением всех столбцов, несогласие с требованиями или несоответствие требованиям Заказчика, отсутствие подтверждающих документов, требуемых Заказчиком, будет являться основанием для отклонения заявки Участника от дальнейшего рассмотрения. Спецификация победителя закупки будет приложена к договору.</w:t>
      </w:r>
    </w:p>
    <w:p>
      <w:pPr>
        <w:pStyle w:val="Normal"/>
        <w:spacing w:lineRule="auto" w:line="276" w:before="0" w:after="120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before="120" w:after="60"/>
        <w:ind w:left="357" w:hanging="0"/>
        <w:outlineLvl w:val="0"/>
        <w:rPr>
          <w:rFonts w:eastAsia="Calibri"/>
          <w:b/>
          <w:color w:val="00000A"/>
          <w:sz w:val="24"/>
          <w:szCs w:val="24"/>
          <w:lang w:val="x-none" w:eastAsia="x-none"/>
        </w:rPr>
      </w:pPr>
      <w:r>
        <w:rPr>
          <w:rFonts w:eastAsia="Calibri"/>
          <w:b/>
          <w:color w:val="000000"/>
          <w:sz w:val="24"/>
          <w:szCs w:val="24"/>
          <w:lang w:eastAsia="x-none"/>
        </w:rPr>
        <w:t xml:space="preserve">            </w:t>
      </w:r>
      <w:r>
        <w:rPr>
          <w:rFonts w:eastAsia="Calibri"/>
          <w:b/>
          <w:color w:val="000000"/>
          <w:sz w:val="24"/>
          <w:szCs w:val="24"/>
          <w:lang w:eastAsia="x-none"/>
        </w:rPr>
        <w:t xml:space="preserve">4. </w:t>
      </w:r>
      <w:bookmarkStart w:id="28" w:name="_Toc130454100"/>
      <w:r>
        <w:rPr>
          <w:rFonts w:eastAsia="Calibri"/>
          <w:b/>
          <w:color w:val="000000"/>
          <w:sz w:val="24"/>
          <w:szCs w:val="24"/>
          <w:lang w:eastAsia="x-none"/>
        </w:rPr>
        <w:t>Требования к документации по ценообразованию на этапе закупки</w:t>
      </w:r>
      <w:bookmarkEnd w:id="2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bCs/>
          <w:iCs/>
          <w:color w:val="000000"/>
          <w:sz w:val="24"/>
          <w:szCs w:val="24"/>
          <w:lang w:eastAsia="x-none"/>
        </w:rPr>
        <w:t xml:space="preserve">        </w:t>
      </w:r>
      <w:r>
        <w:rPr>
          <w:bCs/>
          <w:iCs/>
          <w:color w:val="000000"/>
          <w:sz w:val="24"/>
          <w:szCs w:val="24"/>
          <w:lang w:eastAsia="x-none"/>
        </w:rPr>
        <w:t xml:space="preserve">4.1 В обоснование стоимости своей заявки Участник предоставляет Коммерческое предложение по форме </w:t>
      </w:r>
      <w:bookmarkStart w:id="29" w:name="_Hlk88325985"/>
      <w:r>
        <w:rPr>
          <w:bCs/>
          <w:iCs/>
          <w:color w:val="000000"/>
          <w:sz w:val="24"/>
          <w:szCs w:val="24"/>
          <w:lang w:eastAsia="x-none"/>
        </w:rPr>
        <w:t>(с учетом прилагаемой к ней инструкции по заполнению)</w:t>
      </w:r>
      <w:bookmarkEnd w:id="29"/>
      <w:r>
        <w:rPr>
          <w:bCs/>
          <w:iCs/>
          <w:color w:val="000000"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rFonts w:eastAsia="Calibri"/>
          <w:iCs/>
          <w:color w:val="000000"/>
          <w:sz w:val="24"/>
          <w:szCs w:val="24"/>
          <w:lang w:eastAsia="x-none"/>
        </w:rPr>
        <w:t xml:space="preserve">        </w:t>
      </w:r>
      <w:r>
        <w:rPr>
          <w:rFonts w:eastAsia="Calibri"/>
          <w:iCs/>
          <w:color w:val="000000"/>
          <w:sz w:val="24"/>
          <w:szCs w:val="24"/>
          <w:lang w:val="x-none" w:eastAsia="x-none"/>
        </w:rPr>
        <w:t xml:space="preserve">4.2 </w:t>
      </w:r>
      <w:r>
        <w:rPr>
          <w:rFonts w:eastAsia="Calibri"/>
          <w:iCs/>
          <w:color w:val="000000"/>
          <w:sz w:val="24"/>
          <w:szCs w:val="24"/>
          <w:lang w:eastAsia="x-none"/>
        </w:rPr>
        <w:t xml:space="preserve"> </w:t>
      </w:r>
      <w:r>
        <w:rPr>
          <w:rFonts w:eastAsia="Calibri"/>
          <w:iCs/>
          <w:color w:val="000000"/>
          <w:sz w:val="24"/>
          <w:szCs w:val="24"/>
          <w:lang w:val="x-none" w:eastAsia="x-none"/>
        </w:rPr>
        <w:t xml:space="preserve"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№1 к настоящим Техническим требованиям (в случае закупки </w:t>
      </w:r>
      <w:r>
        <w:rPr>
          <w:rFonts w:eastAsia="Calibri"/>
          <w:iCs/>
          <w:color w:val="000000"/>
          <w:sz w:val="24"/>
          <w:szCs w:val="24"/>
          <w:lang w:eastAsia="x-none"/>
        </w:rPr>
        <w:t>продукции</w:t>
      </w:r>
      <w:r>
        <w:rPr>
          <w:rFonts w:eastAsia="Calibri"/>
          <w:iCs/>
          <w:color w:val="000000"/>
          <w:sz w:val="24"/>
          <w:szCs w:val="24"/>
          <w:lang w:val="x-none" w:eastAsia="x-none"/>
        </w:rPr>
        <w:t xml:space="preserve">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</w:t>
      </w:r>
      <w:r>
        <w:rPr>
          <w:rFonts w:eastAsia="Calibri"/>
          <w:iCs/>
          <w:color w:val="000000"/>
          <w:sz w:val="24"/>
          <w:szCs w:val="24"/>
          <w:lang w:eastAsia="x-none"/>
        </w:rPr>
        <w:t>.</w:t>
      </w:r>
      <w:bookmarkEnd w:id="26"/>
      <w:bookmarkEnd w:id="27"/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pacing w:before="0" w:after="120"/>
        <w:rPr>
          <w:b/>
          <w:bCs/>
          <w:color w:val="00000A"/>
        </w:rPr>
      </w:pPr>
      <w:r>
        <w:rPr>
          <w:b/>
          <w:bCs/>
          <w:iCs/>
          <w:color w:val="000000"/>
          <w:sz w:val="24"/>
          <w:szCs w:val="24"/>
        </w:rPr>
        <w:tab/>
        <w:t>5. П</w:t>
      </w:r>
      <w:bookmarkStart w:id="30" w:name="_Toc130454101"/>
      <w:r>
        <w:rPr>
          <w:b/>
          <w:bCs/>
          <w:iCs/>
          <w:color w:val="000000"/>
          <w:sz w:val="24"/>
          <w:szCs w:val="24"/>
        </w:rPr>
        <w:t>риложения</w:t>
      </w:r>
      <w:bookmarkEnd w:id="30"/>
    </w:p>
    <w:p>
      <w:pPr>
        <w:pStyle w:val="Normal"/>
        <w:keepNext w:val="true"/>
        <w:keepLines/>
        <w:numPr>
          <w:ilvl w:val="0"/>
          <w:numId w:val="0"/>
        </w:numPr>
        <w:ind w:left="0" w:hanging="0"/>
        <w:outlineLvl w:val="0"/>
        <w:rPr>
          <w:rFonts w:eastAsia="Calibri"/>
          <w:color w:val="000000"/>
          <w:lang w:val="x-none" w:eastAsia="x-none"/>
        </w:rPr>
      </w:pPr>
      <w:r>
        <w:rPr>
          <w:rFonts w:eastAsia="Calibri"/>
          <w:iCs/>
          <w:color w:val="000000"/>
          <w:sz w:val="24"/>
          <w:szCs w:val="24"/>
          <w:lang w:eastAsia="x-none"/>
        </w:rPr>
        <w:tab/>
      </w:r>
      <w:bookmarkStart w:id="31" w:name="_Toc130454104"/>
      <w:r>
        <w:rPr>
          <w:rFonts w:eastAsia="Calibri"/>
          <w:iCs/>
          <w:color w:val="000000"/>
          <w:sz w:val="24"/>
          <w:szCs w:val="24"/>
          <w:lang w:eastAsia="x-none"/>
        </w:rPr>
        <w:t xml:space="preserve"> Критерии оценки</w:t>
      </w:r>
      <w:bookmarkEnd w:id="31"/>
      <w:r>
        <w:rPr>
          <w:rFonts w:eastAsia="Calibri"/>
          <w:iCs/>
          <w:color w:val="000000"/>
          <w:sz w:val="24"/>
          <w:szCs w:val="24"/>
          <w:lang w:eastAsia="x-none"/>
        </w:rPr>
        <w:t>.</w:t>
      </w:r>
    </w:p>
    <w:p>
      <w:pPr>
        <w:pStyle w:val="Normal"/>
        <w:rPr>
          <w:iCs/>
          <w:lang w:val="x-none"/>
        </w:rPr>
      </w:pPr>
      <w:r>
        <w:rPr>
          <w:iCs/>
          <w:lang w:val="x-none"/>
        </w:rPr>
      </w:r>
    </w:p>
    <w:p>
      <w:pPr>
        <w:pStyle w:val="Normal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2f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rong2">
    <w:name w:val="Strong2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lineRule="auto" w:line="240"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75DE8-C203-4899-A3B2-1F95CA4C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Application>AlterOffice/3.4.0.9$Linux_X86_64 LibreOffice_project/b8daf9e823b1a5463a2f48435ddc2e8696e7d4fc</Application>
  <AppVersion>15.0000</AppVersion>
  <Pages>18</Pages>
  <Words>2253</Words>
  <Characters>14679</Characters>
  <CharactersWithSpaces>16899</CharactersWithSpaces>
  <Paragraphs>301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2025-04-15T05:29:00Z</dcterms:created>
  <dc:creator>Быстров Олег Геннадьевич</dc:creator>
  <dc:description/>
  <dc:language>ru-RU</dc:language>
  <cp:lastModifiedBy>kholopovsp@corp.gidroogk.com</cp:lastModifiedBy>
  <cp:lastPrinted>2024-11-05T04:37:00Z</cp:lastPrinted>
  <dcterms:modified xsi:type="dcterms:W3CDTF">2026-06-19T13:16:18Z</dcterms:modified>
  <cp:revision>27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