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21A0" w14:textId="77777777" w:rsidR="005D7518" w:rsidRPr="005A5F06" w:rsidRDefault="005D7518" w:rsidP="005D7518">
      <w:pPr>
        <w:pStyle w:val="a5"/>
        <w:keepNext/>
        <w:jc w:val="right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Приложение</w:t>
      </w:r>
      <w:r w:rsidRPr="005A5F06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№ 1. Календарный план</w:t>
      </w:r>
    </w:p>
    <w:tbl>
      <w:tblPr>
        <w:tblW w:w="51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2976"/>
        <w:gridCol w:w="4395"/>
        <w:gridCol w:w="3968"/>
      </w:tblGrid>
      <w:tr w:rsidR="005D7518" w:rsidRPr="005A5F06" w14:paraId="35D866B9" w14:textId="77777777" w:rsidTr="00FC678A">
        <w:trPr>
          <w:trHeight w:val="107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DAF0F5" w14:textId="77777777" w:rsidR="005D7518" w:rsidRPr="005A5F06" w:rsidRDefault="005D7518" w:rsidP="00FC678A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Этап,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55ACE2E" w14:textId="77777777" w:rsidR="005D7518" w:rsidRPr="005A5F06" w:rsidRDefault="005D7518" w:rsidP="00FC678A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Название этапа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7A49920" w14:textId="77777777" w:rsidR="005D7518" w:rsidRPr="005A5F06" w:rsidRDefault="005D7518" w:rsidP="00FC678A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Срок выполнения обязательств по этапу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0930F02" w14:textId="77777777" w:rsidR="005D7518" w:rsidRPr="005A5F06" w:rsidRDefault="005D7518" w:rsidP="00FC678A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Услуги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4B383E9" w14:textId="77777777" w:rsidR="005D7518" w:rsidRPr="005A5F06" w:rsidRDefault="005D7518" w:rsidP="00FC678A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Результаты/Документы</w:t>
            </w:r>
          </w:p>
        </w:tc>
      </w:tr>
      <w:tr w:rsidR="005D7518" w:rsidRPr="005A5F06" w14:paraId="2DDD4E86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252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F8D6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371" w14:textId="77777777" w:rsidR="005D7518" w:rsidRPr="00D108BE" w:rsidRDefault="005D7518" w:rsidP="00FC678A">
            <w:pPr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 </w:t>
            </w:r>
            <w:r w:rsidRPr="00E6673A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тридцать) календарных дней </w:t>
            </w:r>
            <w:r w:rsidRPr="005A5F06">
              <w:rPr>
                <w:rFonts w:cs="Times New Roman"/>
                <w:sz w:val="24"/>
                <w:szCs w:val="24"/>
              </w:rPr>
              <w:t xml:space="preserve">с даты заключения </w:t>
            </w:r>
            <w:r>
              <w:rPr>
                <w:rFonts w:cs="Times New Roman"/>
                <w:sz w:val="24"/>
                <w:szCs w:val="24"/>
              </w:rPr>
              <w:t>Договора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448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Развертывание системного ландшафта в ИТ-инфраструктуре Заказчика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AC5" w14:textId="77777777" w:rsidR="005D7518" w:rsidRPr="0059107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 xml:space="preserve">Документ «Протокол развертывания решения» </w:t>
            </w:r>
          </w:p>
        </w:tc>
      </w:tr>
      <w:tr w:rsidR="005D7518" w:rsidRPr="005A5F06" w14:paraId="5830E47A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50C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315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F89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B9E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Интеграция с внутренними системами Заказчика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5DD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 xml:space="preserve">Документ «Проектное решение по интеграции с внутренними системами Заказчика» </w:t>
            </w:r>
          </w:p>
        </w:tc>
      </w:tr>
      <w:tr w:rsidR="005D7518" w:rsidRPr="005A5F06" w14:paraId="549D42CB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A50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1C8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CA8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8F1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Разработка программы и методики испытаний (включая функциональные и интеграционные испытания)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36D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 xml:space="preserve">Документ «Программа и методика испытаний» </w:t>
            </w:r>
          </w:p>
        </w:tc>
      </w:tr>
      <w:tr w:rsidR="005D7518" w:rsidRPr="005A5F06" w14:paraId="61F7D787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BE0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9F5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DB8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AC9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Разработка обучающих материалов и инструкций/ руководств пользователей (в соответствии со списком ролей)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AD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Инструкции в текстовом и/или видео формате (на электронном носителе)</w:t>
            </w:r>
          </w:p>
        </w:tc>
      </w:tr>
      <w:tr w:rsidR="005D7518" w:rsidRPr="005A5F06" w14:paraId="470EE474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739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61A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89C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EE2" w14:textId="77777777" w:rsidR="005D7518" w:rsidRPr="005A5F06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Дора</w:t>
            </w:r>
            <w:r>
              <w:rPr>
                <w:rFonts w:cs="Times New Roman"/>
                <w:sz w:val="24"/>
                <w:szCs w:val="24"/>
              </w:rPr>
              <w:t>ботка и настройка Системы</w:t>
            </w:r>
          </w:p>
          <w:p w14:paraId="32E5C65E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E10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 xml:space="preserve">Документ «Протокол предварительных испытаний» </w:t>
            </w:r>
          </w:p>
        </w:tc>
      </w:tr>
      <w:tr w:rsidR="005D7518" w:rsidRPr="005A5F06" w14:paraId="69562315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B69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9BE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C9E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722" w14:textId="77777777" w:rsidR="005D7518" w:rsidRPr="005A5F06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Разработка рабочей документации Системы согласно требованиям к документации в стандарте «Обеспечение информационной безопасности при разработке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9107C">
              <w:rPr>
                <w:rFonts w:cs="Times New Roman"/>
                <w:sz w:val="24"/>
                <w:szCs w:val="24"/>
              </w:rPr>
              <w:t>или модернизации информационных систем и приложений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9107C">
              <w:rPr>
                <w:rFonts w:cs="Times New Roman"/>
                <w:sz w:val="24"/>
                <w:szCs w:val="24"/>
              </w:rPr>
              <w:t>АО «Почта России»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61C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 xml:space="preserve">Рабочая документация Системы </w:t>
            </w:r>
          </w:p>
        </w:tc>
      </w:tr>
      <w:tr w:rsidR="005D7518" w:rsidRPr="005A5F06" w14:paraId="6D227346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E56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DB0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79D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13B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Разработка регламента технической поддержки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469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Документ «Регламент технической поддержки»</w:t>
            </w:r>
          </w:p>
        </w:tc>
      </w:tr>
      <w:tr w:rsidR="005D7518" w:rsidRPr="005A5F06" w14:paraId="5586E3BF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A2E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A53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669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F9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Разработка программы опытно-промышленной эксплуатации Системы в рамках первого блока процессов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C1B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 xml:space="preserve">Документ «Программа опытно-промышленной </w:t>
            </w:r>
            <w:r w:rsidRPr="0059107C">
              <w:rPr>
                <w:rFonts w:cs="Times New Roman"/>
                <w:sz w:val="24"/>
                <w:szCs w:val="24"/>
              </w:rPr>
              <w:lastRenderedPageBreak/>
              <w:t xml:space="preserve">эксплуатации Системы в рамках первого блока процессов» </w:t>
            </w:r>
          </w:p>
        </w:tc>
      </w:tr>
      <w:tr w:rsidR="005D7518" w:rsidRPr="005A5F06" w14:paraId="2F378951" w14:textId="77777777" w:rsidTr="00FC6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25C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372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F4" w14:textId="77777777" w:rsidR="005D7518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0DCD" w14:textId="77777777" w:rsidR="005D7518" w:rsidRPr="005A5F06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Прохождение аудита ДИБ.</w:t>
            </w:r>
            <w:r w:rsidRPr="0059107C">
              <w:rPr>
                <w:rFonts w:cs="Times New Roman"/>
                <w:sz w:val="24"/>
                <w:szCs w:val="24"/>
              </w:rPr>
              <w:br/>
              <w:t>Доработка архитектуры и настроек Системы по замечаниям аудита ДИБ.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B58" w14:textId="77777777" w:rsidR="005D7518" w:rsidRPr="0059107C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59107C">
              <w:rPr>
                <w:rFonts w:cs="Times New Roman"/>
                <w:sz w:val="24"/>
                <w:szCs w:val="24"/>
              </w:rPr>
              <w:t>Заключение ДИБ (разрабатывается Заказчиком)</w:t>
            </w:r>
          </w:p>
          <w:p w14:paraId="697B3222" w14:textId="77777777" w:rsidR="005D7518" w:rsidRPr="0059107C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  <w:p w14:paraId="363F233C" w14:textId="77777777" w:rsidR="005D7518" w:rsidRPr="0021389C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7518" w:rsidRPr="005A5F06" w14:paraId="5076BC3A" w14:textId="77777777" w:rsidTr="00FC678A">
        <w:trPr>
          <w:trHeight w:val="7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BE13" w14:textId="77777777" w:rsidR="005D7518" w:rsidRPr="005A5F06" w:rsidDel="009A762C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7839D" w14:textId="77777777" w:rsidR="005D7518" w:rsidRPr="005A5F06" w:rsidRDefault="005D7518" w:rsidP="00FC678A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Предоставление права использования ПО системы Оператора </w:t>
            </w:r>
            <w:r>
              <w:rPr>
                <w:rFonts w:cs="Times New Roman"/>
                <w:sz w:val="24"/>
                <w:szCs w:val="24"/>
              </w:rPr>
              <w:t>ИС ЭПД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E63" w14:textId="77777777" w:rsidR="005D7518" w:rsidRPr="005A5F06" w:rsidRDefault="005D7518" w:rsidP="00FC678A">
            <w:pPr>
              <w:spacing w:before="60" w:after="6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(один)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календарный </w:t>
            </w:r>
            <w:r w:rsidRPr="0013022E">
              <w:rPr>
                <w:rFonts w:eastAsia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нь</w:t>
            </w:r>
            <w:r w:rsidRPr="001302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даты окончания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Подготовительного</w:t>
            </w:r>
            <w:r w:rsidRPr="005135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а, указанного в настоящем Приложении Технических требований</w:t>
            </w: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1E57A731" w14:textId="77777777" w:rsidR="005D7518" w:rsidRPr="005A5F06" w:rsidRDefault="005D7518" w:rsidP="00FC678A">
            <w:pPr>
              <w:ind w:firstLine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5B395" w14:textId="6F867D56" w:rsidR="005D7518" w:rsidRPr="005A5F06" w:rsidRDefault="005D7518" w:rsidP="00FC678A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Предоставление права использования ПО системы Оператора </w:t>
            </w:r>
            <w:r>
              <w:rPr>
                <w:rFonts w:cs="Times New Roman"/>
                <w:sz w:val="24"/>
                <w:szCs w:val="24"/>
              </w:rPr>
              <w:t>ИС ЭПД</w:t>
            </w:r>
            <w:r w:rsidRPr="005A5F06">
              <w:rPr>
                <w:rFonts w:cs="Times New Roman"/>
                <w:sz w:val="24"/>
                <w:szCs w:val="24"/>
              </w:rPr>
              <w:t xml:space="preserve"> на </w:t>
            </w:r>
            <w:r w:rsidR="006A0A03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 xml:space="preserve"> месяцев</w:t>
            </w:r>
          </w:p>
          <w:p w14:paraId="0CB71820" w14:textId="77777777" w:rsidR="005D7518" w:rsidRPr="005A5F06" w:rsidRDefault="005D7518" w:rsidP="00FC678A">
            <w:pPr>
              <w:spacing w:before="60" w:after="6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318E" w14:textId="77777777" w:rsidR="005D7518" w:rsidRPr="005A5F06" w:rsidRDefault="005D7518" w:rsidP="00FC678A">
            <w:pPr>
              <w:ind w:left="52"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Результаты:</w:t>
            </w:r>
          </w:p>
          <w:p w14:paraId="18EAFBB1" w14:textId="77777777" w:rsidR="005D7518" w:rsidRPr="005A5F06" w:rsidRDefault="005D7518" w:rsidP="00FC678A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 xml:space="preserve">Переданы права использования ПО системы Оператора </w:t>
            </w:r>
            <w:r>
              <w:rPr>
                <w:sz w:val="24"/>
              </w:rPr>
              <w:t>ИС ЭПД</w:t>
            </w:r>
          </w:p>
          <w:p w14:paraId="09C66662" w14:textId="77777777" w:rsidR="005D7518" w:rsidRPr="005A5F06" w:rsidRDefault="005D7518" w:rsidP="00FC678A">
            <w:pPr>
              <w:ind w:left="52"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Документы:</w:t>
            </w:r>
          </w:p>
          <w:p w14:paraId="1B52701B" w14:textId="77777777" w:rsidR="005D7518" w:rsidRPr="005A5F06" w:rsidRDefault="005D7518" w:rsidP="00FC678A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>Акт приема-передачи прав использования программного обеспечения;</w:t>
            </w:r>
          </w:p>
          <w:p w14:paraId="44A37F9E" w14:textId="77777777" w:rsidR="005D7518" w:rsidRDefault="005D7518" w:rsidP="00FC678A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>Спецификация передаваемого ПО;</w:t>
            </w:r>
          </w:p>
          <w:p w14:paraId="4F63B8FF" w14:textId="77777777" w:rsidR="005D7518" w:rsidRPr="002C21C0" w:rsidRDefault="005D7518" w:rsidP="00FC678A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2C21C0">
              <w:rPr>
                <w:sz w:val="24"/>
              </w:rPr>
              <w:t>Отчет о результатах поддержки Системы на период опытно-промышленной эксплуатации</w:t>
            </w:r>
            <w:r>
              <w:rPr>
                <w:sz w:val="24"/>
              </w:rPr>
              <w:t xml:space="preserve"> -</w:t>
            </w:r>
            <w:r w:rsidRPr="00D55C6A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Pr="00D55C6A">
              <w:rPr>
                <w:sz w:val="24"/>
              </w:rPr>
              <w:t>олжен содержать информацию о том, как Система функционировала в реальных условиях, какие были выявлены проблемы и замечания, какая работа была проделана по их устранению, а также рекомендации по доработке и переходу к промышленной эксплуатации, отчет о выполнении S</w:t>
            </w:r>
            <w:r w:rsidRPr="00D55C6A">
              <w:rPr>
                <w:sz w:val="24"/>
                <w:lang w:val="en-US"/>
              </w:rPr>
              <w:t>LA</w:t>
            </w:r>
            <w:r w:rsidRPr="00D55C6A">
              <w:rPr>
                <w:sz w:val="24"/>
              </w:rPr>
              <w:t>.</w:t>
            </w:r>
          </w:p>
          <w:p w14:paraId="3FBCFE5B" w14:textId="77777777" w:rsidR="005D7518" w:rsidRPr="005A5F06" w:rsidRDefault="005D7518" w:rsidP="00FC678A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lastRenderedPageBreak/>
              <w:t>Документ/документы, подтверждающие наличие у Исполнителя прав в отношении ПО.</w:t>
            </w:r>
          </w:p>
        </w:tc>
      </w:tr>
      <w:tr w:rsidR="005D7518" w:rsidRPr="005A5F06" w14:paraId="331E3081" w14:textId="77777777" w:rsidTr="00FC678A">
        <w:trPr>
          <w:trHeight w:val="131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EBC" w14:textId="77777777" w:rsidR="005D7518" w:rsidRPr="005A5F06" w:rsidDel="009A762C" w:rsidRDefault="005D7518" w:rsidP="00FC678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131" w14:textId="77777777" w:rsidR="005D7518" w:rsidRPr="005A5F06" w:rsidDel="009A762C" w:rsidRDefault="005D7518" w:rsidP="00FC678A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Оказание услуг Оператора </w:t>
            </w:r>
            <w:r>
              <w:rPr>
                <w:rFonts w:cs="Times New Roman"/>
                <w:sz w:val="24"/>
                <w:szCs w:val="24"/>
              </w:rPr>
              <w:t>ИС ЭПД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80B" w14:textId="2A4A5B4C" w:rsidR="005D7518" w:rsidRDefault="006A0A03" w:rsidP="00FC678A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5D7518" w:rsidRPr="005A5F06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двенадцать</w:t>
            </w:r>
            <w:r w:rsidR="005D7518" w:rsidRPr="005A5F06">
              <w:rPr>
                <w:rFonts w:cs="Times New Roman"/>
                <w:sz w:val="24"/>
                <w:szCs w:val="24"/>
              </w:rPr>
              <w:t xml:space="preserve">) календарных месяцев </w:t>
            </w:r>
            <w:r w:rsidR="005D7518">
              <w:rPr>
                <w:rFonts w:cs="Times New Roman"/>
                <w:sz w:val="24"/>
                <w:szCs w:val="24"/>
              </w:rPr>
              <w:t xml:space="preserve">с даты окончания </w:t>
            </w:r>
            <w:r w:rsidR="005D7518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Подготовительного</w:t>
            </w:r>
            <w:r w:rsidR="005D7518" w:rsidRPr="005135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этап</w:t>
            </w:r>
            <w:r w:rsidR="005D7518">
              <w:rPr>
                <w:rFonts w:eastAsia="Times New Roman" w:cs="Times New Roman"/>
                <w:sz w:val="24"/>
                <w:szCs w:val="24"/>
                <w:lang w:eastAsia="ru-RU"/>
              </w:rPr>
              <w:t>а, указанного в настоящем Приложении Технических требований</w:t>
            </w:r>
            <w:r w:rsidR="005D7518">
              <w:rPr>
                <w:rFonts w:cs="Times New Roman"/>
                <w:sz w:val="24"/>
                <w:szCs w:val="24"/>
              </w:rPr>
              <w:t>.</w:t>
            </w:r>
          </w:p>
          <w:p w14:paraId="2B8916A2" w14:textId="77777777" w:rsidR="005D7518" w:rsidRPr="00C20995" w:rsidRDefault="005D7518" w:rsidP="00FC678A">
            <w:pPr>
              <w:pStyle w:val="a3"/>
              <w:spacing w:line="240" w:lineRule="auto"/>
              <w:ind w:left="3" w:firstLine="0"/>
              <w:contextualSpacing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969" w14:textId="77777777" w:rsidR="005D7518" w:rsidRPr="00C20995" w:rsidRDefault="005D7518" w:rsidP="00FC678A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Оказание услуг </w:t>
            </w:r>
            <w:r w:rsidRPr="00B5742F">
              <w:rPr>
                <w:rFonts w:eastAsia="Times New Roman"/>
                <w:sz w:val="24"/>
                <w:szCs w:val="24"/>
                <w:lang w:eastAsia="ru-RU"/>
              </w:rPr>
              <w:t>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 закон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одательства Российской Федерации</w:t>
            </w:r>
            <w:r w:rsidRPr="005A5F06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5F06">
              <w:rPr>
                <w:rFonts w:cs="Times New Roman"/>
                <w:sz w:val="24"/>
                <w:szCs w:val="24"/>
              </w:rPr>
              <w:t>включая:</w:t>
            </w:r>
          </w:p>
          <w:p w14:paraId="4513E2B4" w14:textId="77777777" w:rsidR="005D7518" w:rsidRPr="005A5F06" w:rsidRDefault="005D7518" w:rsidP="00FC678A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</w:t>
            </w:r>
            <w:r w:rsidRPr="005A5F06">
              <w:rPr>
                <w:rFonts w:eastAsiaTheme="minorHAnsi"/>
                <w:sz w:val="24"/>
                <w:lang w:eastAsia="en-US"/>
              </w:rPr>
              <w:t>беспечение постоянной поддержки пользователей;</w:t>
            </w:r>
          </w:p>
          <w:p w14:paraId="26ECD9E6" w14:textId="77777777" w:rsidR="005D7518" w:rsidRPr="005A5F06" w:rsidRDefault="005D7518" w:rsidP="00FC678A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Устранение инцидентов в рамках оказания услуг, анализ причин возникновение инцидентов и нивелирование факторов возникновения инцидентов;</w:t>
            </w:r>
          </w:p>
          <w:p w14:paraId="67702378" w14:textId="77777777" w:rsidR="005D7518" w:rsidRPr="005A5F06" w:rsidRDefault="005D7518" w:rsidP="00FC678A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Формирование ежеквартальной отчетности;</w:t>
            </w:r>
          </w:p>
          <w:p w14:paraId="540DA768" w14:textId="77777777" w:rsidR="005D7518" w:rsidRPr="005A5F06" w:rsidRDefault="005D7518" w:rsidP="00FC678A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Обеспечение выполнения стандартов и нормативов ИТ – безопасности Заказчика;</w:t>
            </w:r>
          </w:p>
          <w:p w14:paraId="2ADC2171" w14:textId="77777777" w:rsidR="005D7518" w:rsidRDefault="005D7518" w:rsidP="00FC678A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5A5F06">
              <w:rPr>
                <w:sz w:val="24"/>
              </w:rPr>
              <w:t>Поддержку изменений законодательства Российской Федерации в области ЭДО.</w:t>
            </w:r>
            <w:r w:rsidRPr="005A5F06">
              <w:rPr>
                <w:sz w:val="24"/>
              </w:rPr>
              <w:tab/>
            </w:r>
          </w:p>
          <w:p w14:paraId="59FBABAA" w14:textId="77777777" w:rsidR="005D7518" w:rsidRPr="005A5F06" w:rsidRDefault="005D7518" w:rsidP="00FC678A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  <w:p w14:paraId="26F57AC4" w14:textId="77777777" w:rsidR="005D7518" w:rsidRPr="005A5F06" w:rsidRDefault="005D7518" w:rsidP="00FC678A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B29" w14:textId="77777777" w:rsidR="005D7518" w:rsidRPr="005A5F06" w:rsidRDefault="005D7518" w:rsidP="00FC678A">
            <w:pPr>
              <w:pStyle w:val="a3"/>
              <w:spacing w:before="60" w:after="60" w:line="240" w:lineRule="auto"/>
              <w:ind w:left="0" w:firstLine="0"/>
              <w:rPr>
                <w:bCs/>
                <w:iCs/>
                <w:sz w:val="24"/>
              </w:rPr>
            </w:pPr>
            <w:r w:rsidRPr="005A5F06">
              <w:rPr>
                <w:bCs/>
                <w:iCs/>
                <w:sz w:val="24"/>
              </w:rPr>
              <w:lastRenderedPageBreak/>
              <w:t>Результаты:</w:t>
            </w:r>
          </w:p>
          <w:p w14:paraId="13489217" w14:textId="77777777" w:rsidR="005D7518" w:rsidRPr="005A5F06" w:rsidRDefault="005D7518" w:rsidP="00FC678A">
            <w:pPr>
              <w:rPr>
                <w:bCs/>
                <w:iCs/>
                <w:sz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Оказаны услуги </w:t>
            </w:r>
            <w:r w:rsidRPr="00B5742F">
              <w:rPr>
                <w:rFonts w:eastAsia="Times New Roman"/>
                <w:sz w:val="24"/>
                <w:szCs w:val="24"/>
                <w:lang w:eastAsia="ru-RU"/>
              </w:rPr>
              <w:t>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 законодательства Российской Федерации</w:t>
            </w:r>
          </w:p>
          <w:p w14:paraId="621926B0" w14:textId="77777777" w:rsidR="005D7518" w:rsidRPr="005A5F06" w:rsidRDefault="005D7518" w:rsidP="00FC678A">
            <w:pPr>
              <w:pStyle w:val="a3"/>
              <w:spacing w:before="60" w:after="60" w:line="240" w:lineRule="auto"/>
              <w:ind w:left="0" w:firstLine="0"/>
              <w:rPr>
                <w:sz w:val="24"/>
              </w:rPr>
            </w:pPr>
            <w:r w:rsidRPr="005A5F06">
              <w:rPr>
                <w:sz w:val="24"/>
              </w:rPr>
              <w:t>Документы:</w:t>
            </w:r>
          </w:p>
          <w:p w14:paraId="79EE1FD3" w14:textId="77777777" w:rsidR="005D7518" w:rsidRDefault="005D7518" w:rsidP="00FC678A">
            <w:pPr>
              <w:pStyle w:val="2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iCs w:val="0"/>
                <w:sz w:val="24"/>
                <w:szCs w:val="24"/>
              </w:rPr>
            </w:pPr>
            <w:r w:rsidRPr="0021389C">
              <w:rPr>
                <w:rFonts w:cs="Times New Roman"/>
                <w:b w:val="0"/>
                <w:sz w:val="24"/>
                <w:szCs w:val="24"/>
              </w:rPr>
              <w:t>Протокол приемо-сдаточных испытаний</w:t>
            </w:r>
            <w:r w:rsidRPr="0021389C">
              <w:rPr>
                <w:rFonts w:cs="Times New Roman"/>
                <w:b w:val="0"/>
                <w:bCs w:val="0"/>
                <w:iCs w:val="0"/>
                <w:sz w:val="24"/>
                <w:szCs w:val="24"/>
              </w:rPr>
              <w:t xml:space="preserve"> </w:t>
            </w:r>
          </w:p>
          <w:p w14:paraId="3F47E574" w14:textId="77777777" w:rsidR="005D7518" w:rsidRPr="00CE0378" w:rsidRDefault="005D7518" w:rsidP="00FC678A">
            <w:pPr>
              <w:ind w:firstLine="0"/>
              <w:rPr>
                <w:lang w:eastAsia="ru-RU"/>
              </w:rPr>
            </w:pPr>
            <w:r w:rsidRPr="00CE0378">
              <w:rPr>
                <w:rFonts w:eastAsia="Times New Roman"/>
                <w:sz w:val="24"/>
                <w:szCs w:val="24"/>
                <w:lang w:eastAsia="ru-RU"/>
              </w:rPr>
              <w:t>Документ «Акт сдачи-приемки работ»</w:t>
            </w:r>
          </w:p>
          <w:p w14:paraId="443A5A19" w14:textId="77777777" w:rsidR="005D7518" w:rsidRPr="002C21C0" w:rsidRDefault="005D7518" w:rsidP="00FC678A">
            <w:pPr>
              <w:pStyle w:val="a3"/>
              <w:ind w:firstLine="0"/>
            </w:pPr>
          </w:p>
          <w:p w14:paraId="0D9F4B73" w14:textId="77777777" w:rsidR="005D7518" w:rsidRPr="002C21C0" w:rsidRDefault="005D7518" w:rsidP="00FC678A">
            <w:pPr>
              <w:ind w:firstLine="0"/>
              <w:rPr>
                <w:lang w:eastAsia="ru-RU"/>
              </w:rPr>
            </w:pPr>
          </w:p>
        </w:tc>
      </w:tr>
    </w:tbl>
    <w:p w14:paraId="28378168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46C43A0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86B50F3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80D75FC" w14:textId="77777777" w:rsidR="005D7518" w:rsidRDefault="005D7518" w:rsidP="005D7518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47741A31" w14:textId="77777777" w:rsidR="005D7518" w:rsidRDefault="005D7518" w:rsidP="005D7518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B06C4">
        <w:rPr>
          <w:rFonts w:eastAsia="Times New Roman" w:cs="Times New Roman"/>
          <w:b/>
          <w:sz w:val="24"/>
          <w:szCs w:val="24"/>
          <w:lang w:eastAsia="ru-RU"/>
        </w:rPr>
        <w:t>ТРЕБОВАНИЯ К СОСТАВУ, СОДЕРЖАНИЮ И ОФОРМЛЕНИЮ ОТЧЕТНОЙ ДОКУМЕНТАЦИИ</w:t>
      </w:r>
    </w:p>
    <w:p w14:paraId="4C1D94E1" w14:textId="77777777" w:rsidR="005D7518" w:rsidRDefault="005D7518" w:rsidP="005D7518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5E555BB" w14:textId="77777777" w:rsidR="005D7518" w:rsidRPr="00D55C6A" w:rsidRDefault="005D7518" w:rsidP="005D7518">
      <w:pPr>
        <w:rPr>
          <w:rFonts w:cs="Times New Roman"/>
          <w:sz w:val="24"/>
          <w:szCs w:val="24"/>
        </w:rPr>
      </w:pPr>
    </w:p>
    <w:tbl>
      <w:tblPr>
        <w:tblStyle w:val="af0"/>
        <w:tblW w:w="14596" w:type="dxa"/>
        <w:tblLook w:val="04A0" w:firstRow="1" w:lastRow="0" w:firstColumn="1" w:lastColumn="0" w:noHBand="0" w:noVBand="1"/>
      </w:tblPr>
      <w:tblGrid>
        <w:gridCol w:w="1167"/>
        <w:gridCol w:w="3790"/>
        <w:gridCol w:w="9639"/>
      </w:tblGrid>
      <w:tr w:rsidR="005D7518" w:rsidRPr="00D55C6A" w14:paraId="3FBF6744" w14:textId="77777777" w:rsidTr="00FC678A">
        <w:trPr>
          <w:trHeight w:val="675"/>
        </w:trPr>
        <w:tc>
          <w:tcPr>
            <w:tcW w:w="1167" w:type="dxa"/>
          </w:tcPr>
          <w:p w14:paraId="6A16A02D" w14:textId="77777777" w:rsidR="005D7518" w:rsidRPr="00D55C6A" w:rsidRDefault="005D7518" w:rsidP="00FC678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55C6A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14:paraId="010BD5DD" w14:textId="77777777" w:rsidR="005D7518" w:rsidRPr="00D55C6A" w:rsidRDefault="005D7518" w:rsidP="00FC678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55C6A">
              <w:rPr>
                <w:rFonts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9639" w:type="dxa"/>
          </w:tcPr>
          <w:p w14:paraId="3E1827E6" w14:textId="77777777" w:rsidR="005D7518" w:rsidRPr="00D55C6A" w:rsidRDefault="005D7518" w:rsidP="00FC678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55C6A">
              <w:rPr>
                <w:rFonts w:cs="Times New Roman"/>
                <w:b/>
                <w:bCs/>
                <w:sz w:val="24"/>
                <w:szCs w:val="24"/>
              </w:rPr>
              <w:t xml:space="preserve">Требование к составу и содержанию документа, </w:t>
            </w:r>
            <w:r w:rsidRPr="00D55C6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включая, но не ограничиваясь:</w:t>
            </w:r>
          </w:p>
        </w:tc>
      </w:tr>
      <w:tr w:rsidR="005D7518" w:rsidRPr="00D55C6A" w14:paraId="45599B7C" w14:textId="77777777" w:rsidTr="00FC678A">
        <w:tc>
          <w:tcPr>
            <w:tcW w:w="1167" w:type="dxa"/>
          </w:tcPr>
          <w:p w14:paraId="2CE9704C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14:paraId="1285F039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Комплект документов согласно стандарт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D55C6A">
              <w:rPr>
                <w:rFonts w:cs="Times New Roman"/>
                <w:sz w:val="24"/>
                <w:szCs w:val="24"/>
              </w:rPr>
              <w:t xml:space="preserve"> «Обеспечение информационной безопасности при разработке</w:t>
            </w:r>
          </w:p>
          <w:p w14:paraId="375D81AA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или модернизации информационных систем и приложений</w:t>
            </w:r>
          </w:p>
          <w:p w14:paraId="19443120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 xml:space="preserve">АО «Почта России» </w:t>
            </w:r>
          </w:p>
        </w:tc>
        <w:tc>
          <w:tcPr>
            <w:tcW w:w="9639" w:type="dxa"/>
          </w:tcPr>
          <w:p w14:paraId="681D4E59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bookmarkStart w:id="1" w:name="_Toc22024014"/>
            <w:r w:rsidRPr="0076097E">
              <w:rPr>
                <w:sz w:val="24"/>
              </w:rPr>
              <w:t>Описание Системы:</w:t>
            </w:r>
            <w:bookmarkEnd w:id="1"/>
          </w:p>
          <w:p w14:paraId="47538F3D" w14:textId="77777777" w:rsidR="005D7518" w:rsidRPr="0076097E" w:rsidRDefault="005D7518" w:rsidP="005D7518">
            <w:pPr>
              <w:pStyle w:val="a3"/>
              <w:keepNext/>
              <w:numPr>
                <w:ilvl w:val="1"/>
                <w:numId w:val="10"/>
              </w:numPr>
              <w:tabs>
                <w:tab w:val="left" w:pos="2268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Общие сведения о Системе:</w:t>
            </w:r>
          </w:p>
          <w:p w14:paraId="6BAAE801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 xml:space="preserve">краткое описание и назначение Системы; </w:t>
            </w:r>
          </w:p>
          <w:p w14:paraId="16936E32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перечень категорий сведений, обрабатываемых Системой, с указанием степени их конфиденциальности и принадлежности к ПДн, и места хранения (перечень файлов, таблиц / схем СУБД и т.п.).</w:t>
            </w:r>
          </w:p>
          <w:p w14:paraId="30F72325" w14:textId="77777777" w:rsidR="005D7518" w:rsidRPr="0076097E" w:rsidRDefault="005D7518" w:rsidP="005D7518">
            <w:pPr>
              <w:pStyle w:val="a3"/>
              <w:keepNext/>
              <w:numPr>
                <w:ilvl w:val="1"/>
                <w:numId w:val="10"/>
              </w:numPr>
              <w:tabs>
                <w:tab w:val="left" w:pos="2268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Описание архитектуры Системы:</w:t>
            </w:r>
          </w:p>
          <w:p w14:paraId="140C1803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сведения о логической структуре и о составе Системы (модули, компоненты);</w:t>
            </w:r>
          </w:p>
          <w:p w14:paraId="2F01EF33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технологического процесса обработки данных;</w:t>
            </w:r>
          </w:p>
          <w:p w14:paraId="784255A2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структуры программного обеспечения, комплектности и выполняемых функций, включая внешнюю спецификацию каждого включенного в нее модуля;</w:t>
            </w:r>
          </w:p>
          <w:p w14:paraId="23DC2D73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протоколов обмена, схемы интеграций;</w:t>
            </w:r>
          </w:p>
          <w:p w14:paraId="50C86985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механизма интеграции с другими Системами;</w:t>
            </w:r>
          </w:p>
          <w:p w14:paraId="3384FDDE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lastRenderedPageBreak/>
              <w:t>перечень интерфейсов и перечень команд для каждого интерфейса</w:t>
            </w:r>
            <w:r w:rsidRPr="00D55C6A">
              <w:rPr>
                <w:rStyle w:val="af3"/>
                <w:rFonts w:eastAsia="MS Mincho" w:cs="Times New Roman"/>
                <w:sz w:val="24"/>
                <w:szCs w:val="24"/>
              </w:rPr>
              <w:footnoteReference w:id="1"/>
            </w:r>
            <w:r w:rsidRPr="00D55C6A">
              <w:rPr>
                <w:rFonts w:cs="Times New Roman"/>
                <w:sz w:val="24"/>
                <w:szCs w:val="24"/>
              </w:rPr>
              <w:t>.</w:t>
            </w:r>
          </w:p>
          <w:p w14:paraId="100BEC5E" w14:textId="77777777" w:rsidR="005D7518" w:rsidRPr="0076097E" w:rsidRDefault="005D7518" w:rsidP="005D7518">
            <w:pPr>
              <w:pStyle w:val="a3"/>
              <w:keepNext/>
              <w:numPr>
                <w:ilvl w:val="1"/>
                <w:numId w:val="10"/>
              </w:numPr>
              <w:tabs>
                <w:tab w:val="left" w:pos="2268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Инвентаризационные сведения о Системе:</w:t>
            </w:r>
          </w:p>
          <w:p w14:paraId="347786E6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схема сетевой архитектуры Системы (</w:t>
            </w:r>
            <w:r>
              <w:rPr>
                <w:rFonts w:cs="Times New Roman"/>
                <w:sz w:val="24"/>
                <w:szCs w:val="24"/>
              </w:rPr>
              <w:t>Приложение № 4</w:t>
            </w:r>
            <w:r w:rsidRPr="00D55C6A">
              <w:rPr>
                <w:rFonts w:cs="Times New Roman"/>
                <w:sz w:val="24"/>
                <w:szCs w:val="24"/>
              </w:rPr>
              <w:t xml:space="preserve"> к Стандарту);</w:t>
            </w:r>
          </w:p>
          <w:p w14:paraId="687EFA99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таблица IP адресов компонентов Системы (</w:t>
            </w:r>
            <w:r>
              <w:rPr>
                <w:rFonts w:cs="Times New Roman"/>
                <w:sz w:val="24"/>
                <w:szCs w:val="24"/>
              </w:rPr>
              <w:t>Приложение № 5</w:t>
            </w:r>
            <w:r w:rsidRPr="00D55C6A">
              <w:rPr>
                <w:rFonts w:cs="Times New Roman"/>
                <w:sz w:val="24"/>
                <w:szCs w:val="24"/>
              </w:rPr>
              <w:t xml:space="preserve"> к Стандарту);</w:t>
            </w:r>
          </w:p>
          <w:p w14:paraId="6A609FA3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таблица информационных потоков / доступов Системы (</w:t>
            </w:r>
            <w:r>
              <w:rPr>
                <w:rFonts w:cs="Times New Roman"/>
                <w:sz w:val="24"/>
                <w:szCs w:val="24"/>
              </w:rPr>
              <w:t xml:space="preserve">Приложение № 6 </w:t>
            </w:r>
            <w:r w:rsidRPr="00D55C6A">
              <w:rPr>
                <w:rFonts w:cs="Times New Roman"/>
                <w:sz w:val="24"/>
                <w:szCs w:val="24"/>
              </w:rPr>
              <w:t>к Стандарту);</w:t>
            </w:r>
          </w:p>
          <w:p w14:paraId="17D92B2D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перечень используемых типов и версий ОС;</w:t>
            </w:r>
          </w:p>
          <w:p w14:paraId="015A139A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базы данных (логическая структуры)</w:t>
            </w:r>
            <w:r w:rsidRPr="00D55C6A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D55C6A">
              <w:rPr>
                <w:rFonts w:cs="Times New Roman"/>
                <w:sz w:val="24"/>
                <w:szCs w:val="24"/>
              </w:rPr>
              <w:t>;</w:t>
            </w:r>
          </w:p>
          <w:p w14:paraId="77AE9B89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типов и версий компонентов Системы;</w:t>
            </w:r>
          </w:p>
          <w:p w14:paraId="0091D780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список компонентов и сервисов ОС, необходимых для работы Системы;</w:t>
            </w:r>
          </w:p>
          <w:p w14:paraId="76050AC2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параметры настроек программного и аппаратного обеспечения, входящих в состав Системы или используемых Системой в качестве поставщика сервиса и необходимых для корректного функционирования Системы;</w:t>
            </w:r>
          </w:p>
          <w:p w14:paraId="3A7ABCB3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перечень папок и файлов, относящихся к приложению, с контрольными суммами для статических файлов;</w:t>
            </w:r>
          </w:p>
          <w:p w14:paraId="11A5E696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перечень ключей и основных параметров реестра, относящихся к приложению</w:t>
            </w:r>
            <w:r w:rsidRPr="00D55C6A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D55C6A">
              <w:rPr>
                <w:rFonts w:cs="Times New Roman"/>
                <w:sz w:val="24"/>
                <w:szCs w:val="24"/>
              </w:rPr>
              <w:t>;</w:t>
            </w:r>
          </w:p>
          <w:p w14:paraId="248BCDE1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перечень запускаемых после перезагрузки ОС процессов и сервисов приложения;</w:t>
            </w:r>
          </w:p>
          <w:p w14:paraId="2265EBDC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 xml:space="preserve">реестр ролей и полномочий Системы (описание групп и ролей пользователей с принадлежностью к подразделениям </w:t>
            </w:r>
            <w:r w:rsidRPr="00D55C6A">
              <w:rPr>
                <w:rFonts w:cs="Times New Roman"/>
                <w:bCs/>
                <w:sz w:val="24"/>
                <w:szCs w:val="24"/>
              </w:rPr>
              <w:t>Общества</w:t>
            </w:r>
            <w:r w:rsidRPr="00D55C6A">
              <w:rPr>
                <w:rFonts w:cs="Times New Roman"/>
                <w:sz w:val="24"/>
                <w:szCs w:val="24"/>
              </w:rPr>
              <w:t>).</w:t>
            </w:r>
          </w:p>
          <w:p w14:paraId="3B161676" w14:textId="77777777" w:rsidR="005D7518" w:rsidRPr="0076097E" w:rsidRDefault="005D7518" w:rsidP="005D7518">
            <w:pPr>
              <w:pStyle w:val="a3"/>
              <w:keepNext/>
              <w:numPr>
                <w:ilvl w:val="1"/>
                <w:numId w:val="10"/>
              </w:numPr>
              <w:tabs>
                <w:tab w:val="left" w:pos="2268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Сведения об обеспечении ИБ:</w:t>
            </w:r>
          </w:p>
          <w:p w14:paraId="596887E7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реализации выполнения требований настоящего Стандарта (Приложение 7 к Стандарту) с приложением согласования неприменимости или неисполнения (если требования пункта не учтены) требований с ДИБ;</w:t>
            </w:r>
          </w:p>
          <w:p w14:paraId="1A329D5C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перечень и краткое описание используемых средств защиты информации;</w:t>
            </w:r>
          </w:p>
          <w:p w14:paraId="22CB903D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описание исполнения требований эксплуатационной документации на средства защиты информации;</w:t>
            </w:r>
          </w:p>
          <w:p w14:paraId="76694860" w14:textId="77777777" w:rsidR="005D7518" w:rsidRPr="00D55C6A" w:rsidRDefault="005D7518" w:rsidP="005D7518">
            <w:pPr>
              <w:numPr>
                <w:ilvl w:val="0"/>
                <w:numId w:val="9"/>
              </w:numPr>
              <w:ind w:left="0" w:firstLine="709"/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сведения о протоколируемых событиях ИБ.</w:t>
            </w:r>
          </w:p>
          <w:p w14:paraId="400A915F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lastRenderedPageBreak/>
              <w:t>Руководство пользователя Системы (для внутренних пользователей).</w:t>
            </w:r>
          </w:p>
          <w:p w14:paraId="7077C525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Руководство администратора Системы.</w:t>
            </w:r>
          </w:p>
          <w:p w14:paraId="3DD32244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Матрица доступа Системы.</w:t>
            </w:r>
          </w:p>
          <w:p w14:paraId="67D64E10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Матрица доступа представляет собой перечень ролей с указанием лиц / должностей / структурных единиц / структурных подразделений, которым роли могут быть присвоены.</w:t>
            </w:r>
          </w:p>
          <w:p w14:paraId="237DA0F8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Регламент технического обслуживания.</w:t>
            </w:r>
          </w:p>
          <w:p w14:paraId="259505D0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Схема резервного копирования данных.</w:t>
            </w:r>
          </w:p>
          <w:p w14:paraId="610CCD7C" w14:textId="77777777" w:rsidR="005D7518" w:rsidRPr="0076097E" w:rsidRDefault="005D7518" w:rsidP="005D7518">
            <w:pPr>
              <w:pStyle w:val="a3"/>
              <w:numPr>
                <w:ilvl w:val="0"/>
                <w:numId w:val="10"/>
              </w:numPr>
              <w:tabs>
                <w:tab w:val="left" w:pos="1701"/>
              </w:tabs>
              <w:spacing w:line="240" w:lineRule="auto"/>
              <w:rPr>
                <w:sz w:val="24"/>
              </w:rPr>
            </w:pPr>
            <w:r w:rsidRPr="0076097E">
              <w:rPr>
                <w:sz w:val="24"/>
              </w:rPr>
              <w:t>Регламент восстановления Системы при сбоях.</w:t>
            </w:r>
          </w:p>
          <w:p w14:paraId="4333EE7B" w14:textId="77777777" w:rsidR="005D7518" w:rsidRPr="00D55C6A" w:rsidRDefault="005D7518" w:rsidP="00FC678A">
            <w:pPr>
              <w:tabs>
                <w:tab w:val="left" w:pos="1701"/>
              </w:tabs>
              <w:rPr>
                <w:rFonts w:cs="Times New Roman"/>
                <w:sz w:val="24"/>
                <w:szCs w:val="24"/>
              </w:rPr>
            </w:pPr>
          </w:p>
          <w:p w14:paraId="3A50B5C2" w14:textId="77777777" w:rsidR="005D7518" w:rsidRPr="00D55C6A" w:rsidRDefault="005D7518" w:rsidP="00FC678A">
            <w:pPr>
              <w:tabs>
                <w:tab w:val="left" w:pos="1701"/>
              </w:tabs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Документация, указанная в данном разделе, должна быть доступна только авторизованным пользователям в рамках служебной необходимости. В документации должна отсутствовать аутентификационная информация (пароли и т.п.).</w:t>
            </w:r>
          </w:p>
        </w:tc>
      </w:tr>
      <w:tr w:rsidR="005D7518" w:rsidRPr="00D55C6A" w14:paraId="145E2B02" w14:textId="77777777" w:rsidTr="00FC678A">
        <w:tc>
          <w:tcPr>
            <w:tcW w:w="1167" w:type="dxa"/>
          </w:tcPr>
          <w:p w14:paraId="19AEACE1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0" w:type="dxa"/>
          </w:tcPr>
          <w:p w14:paraId="5D2AFC7E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Протокол развертывания решения</w:t>
            </w:r>
          </w:p>
        </w:tc>
        <w:tc>
          <w:tcPr>
            <w:tcW w:w="9639" w:type="dxa"/>
          </w:tcPr>
          <w:p w14:paraId="552555EC" w14:textId="77777777" w:rsidR="005D7518" w:rsidRPr="00D55C6A" w:rsidRDefault="005D7518" w:rsidP="00FC678A">
            <w:pPr>
              <w:tabs>
                <w:tab w:val="left" w:pos="1701"/>
              </w:tabs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Протокол должен содержать информацию, касающуюся развертывания решения: описание развернутого решения (описание установленного программного обеспечения, конфигураций и настроек), процесс развертывания (Описание последовательности действий по установке и конфигурированию решения); использованные ресурсы (список и характеристики оборудования, программного обеспечения); результаты проверки (описание проведенных тестов и полученных результатов, подтверждающих работоспособность решения), выявленные отклонения и замечания (список обнаруженных проблем, ошибок или несоответствий и меры по их устранению).</w:t>
            </w:r>
          </w:p>
        </w:tc>
      </w:tr>
      <w:tr w:rsidR="005D7518" w:rsidRPr="00D55C6A" w14:paraId="1F7B586E" w14:textId="77777777" w:rsidTr="00FC678A">
        <w:tc>
          <w:tcPr>
            <w:tcW w:w="1167" w:type="dxa"/>
          </w:tcPr>
          <w:p w14:paraId="7BA4B142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14:paraId="78312064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Проектное решение по интеграции</w:t>
            </w:r>
          </w:p>
        </w:tc>
        <w:tc>
          <w:tcPr>
            <w:tcW w:w="9639" w:type="dxa"/>
          </w:tcPr>
          <w:p w14:paraId="0FB4A06E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Должно содержать описание протоколов обмена, схемы интеграций, описание механизма интеграции с системами Заказчика согласно настоящему ТЗ.</w:t>
            </w:r>
          </w:p>
        </w:tc>
      </w:tr>
      <w:tr w:rsidR="005D7518" w:rsidRPr="00D55C6A" w14:paraId="325B2D6A" w14:textId="77777777" w:rsidTr="00FC678A">
        <w:tc>
          <w:tcPr>
            <w:tcW w:w="1167" w:type="dxa"/>
          </w:tcPr>
          <w:p w14:paraId="59FC3DD7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14:paraId="3CDD3EB1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Программа и методика испытаний</w:t>
            </w:r>
          </w:p>
        </w:tc>
        <w:tc>
          <w:tcPr>
            <w:tcW w:w="9639" w:type="dxa"/>
          </w:tcPr>
          <w:p w14:paraId="0EBAE11F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 xml:space="preserve">Должна содержать </w:t>
            </w:r>
            <w:hyperlink r:id="rId7" w:tgtFrame="_blank" w:history="1">
              <w:r w:rsidRPr="00D55C6A">
                <w:rPr>
                  <w:rFonts w:cs="Times New Roman"/>
                  <w:sz w:val="24"/>
                  <w:szCs w:val="24"/>
                </w:rPr>
                <w:t>средства и порядок испытаний</w:t>
              </w:r>
            </w:hyperlink>
            <w:r w:rsidRPr="00D55C6A">
              <w:rPr>
                <w:rFonts w:cs="Times New Roman"/>
                <w:sz w:val="24"/>
                <w:szCs w:val="24"/>
              </w:rPr>
              <w:t xml:space="preserve"> (перечень необходимого технического и программного обеспечения, а также описание этапов проведения тестирования), </w:t>
            </w:r>
            <w:hyperlink r:id="rId8" w:tgtFrame="_blank" w:history="1">
              <w:r w:rsidRPr="00D55C6A">
                <w:rPr>
                  <w:rFonts w:cs="Times New Roman"/>
                  <w:sz w:val="24"/>
                  <w:szCs w:val="24"/>
                </w:rPr>
                <w:t>методы испытаний</w:t>
              </w:r>
            </w:hyperlink>
            <w:r w:rsidRPr="00D55C6A">
              <w:rPr>
                <w:rFonts w:cs="Times New Roman"/>
                <w:sz w:val="24"/>
                <w:szCs w:val="24"/>
              </w:rPr>
              <w:t xml:space="preserve"> (подробное описание способов и методик проведения проверок с указанием тестовых примеров и ожидаемых результатов).</w:t>
            </w:r>
          </w:p>
        </w:tc>
      </w:tr>
      <w:tr w:rsidR="005D7518" w:rsidRPr="00D55C6A" w14:paraId="5F1CD178" w14:textId="77777777" w:rsidTr="00FC678A">
        <w:trPr>
          <w:trHeight w:val="1655"/>
        </w:trPr>
        <w:tc>
          <w:tcPr>
            <w:tcW w:w="1167" w:type="dxa"/>
          </w:tcPr>
          <w:p w14:paraId="6EEA1C76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14:paraId="2652DCB8" w14:textId="77777777" w:rsidR="005D7518" w:rsidRPr="00F6058D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 xml:space="preserve">Протокол </w:t>
            </w:r>
            <w:r>
              <w:rPr>
                <w:rFonts w:cs="Times New Roman"/>
                <w:sz w:val="24"/>
                <w:szCs w:val="24"/>
              </w:rPr>
              <w:t>предварительных испытаний</w:t>
            </w:r>
            <w:r w:rsidRPr="000234E9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 xml:space="preserve"> Протокол приемо-сдаточных испытаний</w:t>
            </w:r>
          </w:p>
        </w:tc>
        <w:tc>
          <w:tcPr>
            <w:tcW w:w="9639" w:type="dxa"/>
          </w:tcPr>
          <w:p w14:paraId="53EA5071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Должен содержать перечень использованных средств и оборудования, описание методик, результаты проверок по требованиям ЧТЗ и заключение о возможности (или невозможности) приемки системы в ОПЭ</w:t>
            </w:r>
            <w:r w:rsidRPr="000234E9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ПЭ</w:t>
            </w:r>
            <w:r w:rsidRPr="00D55C6A">
              <w:rPr>
                <w:rFonts w:cs="Times New Roman"/>
                <w:sz w:val="24"/>
                <w:szCs w:val="24"/>
              </w:rPr>
              <w:t>, включая перечень необходимых доработок.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D7518" w:rsidRPr="0076097E" w14:paraId="40779320" w14:textId="77777777" w:rsidTr="00FC678A">
        <w:tc>
          <w:tcPr>
            <w:tcW w:w="1167" w:type="dxa"/>
          </w:tcPr>
          <w:p w14:paraId="6F9CE14D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0" w:type="dxa"/>
          </w:tcPr>
          <w:p w14:paraId="707C38B6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Регламент технической поддержки</w:t>
            </w:r>
          </w:p>
        </w:tc>
        <w:tc>
          <w:tcPr>
            <w:tcW w:w="9639" w:type="dxa"/>
          </w:tcPr>
          <w:p w14:paraId="68989421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Документ должен отвечать требованиям регламентирующих документов Заказчика: Регламент процесса управления инцидентами и запросами на обслуживание (Приложение № 6 к настоящему Техническому заданию), Стандарт «Обеспечение информационной безопасности при разработке или модернизации информационных систем и приложений АО «Почта России» (Приложение № 4 к настоящему Техническому заданию).</w:t>
            </w:r>
          </w:p>
        </w:tc>
      </w:tr>
      <w:tr w:rsidR="005D7518" w:rsidRPr="00D55C6A" w14:paraId="44F40B03" w14:textId="77777777" w:rsidTr="00FC678A">
        <w:tc>
          <w:tcPr>
            <w:tcW w:w="1167" w:type="dxa"/>
          </w:tcPr>
          <w:p w14:paraId="465403FF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14:paraId="202A3185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 xml:space="preserve">Программа опытно-промышленной эксплуатации Системы </w:t>
            </w:r>
          </w:p>
        </w:tc>
        <w:tc>
          <w:tcPr>
            <w:tcW w:w="9639" w:type="dxa"/>
          </w:tcPr>
          <w:p w14:paraId="0DBA73AA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Должна содержать состав функций системы, подлежащих эксплуатации, условия и сроки проведения, порядок регистрации результатов и недостатков, а также порядок их устранения.</w:t>
            </w:r>
            <w:r w:rsidRPr="0076097E">
              <w:rPr>
                <w:rFonts w:cs="Times New Roman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D7518" w:rsidRPr="00D55C6A" w14:paraId="374297DC" w14:textId="77777777" w:rsidTr="00FC678A">
        <w:tc>
          <w:tcPr>
            <w:tcW w:w="1167" w:type="dxa"/>
          </w:tcPr>
          <w:p w14:paraId="61574C27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14:paraId="6D115ABE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Отчет о результатах поддержки Системы на период опытно-промышленной эксплуатации</w:t>
            </w:r>
          </w:p>
        </w:tc>
        <w:tc>
          <w:tcPr>
            <w:tcW w:w="9639" w:type="dxa"/>
          </w:tcPr>
          <w:p w14:paraId="4DD31E6A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Должен содержать информацию о том, как Система функционировала в реальных условиях, какие были выявлены проблемы и замечания, какая работа была проделана по их устранению, а также рекомендации по доработке и переходу к промышленной эксплуатации, отчет о выполнении S</w:t>
            </w:r>
            <w:r w:rsidRPr="00D55C6A">
              <w:rPr>
                <w:rFonts w:cs="Times New Roman"/>
                <w:sz w:val="24"/>
                <w:szCs w:val="24"/>
                <w:lang w:val="en-US"/>
              </w:rPr>
              <w:t>LA</w:t>
            </w:r>
            <w:r w:rsidRPr="00D55C6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7518" w:rsidRPr="00D55C6A" w14:paraId="4ED7067F" w14:textId="77777777" w:rsidTr="00FC678A">
        <w:tc>
          <w:tcPr>
            <w:tcW w:w="1167" w:type="dxa"/>
          </w:tcPr>
          <w:p w14:paraId="10C8941D" w14:textId="77777777" w:rsidR="005D7518" w:rsidRPr="00371F91" w:rsidRDefault="005D7518" w:rsidP="00FC67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14:paraId="79E6D10F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Протокол приемо-сдаточных испытаний</w:t>
            </w:r>
          </w:p>
          <w:p w14:paraId="26EF12F4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CB6E0B3" w14:textId="77777777" w:rsidR="005D7518" w:rsidRPr="00D55C6A" w:rsidRDefault="005D7518" w:rsidP="00FC678A">
            <w:pPr>
              <w:rPr>
                <w:rFonts w:cs="Times New Roman"/>
                <w:sz w:val="24"/>
                <w:szCs w:val="24"/>
              </w:rPr>
            </w:pPr>
            <w:r w:rsidRPr="00D55C6A">
              <w:rPr>
                <w:rFonts w:cs="Times New Roman"/>
                <w:sz w:val="24"/>
                <w:szCs w:val="24"/>
              </w:rPr>
              <w:t>Должен содержать сведения о соответствии системы Частному техническому заданию.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24F5E">
              <w:rPr>
                <w:rFonts w:cs="Times New Roman"/>
                <w:sz w:val="24"/>
                <w:szCs w:val="24"/>
              </w:rPr>
              <w:t xml:space="preserve">А также результаты проверки </w:t>
            </w:r>
            <w:r w:rsidRPr="001138C4">
              <w:rPr>
                <w:rFonts w:cs="Times New Roman"/>
                <w:sz w:val="24"/>
                <w:szCs w:val="24"/>
              </w:rPr>
              <w:t>согласно программе</w:t>
            </w:r>
            <w:r w:rsidRPr="00C24F5E">
              <w:rPr>
                <w:rFonts w:cs="Times New Roman"/>
                <w:sz w:val="24"/>
                <w:szCs w:val="24"/>
              </w:rPr>
              <w:t xml:space="preserve"> и методик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24F5E">
              <w:rPr>
                <w:rFonts w:cs="Times New Roman"/>
                <w:sz w:val="24"/>
                <w:szCs w:val="24"/>
              </w:rPr>
              <w:t xml:space="preserve"> испытаний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2A211D51" w14:textId="77777777" w:rsidR="005D7518" w:rsidRDefault="005D7518" w:rsidP="005D7518">
      <w:pPr>
        <w:rPr>
          <w:rFonts w:cs="Times New Roman"/>
          <w:sz w:val="24"/>
          <w:szCs w:val="24"/>
        </w:rPr>
      </w:pPr>
    </w:p>
    <w:p w14:paraId="536E6479" w14:textId="77777777" w:rsidR="005D7518" w:rsidRPr="00292328" w:rsidRDefault="005D7518" w:rsidP="005D7518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292328">
        <w:rPr>
          <w:rFonts w:eastAsia="Times New Roman" w:cs="Times New Roman"/>
          <w:sz w:val="24"/>
          <w:szCs w:val="24"/>
          <w:lang w:eastAsia="ru-RU"/>
        </w:rPr>
        <w:t xml:space="preserve">Вся </w:t>
      </w:r>
      <w:r w:rsidRPr="00EF0161">
        <w:rPr>
          <w:rFonts w:eastAsia="Times New Roman" w:cs="Times New Roman"/>
          <w:sz w:val="24"/>
          <w:szCs w:val="24"/>
          <w:lang w:eastAsia="ru-RU"/>
        </w:rPr>
        <w:t>отчетная документация (кроме бухгалтерских отчетных документов) должна быть предоставлена в 3 (трех) видах (идентичных друг другу по содержанию и форматированию текста):</w:t>
      </w:r>
    </w:p>
    <w:p w14:paraId="4D114AB3" w14:textId="77777777" w:rsidR="005D7518" w:rsidRPr="00F43B85" w:rsidRDefault="005D7518" w:rsidP="005D751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43B85">
        <w:rPr>
          <w:sz w:val="24"/>
        </w:rPr>
        <w:t xml:space="preserve">сброшюрованные бумажные документы с оригиналами подписей всех требуемых представителей сторон (2 (два) экз., один из которых предназначен для передачи в подразделение Заказчика, ответственное за учет результатов выполнения </w:t>
      </w:r>
      <w:r>
        <w:rPr>
          <w:sz w:val="24"/>
        </w:rPr>
        <w:t>р</w:t>
      </w:r>
      <w:r w:rsidRPr="00F43B85">
        <w:rPr>
          <w:sz w:val="24"/>
        </w:rPr>
        <w:t>абот</w:t>
      </w:r>
      <w:r>
        <w:rPr>
          <w:sz w:val="24"/>
        </w:rPr>
        <w:t xml:space="preserve"> и услуг</w:t>
      </w:r>
      <w:r w:rsidRPr="00F43B85">
        <w:rPr>
          <w:sz w:val="24"/>
        </w:rPr>
        <w:t>, а второй предназначен для хранения в подразделении Заказчика, ответственном за внедрение Системы);</w:t>
      </w:r>
    </w:p>
    <w:p w14:paraId="2B6B9F94" w14:textId="77777777" w:rsidR="005D7518" w:rsidRPr="00F43B85" w:rsidRDefault="005D7518" w:rsidP="005D751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43B85">
        <w:rPr>
          <w:sz w:val="24"/>
        </w:rPr>
        <w:t>документы в формате portable document format (pdf), содержащие в том числе сканы всех листов с подписями, аналогичные сброшюрованным бумажным документам;</w:t>
      </w:r>
    </w:p>
    <w:p w14:paraId="5AD5AF7B" w14:textId="77777777" w:rsidR="005D7518" w:rsidRPr="00F43B85" w:rsidRDefault="005D7518" w:rsidP="005D751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43B85">
        <w:rPr>
          <w:sz w:val="24"/>
        </w:rPr>
        <w:t xml:space="preserve">документы в редактируемом виде с использованием форматов, совместимых с офисным ПО, внедренным у Заказчика </w:t>
      </w:r>
      <w:r>
        <w:rPr>
          <w:sz w:val="24"/>
        </w:rPr>
        <w:t>по адресу электронной почты</w:t>
      </w:r>
      <w:r w:rsidRPr="00984F1A">
        <w:rPr>
          <w:sz w:val="24"/>
        </w:rPr>
        <w:t>,</w:t>
      </w:r>
      <w:r>
        <w:rPr>
          <w:sz w:val="24"/>
        </w:rPr>
        <w:t xml:space="preserve"> указанном в Договоре.</w:t>
      </w:r>
    </w:p>
    <w:p w14:paraId="52B9DCCC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F585327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A7ADF3A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6D288AB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5D1BE5F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A810977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3551AF5" w14:textId="77777777" w:rsidR="005D7518" w:rsidRDefault="005D7518" w:rsidP="005D751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5206795" w14:textId="57BC94FE" w:rsidR="00091514" w:rsidRPr="005D7518" w:rsidRDefault="00091514" w:rsidP="005D7518">
      <w:pPr>
        <w:ind w:firstLine="0"/>
      </w:pPr>
    </w:p>
    <w:sectPr w:rsidR="00091514" w:rsidRPr="005D7518" w:rsidSect="00C209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7E6C73" w16cex:dateUtc="2026-04-28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1C2661" w16cid:durableId="047E6C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B959" w14:textId="77777777" w:rsidR="00E16972" w:rsidRDefault="00E16972" w:rsidP="005D7518">
      <w:r>
        <w:separator/>
      </w:r>
    </w:p>
  </w:endnote>
  <w:endnote w:type="continuationSeparator" w:id="0">
    <w:p w14:paraId="2898DA75" w14:textId="77777777" w:rsidR="00E16972" w:rsidRDefault="00E16972" w:rsidP="005D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BF99" w14:textId="77777777" w:rsidR="00E16972" w:rsidRDefault="00E16972" w:rsidP="005D7518">
      <w:r>
        <w:separator/>
      </w:r>
    </w:p>
  </w:footnote>
  <w:footnote w:type="continuationSeparator" w:id="0">
    <w:p w14:paraId="3435CFC9" w14:textId="77777777" w:rsidR="00E16972" w:rsidRDefault="00E16972" w:rsidP="005D7518">
      <w:r>
        <w:continuationSeparator/>
      </w:r>
    </w:p>
  </w:footnote>
  <w:footnote w:id="1">
    <w:p w14:paraId="6FEDE600" w14:textId="77777777" w:rsidR="005D7518" w:rsidRPr="00D526AF" w:rsidRDefault="005D7518" w:rsidP="005D7518">
      <w:pPr>
        <w:pStyle w:val="af1"/>
        <w:jc w:val="both"/>
      </w:pPr>
      <w:r w:rsidRPr="0076097E">
        <w:rPr>
          <w:rStyle w:val="af3"/>
          <w:rFonts w:ascii="Times New Roman" w:eastAsia="MS Mincho" w:hAnsi="Times New Roman"/>
        </w:rPr>
        <w:footnoteRef/>
      </w:r>
      <w:r w:rsidRPr="0076097E">
        <w:rPr>
          <w:rFonts w:ascii="Times New Roman" w:hAnsi="Times New Roman"/>
        </w:rPr>
        <w:t xml:space="preserve"> Указанные сведения могут не включаться в описание для используемых в составе Систем готовых программных и аппаратных продуктов (свободно распространяемых и проприетарных).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E03"/>
    <w:multiLevelType w:val="multilevel"/>
    <w:tmpl w:val="004003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4296"/>
        </w:tabs>
        <w:ind w:left="429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400"/>
        </w:tabs>
        <w:ind w:left="24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811"/>
        </w:tabs>
        <w:ind w:left="7811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18A1EAF"/>
    <w:multiLevelType w:val="multilevel"/>
    <w:tmpl w:val="DF6E2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393E46"/>
    <w:multiLevelType w:val="hybridMultilevel"/>
    <w:tmpl w:val="A894A050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44F727E"/>
    <w:multiLevelType w:val="hybridMultilevel"/>
    <w:tmpl w:val="22E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4BE8"/>
    <w:multiLevelType w:val="hybridMultilevel"/>
    <w:tmpl w:val="AC8A9A74"/>
    <w:lvl w:ilvl="0" w:tplc="6B621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982CF6"/>
    <w:multiLevelType w:val="hybridMultilevel"/>
    <w:tmpl w:val="1FD0EA62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563B5F98"/>
    <w:multiLevelType w:val="hybridMultilevel"/>
    <w:tmpl w:val="2020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57103"/>
    <w:multiLevelType w:val="hybridMultilevel"/>
    <w:tmpl w:val="9FCCD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A44B4"/>
    <w:multiLevelType w:val="hybridMultilevel"/>
    <w:tmpl w:val="EDE6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A7167"/>
    <w:multiLevelType w:val="hybridMultilevel"/>
    <w:tmpl w:val="8364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F4663"/>
    <w:multiLevelType w:val="hybridMultilevel"/>
    <w:tmpl w:val="EBBE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0D"/>
    <w:rsid w:val="00050CB7"/>
    <w:rsid w:val="00091514"/>
    <w:rsid w:val="00116F47"/>
    <w:rsid w:val="001632D7"/>
    <w:rsid w:val="00391A52"/>
    <w:rsid w:val="00397C1A"/>
    <w:rsid w:val="003B104E"/>
    <w:rsid w:val="003E72CD"/>
    <w:rsid w:val="00562A9F"/>
    <w:rsid w:val="005D7518"/>
    <w:rsid w:val="006433ED"/>
    <w:rsid w:val="006A0A03"/>
    <w:rsid w:val="006F3C0D"/>
    <w:rsid w:val="008169E7"/>
    <w:rsid w:val="00A02C02"/>
    <w:rsid w:val="00C20995"/>
    <w:rsid w:val="00D96E96"/>
    <w:rsid w:val="00E16972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F30D"/>
  <w15:chartTrackingRefBased/>
  <w15:docId w15:val="{98F9B2BB-A8D6-487E-B03B-0CDAF89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9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aliases w:val="Заголовок 2 - после заг.1 и перед заг.3,Разд,h2,H2,H21,H22,H23,H24,H25,H26,H27,H28,H29,H210,H211,H212,H213,H214,H215,H216,H221,H231,H241,H251,H261,H271,H281,H291,H2101,H2111,H2121,H2131,H2141,H2151,H217,H218,H219,H220,H222,H223,H224,H225"/>
    <w:basedOn w:val="a"/>
    <w:next w:val="a"/>
    <w:link w:val="20"/>
    <w:uiPriority w:val="99"/>
    <w:qFormat/>
    <w:rsid w:val="00C20995"/>
    <w:pPr>
      <w:keepNext/>
      <w:numPr>
        <w:ilvl w:val="1"/>
        <w:numId w:val="1"/>
      </w:numPr>
      <w:spacing w:before="120" w:after="120"/>
      <w:outlineLvl w:val="1"/>
    </w:pPr>
    <w:rPr>
      <w:rFonts w:eastAsia="Times New Roman" w:cs="Arial"/>
      <w:b/>
      <w:bCs/>
      <w:iCs/>
      <w:szCs w:val="28"/>
      <w:lang w:eastAsia="ru-RU"/>
    </w:rPr>
  </w:style>
  <w:style w:type="paragraph" w:styleId="3">
    <w:name w:val="heading 3"/>
    <w:aliases w:val="H3,Heading 3 - old,Заголовок 3 - после заголовка 2 и перед текстом,H31,H32,H33,H34,H35,H36,H37,H38,H39,H310,H311,H312,H313,H314,H315,H316,H321,H331,H341,H351,H361,H371,H381,H391,H3101,H3111,H3121,H3131,H3141,H3151,H317,H318,H319,H320,H322"/>
    <w:basedOn w:val="a"/>
    <w:next w:val="a"/>
    <w:link w:val="30"/>
    <w:uiPriority w:val="99"/>
    <w:qFormat/>
    <w:rsid w:val="00C20995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eastAsia="Times New Roman" w:hAnsi="Arial" w:cs="Arial"/>
      <w:b/>
      <w:bCs/>
      <w:szCs w:val="26"/>
      <w:lang w:eastAsia="ru-RU"/>
    </w:rPr>
  </w:style>
  <w:style w:type="paragraph" w:styleId="4">
    <w:name w:val="heading 4"/>
    <w:aliases w:val="H4,заголовок 4"/>
    <w:basedOn w:val="a"/>
    <w:next w:val="a"/>
    <w:link w:val="40"/>
    <w:uiPriority w:val="99"/>
    <w:qFormat/>
    <w:rsid w:val="00C20995"/>
    <w:pPr>
      <w:keepNext/>
      <w:numPr>
        <w:ilvl w:val="3"/>
        <w:numId w:val="1"/>
      </w:numPr>
      <w:tabs>
        <w:tab w:val="num" w:pos="864"/>
        <w:tab w:val="num" w:pos="6504"/>
      </w:tabs>
      <w:spacing w:before="240" w:after="60" w:line="360" w:lineRule="auto"/>
      <w:ind w:left="864"/>
      <w:outlineLvl w:val="3"/>
    </w:pPr>
    <w:rPr>
      <w:rFonts w:ascii="Arial" w:eastAsia="Times New Roman" w:hAnsi="Arial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20995"/>
    <w:pPr>
      <w:numPr>
        <w:ilvl w:val="4"/>
        <w:numId w:val="1"/>
      </w:numPr>
      <w:spacing w:before="240" w:after="60" w:line="36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20995"/>
    <w:pPr>
      <w:numPr>
        <w:ilvl w:val="5"/>
        <w:numId w:val="1"/>
      </w:numPr>
      <w:spacing w:before="240" w:after="60" w:line="360" w:lineRule="auto"/>
      <w:outlineLvl w:val="5"/>
    </w:pPr>
    <w:rPr>
      <w:rFonts w:eastAsia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20995"/>
    <w:pPr>
      <w:numPr>
        <w:ilvl w:val="6"/>
        <w:numId w:val="1"/>
      </w:numPr>
      <w:spacing w:before="240" w:after="60" w:line="360" w:lineRule="auto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20995"/>
    <w:pPr>
      <w:numPr>
        <w:ilvl w:val="7"/>
        <w:numId w:val="1"/>
      </w:numPr>
      <w:spacing w:before="240" w:after="60" w:line="360" w:lineRule="auto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20995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- после заг.1 и перед заг.3 Знак,Разд Знак,h2 Знак,H2 Знак,H21 Знак,H22 Знак,H23 Знак,H24 Знак,H25 Знак,H26 Знак,H27 Знак,H28 Знак,H29 Знак,H210 Знак,H211 Знак,H212 Знак,H213 Знак,H214 Знак,H215 Знак,H216 Знак,H221 Знак"/>
    <w:basedOn w:val="a0"/>
    <w:link w:val="2"/>
    <w:uiPriority w:val="99"/>
    <w:rsid w:val="00C2099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Heading 3 - old Знак,Заголовок 3 - после заголовка 2 и перед текстом Знак,H31 Знак,H32 Знак,H33 Знак,H34 Знак,H35 Знак,H36 Знак,H37 Знак,H38 Знак,H39 Знак,H310 Знак,H311 Знак,H312 Знак,H313 Знак,H314 Знак,H315 Знак,H316 Знак"/>
    <w:basedOn w:val="a0"/>
    <w:link w:val="3"/>
    <w:uiPriority w:val="99"/>
    <w:rsid w:val="00C2099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H4 Знак,заголовок 4 Знак"/>
    <w:basedOn w:val="a0"/>
    <w:link w:val="4"/>
    <w:uiPriority w:val="99"/>
    <w:rsid w:val="00C20995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209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0995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209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2099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20995"/>
    <w:rPr>
      <w:rFonts w:ascii="Arial" w:eastAsia="Times New Roman" w:hAnsi="Arial" w:cs="Arial"/>
      <w:sz w:val="28"/>
      <w:lang w:eastAsia="ru-RU"/>
    </w:rPr>
  </w:style>
  <w:style w:type="paragraph" w:styleId="a3">
    <w:name w:val="List Paragraph"/>
    <w:aliases w:val="Bullet List,FooterText,numbered,Num Bullet 1,lp1,Paragraphe de liste1,Лист,Table Number Paragraph,Bullet Number,Bulletr List Paragraph,列出段落,列出段落1,List Paragraph2,List Paragraph21,Listeafsnit1,Parágrafo da Lista1,Bullet list,List Paragraph,1"/>
    <w:basedOn w:val="a"/>
    <w:link w:val="a4"/>
    <w:uiPriority w:val="34"/>
    <w:qFormat/>
    <w:rsid w:val="00C20995"/>
    <w:pPr>
      <w:spacing w:line="36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5">
    <w:name w:val="caption"/>
    <w:aliases w:val="табл,Ви6,&quot;Таблица N&quot;,Рисунок название стить,Название объекта3,Название объекта Знак1 Знак,Название объекта Знак Знак Знак,Name_object Знак Знак Знак,Наименование объекта Знак Знак Знак,Name_object Знак1 Знак,Title1,##,Caption Char,Знак"/>
    <w:basedOn w:val="a"/>
    <w:next w:val="a"/>
    <w:link w:val="a6"/>
    <w:qFormat/>
    <w:rsid w:val="00C20995"/>
    <w:pPr>
      <w:spacing w:after="200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character" w:customStyle="1" w:styleId="a6">
    <w:name w:val="Название объекта Знак"/>
    <w:aliases w:val="табл Знак,Ви6 Знак,&quot;Таблица N&quot; Знак,Рисунок название стить Знак,Название объекта3 Знак,Название объекта Знак1 Знак Знак,Название объекта Знак Знак Знак Знак,Name_object Знак Знак Знак Знак,Наименование объекта Знак Знак Знак Знак"/>
    <w:basedOn w:val="a0"/>
    <w:link w:val="a5"/>
    <w:locked/>
    <w:rsid w:val="00C20995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Num Bullet 1 Знак,lp1 Знак,Paragraphe de liste1 Знак,Лист Знак,Table Number Paragraph Знак,Bullet Number Знак,Bulletr List Paragraph Знак,列出段落 Знак,列出段落1 Знак,List Paragraph2 Знак,1 Знак"/>
    <w:link w:val="a3"/>
    <w:uiPriority w:val="34"/>
    <w:qFormat/>
    <w:locked/>
    <w:rsid w:val="00C209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аблица_Текст"/>
    <w:basedOn w:val="a"/>
    <w:link w:val="a8"/>
    <w:qFormat/>
    <w:rsid w:val="00C20995"/>
    <w:pPr>
      <w:spacing w:line="360" w:lineRule="auto"/>
      <w:ind w:left="34" w:firstLine="567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Таблица_Текст Знак"/>
    <w:link w:val="a7"/>
    <w:rsid w:val="00C209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1632D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632D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632D7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32D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32D7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632D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632D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5D7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D7518"/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aliases w:val="Сетка таблицы GR,Стиль таблицы,OTR,Main,Заголовок таблицы 1,Моя таблица,НОВЫЙ СТИЛЬ ДЛЯ ТАБЛИЦЫ,(Insert),CV table,Сф_Табл,Таблица ИТ Эксперт,Gridding"/>
    <w:basedOn w:val="a1"/>
    <w:uiPriority w:val="39"/>
    <w:qFormat/>
    <w:rsid w:val="005D75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unhideWhenUsed/>
    <w:rsid w:val="005D7518"/>
    <w:pPr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5D7518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5D7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db6ebf9c27b16f02&amp;hl=ru&amp;cs=0&amp;q=%D0%9C%D0%B5%D1%82%D0%BE%D0%B4%D1%8B+%D0%B8%D1%81%D0%BF%D1%8B%D1%82%D0%B0%D0%BD%D0%B8%D0%B9&amp;sa=X&amp;ved=2ahUKEwjf1ejw-uGPAxWEUVUIHYNlNy8QxccNegQIDxAB&amp;mstk=AUtExfCy-PQwdkQjSeqqXK2wdSSSlZxyGgimnOomXNWiRMEAiTEVyc70s2bgR8KM0SFL4dIY8gBXQX0TCc_fnaATDp6mV5ixcu9gZ9APTmDeVbiMyCH8xeDNbKqaAZGD1TzTg9E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db6ebf9c27b16f02&amp;hl=ru&amp;cs=0&amp;q=%D0%A1%D1%80%D0%B5%D0%B4%D1%81%D1%82%D0%B2%D0%B0+%D0%B8+%D0%BF%D0%BE%D1%80%D1%8F%D0%B4%D0%BE%D0%BA+%D0%B8%D1%81%D0%BF%D1%8B%D1%82%D0%B0%D0%BD%D0%B8%D0%B9&amp;sa=X&amp;ved=2ahUKEwjf1ejw-uGPAxWEUVUIHYNlNy8QxccNegQIEBAB&amp;mstk=AUtExfCy-PQwdkQjSeqqXK2wdSSSlZxyGgimnOomXNWiRMEAiTEVyc70s2bgR8KM0SFL4dIY8gBXQX0TCc_fnaATDp6mV5ixcu9gZ9APTmDeVbiMyCH8xeDNbKqaAZGD1TzTg9E&amp;csui=3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Родькина Анастасия Алексеевна</cp:lastModifiedBy>
  <cp:revision>2</cp:revision>
  <dcterms:created xsi:type="dcterms:W3CDTF">2026-06-18T14:18:00Z</dcterms:created>
  <dcterms:modified xsi:type="dcterms:W3CDTF">2026-06-18T14:18:00Z</dcterms:modified>
</cp:coreProperties>
</file>