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3.xml" ContentType="application/xml"/>
  <Override PartName="/customXml/itemProps2.xml" ContentType="application/vnd.openxmlformats-officedocument.customXmlProperties+xml"/>
  <Override PartName="/word/_rels/footnotes.xml.rels" ContentType="application/vnd.openxmlformats-package.relationships+xml"/>
  <Override PartName="/word/_rels/document.xml.rels" ContentType="application/vnd.openxmlformats-package.relationship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footer5.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color w:val="000000"/>
        </w:rPr>
      </w:pPr>
      <w:r>
        <w:rPr>
          <w:color w:val="000000"/>
        </w:rPr>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bCs/>
          <w:color w:val="000000"/>
          <w:sz w:val="24"/>
          <w:szCs w:val="24"/>
        </w:rPr>
      </w:pPr>
      <w:r>
        <w:rPr>
          <w:b/>
          <w:bCs/>
          <w:color w:val="000000"/>
          <w:sz w:val="24"/>
          <w:szCs w:val="24"/>
        </w:rPr>
        <w:tab/>
      </w:r>
      <w:r>
        <w:rPr>
          <w:bCs/>
          <w:color w:val="000000"/>
          <w:sz w:val="24"/>
          <w:szCs w:val="24"/>
        </w:rPr>
        <w:tab/>
        <w:tab/>
        <w:tab/>
        <w:t>Утверждена</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bCs/>
          <w:color w:val="000000"/>
          <w:sz w:val="24"/>
          <w:szCs w:val="24"/>
        </w:rPr>
      </w:pPr>
      <w:r>
        <w:rPr>
          <w:bCs/>
          <w:color w:val="000000"/>
          <w:sz w:val="24"/>
          <w:szCs w:val="24"/>
        </w:rPr>
        <w:t>приказом АО «ДРСК»</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pPr>
      <w:r>
        <w:rPr>
          <w:bCs/>
          <w:color w:val="000000"/>
          <w:sz w:val="24"/>
          <w:szCs w:val="24"/>
        </w:rPr>
        <w:t>от  11.12.23 №528, в ред приказа от 05.07.24 №292, от 27.11.24 №492,</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pPr>
      <w:r>
        <w:rPr>
          <w:bCs/>
          <w:color w:val="000000"/>
          <w:sz w:val="24"/>
          <w:szCs w:val="24"/>
        </w:rPr>
        <w:t xml:space="preserve">от 20.02.2025 № 81, от 26.06.25 №285, </w:t>
      </w:r>
      <w:r>
        <w:rPr>
          <w:rFonts w:ascii="Liberation Serif" w:hAnsi="Liberation Serif"/>
          <w:b w:val="false"/>
          <w:bCs w:val="false"/>
          <w:color w:val="000000"/>
          <w:sz w:val="24"/>
          <w:szCs w:val="24"/>
          <w:shd w:fill="FFFFFF" w:val="clear"/>
        </w:rPr>
        <w:t>от 24.10.25 №470</w:t>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по результатам проведенной Заказчиком конкурентной процедуры по лоту №_________</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на основании Протокола</w:t>
      </w:r>
      <w:r>
        <w:rPr>
          <w:bCs/>
          <w:color w:val="00000A"/>
          <w:highlight w:val="lightGray"/>
          <w:lang w:val="ru-RU"/>
        </w:rPr>
        <w:t xml:space="preserve"> </w:t>
      </w:r>
      <w:r>
        <w:rPr>
          <w:bCs/>
          <w:color w:val="00000A"/>
          <w:highlight w:val="lightGray"/>
        </w:rPr>
        <w:t>№_______ от «___»__________ года</w:t>
      </w:r>
      <w:r>
        <w:rPr>
          <w:bCs/>
          <w:color w:val="00000A"/>
          <w:highlight w:val="lightGray"/>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yellow"/>
        </w:rPr>
      </w:pPr>
      <w:r>
        <w:rPr>
          <w:b/>
          <w:shd w:fill="FFFFFF" w:val="clear"/>
          <w:lang w:eastAsia="en-US"/>
        </w:rPr>
        <w:t>«Банковская гарантия»</w:t>
      </w:r>
      <w:r>
        <w:rPr>
          <w:shd w:fill="FFFFFF" w:val="clea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b/>
          <w:highlight w:val="lightGray"/>
          <w:lang w:eastAsia="en-US"/>
        </w:rPr>
        <w:t xml:space="preserve">«Организация по проведению государственной экспертизы» </w:t>
      </w:r>
      <w:r>
        <w:rPr>
          <w:highlight w:val="lightGray"/>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w:t>
      </w:r>
      <w:r>
        <w:rPr>
          <w:rStyle w:val="FootnoteReference"/>
          <w:highlight w:val="lightGray"/>
          <w:lang w:eastAsia="en-US"/>
        </w:rPr>
        <w:footnoteReference w:id="2"/>
      </w:r>
      <w:r>
        <w:rPr>
          <w:highlight w:val="lightGray"/>
          <w:lang w:eastAsia="en-US"/>
        </w:rPr>
        <w:t>.</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highlight w:val="lightGray"/>
          <w:lang w:val="ru-RU" w:eastAsia="en-US"/>
        </w:rPr>
      </w:pPr>
      <w:r>
        <w:rPr>
          <w:sz w:val="24"/>
          <w:szCs w:val="24"/>
          <w:highlight w:val="lightGray"/>
          <w:lang w:val="ru-RU" w:eastAsia="en-US"/>
        </w:rPr>
        <w:t>«Проектная документация»</w:t>
      </w:r>
      <w:r>
        <w:rPr>
          <w:b w:val="false"/>
          <w:sz w:val="24"/>
          <w:szCs w:val="24"/>
          <w:highlight w:val="lightGray"/>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highlight w:val="lightGray"/>
          <w:lang w:val="ru-RU" w:eastAsia="en-US"/>
        </w:rPr>
      </w:pPr>
      <w:r>
        <w:rPr>
          <w:b w:val="false"/>
          <w:sz w:val="24"/>
          <w:szCs w:val="24"/>
          <w:highlight w:val="lightGray"/>
          <w:lang w:val="ru-RU" w:eastAsia="en-US"/>
        </w:rPr>
        <w:t xml:space="preserve">Состав разделов Проектной документации определяется Применимым правом и Техническим заданием.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highlight w:val="lightGray"/>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highlight w:val="lightGray"/>
          <w:lang w:eastAsia="en-US"/>
        </w:rPr>
      </w:pPr>
      <w:r>
        <w:rPr>
          <w:b/>
          <w:sz w:val="24"/>
          <w:szCs w:val="24"/>
          <w:highlight w:val="lightGray"/>
          <w:lang w:eastAsia="en-US"/>
        </w:rPr>
        <w:t xml:space="preserve">«Рабочая документация» – </w:t>
      </w:r>
      <w:r>
        <w:rPr>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рабочие чертежи основного комплекта, спецификации оборудования и изделий;</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документы, разработанные в дополнение к рабочим чертежам основного комплекта;</w:t>
      </w:r>
    </w:p>
    <w:p>
      <w:pPr>
        <w:pStyle w:val="ListParagraph"/>
        <w:widowControl w:val="false"/>
        <w:numPr>
          <w:ilvl w:val="0"/>
          <w:numId w:val="5"/>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highlight w:val="lightGray"/>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w:t>
      </w:r>
      <w:r>
        <w:rPr>
          <w:b w:val="false"/>
          <w:sz w:val="24"/>
          <w:szCs w:val="24"/>
          <w:highlight w:val="lightGray"/>
          <w:lang w:val="ru-RU" w:eastAsia="en-US"/>
        </w:rPr>
        <w:t>Проектная документация, получившая положительное заключение государственной экспертизы</w:t>
      </w:r>
      <w:r>
        <w:rPr>
          <w:rStyle w:val="FootnoteReference"/>
          <w:b w:val="false"/>
          <w:sz w:val="24"/>
          <w:szCs w:val="24"/>
          <w:highlight w:val="lightGray"/>
          <w:lang w:val="ru-RU" w:eastAsia="en-US"/>
        </w:rPr>
        <w:footnoteReference w:id="3"/>
      </w:r>
      <w:r>
        <w:rPr>
          <w:b w:val="false"/>
          <w:sz w:val="24"/>
          <w:szCs w:val="24"/>
          <w:lang w:val="ru-RU" w:eastAsia="en-US"/>
        </w:rPr>
        <w:t xml:space="preserve"> </w:t>
      </w:r>
      <w:r>
        <w:rPr>
          <w:b w:val="false"/>
          <w:sz w:val="24"/>
          <w:szCs w:val="24"/>
          <w:highlight w:val="lightGray"/>
          <w:lang w:val="ru-RU" w:eastAsia="en-US"/>
        </w:rPr>
        <w:t>и / или Рабочая документация</w:t>
      </w:r>
      <w:r>
        <w:rPr>
          <w:b w:val="false"/>
          <w:sz w:val="24"/>
          <w:szCs w:val="24"/>
          <w:lang w:val="ru-RU" w:eastAsia="en-US"/>
        </w:rPr>
        <w:t xml:space="preserve"> или иной результат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8"/>
        <w:rPr>
          <w:sz w:val="24"/>
          <w:szCs w:val="24"/>
          <w:lang w:eastAsia="en-US"/>
        </w:rPr>
      </w:pPr>
      <w:r>
        <w:rPr>
          <w:b/>
          <w:sz w:val="24"/>
          <w:szCs w:val="24"/>
          <w:lang w:eastAsia="en-US"/>
        </w:rPr>
        <w:t>«</w:t>
      </w:r>
      <w:r>
        <w:rPr>
          <w:b/>
          <w:sz w:val="24"/>
          <w:szCs w:val="24"/>
          <w:shd w:fill="FFFFFF" w:val="clear"/>
          <w:lang w:eastAsia="en-US"/>
        </w:rPr>
        <w:t>Субъект</w:t>
      </w:r>
      <w:r>
        <w:rPr>
          <w:b/>
          <w:sz w:val="24"/>
          <w:szCs w:val="24"/>
          <w:lang w:eastAsia="en-US"/>
        </w:rPr>
        <w:t xml:space="preserve">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pacing w:lineRule="auto" w:line="240"/>
        <w:rPr>
          <w:lang w:eastAsia="en-US"/>
        </w:rPr>
      </w:pPr>
      <w:r>
        <w:rPr>
          <w:lang w:eastAsia="en-U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highlight w:val="lightGray"/>
        </w:rPr>
        <w:t>[</w:t>
      </w:r>
      <w:r>
        <w:rPr>
          <w:bCs/>
          <w:i/>
          <w:highlight w:val="lightGray"/>
        </w:rPr>
        <w:t>_________________________________________</w:t>
      </w:r>
      <w:r>
        <w:rPr>
          <w:bCs/>
          <w:highlight w:val="lightGray"/>
        </w:rPr>
        <w:t>]</w:t>
      </w:r>
      <w:bookmarkEnd w:id="0"/>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В состав Работ по Договору входят</w:t>
      </w:r>
      <w:r>
        <w:rPr>
          <w:rStyle w:val="FootnoteReference"/>
          <w:bCs/>
        </w:rPr>
        <w:footnoteReference w:id="4"/>
      </w:r>
      <w:r>
        <w:rPr>
          <w:bCs/>
        </w:rPr>
        <w:t>:</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Обследование</w:t>
      </w:r>
      <w:r>
        <w:rPr>
          <w:rStyle w:val="FootnoteReference"/>
          <w:bCs/>
          <w:highlight w:val="lightGray"/>
        </w:rPr>
        <w:footnoteReference w:id="5"/>
      </w:r>
      <w:r>
        <w:rPr>
          <w:bCs/>
          <w:highlight w:val="lightGray"/>
        </w:rPr>
        <w:t>;</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Разработка Проектной документации;</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Сопровождение получения положительного заключения государственной экспертизы в отношении Проектной документации в Организации по проведению государственной экспертизы</w:t>
      </w:r>
      <w:r>
        <w:rPr>
          <w:rStyle w:val="FootnoteReference"/>
          <w:bCs/>
          <w:highlight w:val="lightGray"/>
        </w:rPr>
        <w:footnoteReference w:id="6"/>
      </w:r>
      <w:r>
        <w:rPr>
          <w:bCs/>
          <w:highlight w:val="lightGray"/>
        </w:rPr>
        <w:t xml:space="preserve">; </w:t>
      </w:r>
    </w:p>
    <w:p>
      <w:pPr>
        <w:pStyle w:val="ListParagraph"/>
        <w:numPr>
          <w:ilvl w:val="2"/>
          <w:numId w:val="2"/>
        </w:numPr>
        <w:shd w:val="clear" w:color="auto" w:fill="FFFFFF"/>
        <w:tabs>
          <w:tab w:val="clear" w:pos="708"/>
          <w:tab w:val="left" w:pos="1418" w:leader="none"/>
        </w:tabs>
        <w:ind w:left="0" w:firstLine="709"/>
        <w:jc w:val="both"/>
        <w:rPr>
          <w:bCs/>
          <w:highlight w:val="lightGray"/>
        </w:rPr>
      </w:pPr>
      <w:r>
        <w:rPr>
          <w:bCs/>
          <w:highlight w:val="lightGray"/>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государственной экспертизы</w:t>
      </w:r>
      <w:r>
        <w:rPr>
          <w:rStyle w:val="FootnoteReference"/>
          <w:bCs/>
          <w:highlight w:val="lightGray"/>
        </w:rPr>
        <w:footnoteReference w:id="7"/>
      </w:r>
      <w:r>
        <w:rPr>
          <w:bCs/>
          <w:highlight w:val="lightGray"/>
        </w:rPr>
        <w:t>;</w:t>
      </w:r>
    </w:p>
    <w:p>
      <w:pPr>
        <w:pStyle w:val="ListParagraph"/>
        <w:numPr>
          <w:ilvl w:val="2"/>
          <w:numId w:val="2"/>
        </w:numPr>
        <w:shd w:val="clear" w:color="auto" w:fill="FFFFFF"/>
        <w:tabs>
          <w:tab w:val="clear" w:pos="708"/>
          <w:tab w:val="left" w:pos="1418" w:leader="none"/>
        </w:tabs>
        <w:ind w:left="0" w:firstLine="710"/>
        <w:jc w:val="both"/>
        <w:rPr>
          <w:bCs/>
          <w:highlight w:val="lightGray"/>
        </w:rPr>
      </w:pPr>
      <w:r>
        <w:rPr>
          <w:bCs/>
          <w:highlight w:val="lightGray"/>
        </w:rPr>
        <w:t>Разработка Рабочей документации</w:t>
      </w:r>
      <w:r>
        <w:rPr>
          <w:highlight w:val="lightGray"/>
          <w:lang w:eastAsia="en-US"/>
        </w:rPr>
        <w:t>.</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w:t>
      </w:r>
      <w:r>
        <w:rPr>
          <w:bCs/>
          <w:highlight w:val="lightGray"/>
        </w:rPr>
        <w:t>_________________</w:t>
      </w:r>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highlight w:val="lightGray"/>
        </w:rPr>
        <w:t>«_____» _________ 20 __ г. / с даты, следующей за датой заключения Договора</w:t>
      </w:r>
      <w: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highlight w:val="lightGray"/>
        </w:rPr>
        <w:t>«_____» _________ 20__ г. / __________________ месяцев с даты, следующей за датой начала выполнения Работ по Договору</w:t>
      </w:r>
      <w:r>
        <w:rPr/>
        <w:t>.</w:t>
      </w:r>
    </w:p>
    <w:p>
      <w:pPr>
        <w:pStyle w:val="ListParagraph"/>
        <w:widowControl w:val="false"/>
        <w:numPr>
          <w:ilvl w:val="1"/>
          <w:numId w:val="2"/>
        </w:numPr>
        <w:shd w:val="clear" w:color="auto" w:fill="FFFFFF"/>
        <w:tabs>
          <w:tab w:val="clear" w:pos="708"/>
          <w:tab w:val="left" w:pos="1134" w:leader="none"/>
        </w:tabs>
        <w:ind w:left="0" w:firstLine="709"/>
        <w:jc w:val="both"/>
        <w:rPr/>
      </w:pPr>
      <w:r>
        <w:rPr>
          <w:bCs/>
        </w:rPr>
        <w:t>Выполнение Работ осуществляется в один этап.</w:t>
      </w:r>
    </w:p>
    <w:p>
      <w:pPr>
        <w:pStyle w:val="ListParagraph"/>
        <w:widowControl w:val="false"/>
        <w:shd w:val="clear" w:color="auto" w:fill="FFFFFF"/>
        <w:tabs>
          <w:tab w:val="clear" w:pos="708"/>
          <w:tab w:val="left" w:pos="1134" w:leader="none"/>
        </w:tabs>
        <w:ind w:left="567" w:hanging="0"/>
        <w:jc w:val="both"/>
        <w:rPr/>
      </w:pPr>
      <w:r>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bCs/>
        </w:rPr>
      </w:pPr>
      <w:bookmarkStart w:id="2" w:name="_Ref361396847"/>
      <w:bookmarkStart w:id="3" w:name="_Ref361320734"/>
      <w:bookmarkStart w:id="4" w:name="_Ref361401696"/>
      <w:r>
        <w:rPr>
          <w:bCs/>
        </w:rPr>
        <w:t xml:space="preserve">В течение </w:t>
      </w:r>
      <w:r>
        <w:rPr>
          <w:bCs/>
          <w:highlight w:val="lightGray"/>
        </w:rPr>
        <w:t>3 (трех)</w:t>
      </w:r>
      <w:bookmarkEnd w:id="2"/>
      <w:bookmarkEnd w:id="3"/>
      <w:bookmarkEnd w:id="4"/>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(Приложение № 1 к Договору),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2"/>
        </w:numPr>
        <w:shd w:val="clear" w:color="auto" w:fill="FFFFFF"/>
        <w:tabs>
          <w:tab w:val="clear" w:pos="708"/>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 или привлеченным им Субподрядчикам.</w:t>
      </w:r>
    </w:p>
    <w:p>
      <w:pPr>
        <w:pStyle w:val="ListParagraph"/>
        <w:numPr>
          <w:ilvl w:val="2"/>
          <w:numId w:val="2"/>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2"/>
        </w:numPr>
        <w:shd w:val="clear" w:color="auto" w:fill="FFFFFF"/>
        <w:tabs>
          <w:tab w:val="clear" w:pos="708"/>
          <w:tab w:val="left" w:pos="567" w:leader="none"/>
        </w:tabs>
        <w:ind w:left="0" w:firstLine="709"/>
        <w:jc w:val="both"/>
        <w:rPr/>
      </w:pPr>
      <w:r>
        <w:rPr>
          <w:bCs/>
        </w:rPr>
        <w:t>В случае нарушения Подрядчиком п.2.4.2 настоящего договора Заказчик имеет право</w:t>
      </w:r>
      <w:r>
        <w:rPr/>
        <w:t xml:space="preserve"> предъявить Подрядчику требование об уплате штрафа в размере 20% от стоимости работ, фактически принятых Заказчиком. Удержание штрафа, подлежащего уплате Подря</w:t>
      </w:r>
      <w:r>
        <w:rPr>
          <w:shd w:fill="auto" w:val="clear"/>
        </w:rPr>
        <w:t>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numPr>
          <w:ilvl w:val="2"/>
          <w:numId w:val="2"/>
        </w:numPr>
        <w:shd w:val="clear" w:color="auto" w:fill="FFFFFF"/>
        <w:tabs>
          <w:tab w:val="clear" w:pos="708"/>
          <w:tab w:val="left" w:pos="567" w:leader="none"/>
        </w:tabs>
        <w:ind w:left="0" w:firstLine="709"/>
        <w:jc w:val="both"/>
        <w:rPr>
          <w:highlight w:val="none"/>
          <w:shd w:fill="auto" w:val="clear"/>
        </w:rPr>
      </w:pP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Выполни</w:t>
      </w:r>
      <w:r>
        <w:rPr>
          <w:bCs/>
        </w:rPr>
        <w:t>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 к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10 (десяти)</w:t>
      </w:r>
      <w:r>
        <w:rPr>
          <w:bCs/>
        </w:rPr>
        <w:t xml:space="preserve">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pPr>
        <w:pStyle w:val="Normal"/>
        <w:widowControl w:val="false"/>
        <w:numPr>
          <w:ilvl w:val="2"/>
          <w:numId w:val="2"/>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lightGray"/>
        </w:rPr>
      </w:pPr>
      <w:r>
        <w:rPr>
          <w:highlight w:val="lightGray"/>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bCs/>
          <w:highlight w:val="lightGray"/>
        </w:rPr>
      </w:pPr>
      <w:r>
        <w:rPr>
          <w:bCs/>
          <w:highlight w:val="lightGray"/>
        </w:rPr>
        <w:t xml:space="preserve">участие в саморегулируемой организации, основанной на членстве лиц, </w:t>
      </w:r>
      <w:r>
        <w:rPr>
          <w:highlight w:val="lightGray"/>
        </w:rPr>
        <w:t>выполняющих подготовку проектной документации</w:t>
      </w:r>
      <w:r>
        <w:rPr>
          <w:bCs/>
          <w:highlight w:val="lightGray"/>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bCs/>
          <w:highlight w:val="lightGray"/>
        </w:rPr>
      </w:pPr>
      <w:r>
        <w:rPr>
          <w:bCs/>
          <w:highlight w:val="lightGray"/>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highlight w:val="lightGray"/>
        </w:rPr>
        <w:t xml:space="preserve"> </w:t>
      </w:r>
      <w:r>
        <w:rPr>
          <w:bCs/>
          <w:highlight w:val="lightGray"/>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highlight w:val="lightGray"/>
        </w:rPr>
      </w:pPr>
      <w:r>
        <w:rPr>
          <w:bCs/>
          <w:highlight w:val="lightGray"/>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pPr>
      <w:r>
        <w:rPr/>
        <w:t>аварии – в течение 2 (двух) часов;</w:t>
      </w:r>
    </w:p>
    <w:p>
      <w:pPr>
        <w:pStyle w:val="ListParagraph"/>
        <w:numPr>
          <w:ilvl w:val="0"/>
          <w:numId w:val="13"/>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highlight w:val="lightGray"/>
          <w:lang w:eastAsia="en-US"/>
        </w:rPr>
        <w:t>Проектной документации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highlight w:val="lightGray"/>
          <w:lang w:eastAsia="en-US"/>
        </w:rPr>
        <w:t>Проектной документации и / или Рабочей документации</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либо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w:t>
      </w:r>
      <w:r>
        <w:rPr>
          <w:shd w:fill="auto" w:val="clear"/>
        </w:rPr>
        <w:t>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bookmarkStart w:id="8" w:name="_GoBack1"/>
      <w:bookmarkEnd w:id="8"/>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 w:val="false"/>
          <w:bCs w:val="false"/>
          <w:i w:val="false"/>
          <w:iCs w:val="false"/>
          <w:sz w:val="24"/>
          <w:szCs w:val="24"/>
          <w:shd w:fill="auto"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b w:val="false"/>
          <w:bCs/>
          <w:i w:val="false"/>
          <w:iCs w:val="false"/>
          <w:caps w:val="false"/>
          <w:smallCaps w:val="false"/>
          <w:sz w:val="24"/>
          <w:szCs w:val="24"/>
          <w:shd w:fill="auto" w:val="clear"/>
        </w:rPr>
        <w:t xml:space="preserve">наличии </w:t>
      </w:r>
      <w:r>
        <w:rPr>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 % (____ процентов)</w:t>
      </w:r>
      <w:r>
        <w:rPr>
          <w:rStyle w:val="FootnoteReference"/>
          <w:bCs/>
          <w:highlight w:val="lightGray"/>
        </w:rPr>
        <w:footnoteReference w:id="8"/>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4"/>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должности,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w:t>
      </w:r>
    </w:p>
    <w:p>
      <w:pPr>
        <w:pStyle w:val="ListParagraph"/>
        <w:numPr>
          <w:ilvl w:val="0"/>
          <w:numId w:val="14"/>
        </w:numPr>
        <w:shd w:val="clear" w:color="auto" w:fill="FFFFFF"/>
        <w:tabs>
          <w:tab w:val="clear" w:pos="708"/>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Normal"/>
        <w:shd w:val="clear" w:color="auto" w:fill="FFFFFF"/>
        <w:tabs>
          <w:tab w:val="clear" w:pos="708"/>
          <w:tab w:val="left" w:pos="851" w:leader="none"/>
        </w:tabs>
        <w:spacing w:lineRule="auto" w:line="240"/>
        <w:ind w:firstLine="709"/>
        <w:rPr>
          <w:bCs/>
          <w:sz w:val="24"/>
          <w:szCs w:val="24"/>
        </w:rPr>
      </w:pPr>
      <w:r>
        <w:rPr>
          <w:bCs/>
          <w:sz w:val="24"/>
          <w:szCs w:val="24"/>
          <w:highlight w:val="lightGray"/>
        </w:rPr>
        <w:t>2.4.3.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FootnoteReference"/>
          <w:bCs/>
          <w:sz w:val="24"/>
          <w:szCs w:val="24"/>
          <w:highlight w:val="lightGray"/>
        </w:rPr>
        <w:footnoteReference w:id="9"/>
      </w:r>
      <w:r>
        <w:rPr>
          <w:bCs/>
          <w:sz w:val="24"/>
          <w:szCs w:val="24"/>
          <w:highlight w:val="lightGray"/>
        </w:rPr>
        <w:t>.</w:t>
      </w:r>
    </w:p>
    <w:p>
      <w:pPr>
        <w:pStyle w:val="ListParagraph"/>
        <w:shd w:val="clear" w:color="auto" w:fill="FFFFFF"/>
        <w:tabs>
          <w:tab w:val="clear" w:pos="708"/>
          <w:tab w:val="left" w:pos="851" w:leader="none"/>
        </w:tabs>
        <w:ind w:left="0" w:firstLine="709"/>
        <w:jc w:val="both"/>
        <w:rPr>
          <w:bCs/>
        </w:rPr>
      </w:pPr>
      <w:r>
        <w:rPr>
          <w:bCs/>
        </w:rPr>
      </w:r>
    </w:p>
    <w:p>
      <w:pPr>
        <w:pStyle w:val="ListParagraph"/>
        <w:numPr>
          <w:ilvl w:val="1"/>
          <w:numId w:val="2"/>
        </w:numPr>
        <w:shd w:val="clear" w:color="auto" w:fill="FFFFFF"/>
        <w:tabs>
          <w:tab w:val="clear" w:pos="708"/>
          <w:tab w:val="left" w:pos="851" w:leader="none"/>
          <w:tab w:val="left" w:pos="1134" w:leader="none"/>
        </w:tabs>
        <w:ind w:left="1000" w:hanging="291"/>
        <w:jc w:val="both"/>
        <w:rPr>
          <w:highlight w:val="none"/>
          <w:shd w:fill="B2B2B2" w:val="clear"/>
        </w:rPr>
      </w:pPr>
      <w:r>
        <w:rPr>
          <w:bCs/>
          <w:shd w:fill="B2B2B2" w:val="clear"/>
        </w:rPr>
        <w:t>Иные права и обязанности Сторон:</w:t>
      </w:r>
    </w:p>
    <w:p>
      <w:pPr>
        <w:pStyle w:val="ListParagraph"/>
        <w:numPr>
          <w:ilvl w:val="2"/>
          <w:numId w:val="2"/>
        </w:numPr>
        <w:shd w:val="clear" w:color="auto" w:fill="FFFFFF"/>
        <w:tabs>
          <w:tab w:val="clear" w:pos="708"/>
          <w:tab w:val="left" w:pos="851" w:leader="none"/>
          <w:tab w:val="left" w:pos="1418" w:leader="none"/>
        </w:tabs>
        <w:ind w:left="0" w:firstLine="709"/>
        <w:jc w:val="both"/>
        <w:rPr>
          <w:highlight w:val="none"/>
          <w:shd w:fill="B2B2B2" w:val="clear"/>
        </w:rPr>
      </w:pPr>
      <w:r>
        <w:rPr>
          <w:bCs/>
          <w:shd w:fill="B2B2B2" w:val="clear"/>
        </w:rPr>
        <w:t xml:space="preserve">Стороны обязуются выполнять в своей части требования, указанные </w:t>
        <w:br/>
        <w:t>в Регламенте взаимодействия в ходе исполнения процессов управления проектом (Приложение № 9 к Договору).</w:t>
      </w:r>
    </w:p>
    <w:p>
      <w:pPr>
        <w:pStyle w:val="ListParagraph"/>
        <w:numPr>
          <w:ilvl w:val="2"/>
          <w:numId w:val="2"/>
        </w:numPr>
        <w:shd w:val="clear" w:color="auto" w:fill="FFFFFF"/>
        <w:tabs>
          <w:tab w:val="clear" w:pos="708"/>
          <w:tab w:val="left" w:pos="851" w:leader="none"/>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Pr>
          <w:rStyle w:val="FootnoteCharacters"/>
          <w:highlight w:val="lightGray"/>
        </w:rPr>
        <w:t xml:space="preserve"> </w:t>
      </w:r>
    </w:p>
    <w:p>
      <w:pPr>
        <w:pStyle w:val="ListParagraph"/>
        <w:numPr>
          <w:ilvl w:val="2"/>
          <w:numId w:val="2"/>
        </w:numPr>
        <w:tabs>
          <w:tab w:val="clear" w:pos="708"/>
          <w:tab w:val="left" w:pos="851" w:leader="none"/>
        </w:tabs>
        <w:ind w:left="0" w:firstLine="709"/>
        <w:jc w:val="both"/>
        <w:rPr>
          <w:highlight w:val="lightGray"/>
        </w:rPr>
      </w:pPr>
      <w:r>
        <w:rPr>
          <w:highlight w:val="lightGray"/>
        </w:rPr>
        <w:t>При заключении договоров с Субподрядчиками в случае, предусмотренном пунктом 2.5.1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2"/>
        </w:numPr>
        <w:tabs>
          <w:tab w:val="clear" w:pos="708"/>
          <w:tab w:val="left" w:pos="851" w:leader="none"/>
        </w:tabs>
        <w:ind w:left="0" w:firstLine="709"/>
        <w:jc w:val="both"/>
        <w:rPr>
          <w:highlight w:val="lightGray"/>
        </w:rPr>
      </w:pPr>
      <w:r>
        <w:rPr>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7 к Договору</w:t>
      </w:r>
      <w:r>
        <w:rPr>
          <w:rStyle w:val="FootnoteReference"/>
          <w:highlight w:val="lightGray"/>
        </w:rPr>
        <w:footnoteReference w:id="10"/>
      </w:r>
    </w:p>
    <w:p>
      <w:pPr>
        <w:pStyle w:val="ListParagraph"/>
        <w:tabs>
          <w:tab w:val="clear" w:pos="708"/>
          <w:tab w:val="left" w:pos="851" w:leader="none"/>
        </w:tabs>
        <w:ind w:left="0" w:firstLine="709"/>
        <w:jc w:val="both"/>
        <w:rPr>
          <w:highlight w:val="lightGray"/>
        </w:rPr>
      </w:pPr>
      <w:r>
        <w:rPr>
          <w:highlight w:val="lightGray"/>
        </w:rPr>
      </w:r>
    </w:p>
    <w:p>
      <w:pPr>
        <w:pStyle w:val="ListParagraph"/>
        <w:tabs>
          <w:tab w:val="clear" w:pos="708"/>
          <w:tab w:val="left" w:pos="851" w:leader="none"/>
        </w:tabs>
        <w:ind w:left="0" w:firstLine="709"/>
        <w:jc w:val="both"/>
        <w:rPr/>
      </w:pPr>
      <w:r>
        <w:rPr>
          <w:highlight w:val="lightGray"/>
        </w:rPr>
        <w:t xml:space="preserve">2.6. В случае нарушения Подрядчиком условий, предусмотренных пунктами 2.4.3, </w:t>
      </w:r>
      <w:r>
        <w:rPr>
          <w:shd w:fill="B2B2B2" w:val="clear"/>
        </w:rPr>
        <w:t xml:space="preserve">2.5.2, 2.5.4 </w:t>
      </w:r>
      <w:r>
        <w:rPr>
          <w:highlight w:val="lightGray"/>
        </w:rPr>
        <w:t>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8"/>
          <w:tab w:val="left" w:pos="1418" w:leader="none"/>
        </w:tabs>
        <w:ind w:left="0" w:firstLine="709"/>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Сводной сметой с приложениями (Приложение № 2 к Договору) является </w:t>
      </w:r>
      <w:r>
        <w:rPr>
          <w:bCs/>
          <w:highlight w:val="lightGray"/>
        </w:rPr>
        <w:t>предельной / твердой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РФ (далее </w:t>
      </w:r>
      <w:r>
        <w:rPr>
          <w:lang w:eastAsia="en-US"/>
        </w:rPr>
        <w:t>– «НК РФ»)</w:t>
      </w:r>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highlight w:val="lightGray"/>
        </w:rPr>
        <w:t xml:space="preserve">Предельная </w:t>
      </w:r>
      <w:r>
        <w:rPr>
          <w:bCs/>
          <w:highlight w:val="lightGray"/>
        </w:rPr>
        <w:t>/ Твердая</w:t>
      </w:r>
      <w:r>
        <w:rPr>
          <w:bCs/>
        </w:rPr>
        <w:t xml:space="preserve"> цена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0" w:right="0" w:firstLine="737"/>
        <w:contextualSpacing/>
        <w:jc w:val="both"/>
        <w:rPr/>
      </w:pPr>
      <w:bookmarkStart w:id="9" w:name="_Ref361834605"/>
      <w:bookmarkEnd w:id="9"/>
      <w:r>
        <w:rPr>
          <w:highlight w:val="lightGray"/>
        </w:rPr>
        <w:t>См</w:t>
      </w:r>
      <w:r>
        <w:rPr>
          <w:sz w:val="24"/>
          <w:szCs w:val="24"/>
          <w:highlight w:val="lightGray"/>
        </w:rPr>
        <w:t xml:space="preserve">еты подлежат согласованию Сторонами не позднее истечения 30 (тридцати) календарных дней </w:t>
      </w:r>
      <w:bookmarkStart w:id="10" w:name="__DdeLink__2061_4290151250"/>
      <w:r>
        <w:rPr>
          <w:rFonts w:eastAsia="Times New Roman" w:cs="Times New Roman"/>
          <w:sz w:val="24"/>
          <w:szCs w:val="24"/>
          <w:highlight w:val="lightGray"/>
        </w:rPr>
        <w:t>/ 90 (девяноста) календарных дней</w:t>
      </w:r>
      <w:r>
        <w:rPr>
          <w:rStyle w:val="FootnoteReference"/>
          <w:rFonts w:eastAsia="Times New Roman" w:cs="Times New Roman"/>
          <w:sz w:val="24"/>
          <w:szCs w:val="24"/>
          <w:highlight w:val="lightGray"/>
        </w:rPr>
        <w:footnoteReference w:id="11"/>
      </w:r>
      <w:r>
        <w:rPr>
          <w:rFonts w:eastAsia="Times New Roman" w:cs="Times New Roman"/>
          <w:sz w:val="24"/>
          <w:szCs w:val="24"/>
          <w:highlight w:val="lightGray"/>
        </w:rPr>
        <w:t xml:space="preserve"> </w:t>
      </w:r>
      <w:bookmarkEnd w:id="10"/>
      <w:r>
        <w:rPr>
          <w:sz w:val="24"/>
          <w:szCs w:val="24"/>
          <w:highlight w:val="lightGray"/>
        </w:rPr>
        <w:t xml:space="preserve">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w:t>
      </w:r>
      <w:r>
        <w:rPr>
          <w:highlight w:val="lightGray"/>
        </w:rPr>
        <w:t>момента такого согласования. После согласования смет Стороны обязаны уточнить Сводную смету с приложениями (Приложение № 2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p>
    <w:p>
      <w:pPr>
        <w:pStyle w:val="ListParagraph"/>
        <w:shd w:val="clear" w:color="auto" w:fill="FFFFFF"/>
        <w:tabs>
          <w:tab w:val="clear" w:pos="708"/>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08"/>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2 к Договору)</w:t>
      </w:r>
      <w:bookmarkStart w:id="11" w:name="_Ref361335465"/>
      <w:bookmarkEnd w:id="11"/>
      <w:r>
        <w:rPr>
          <w:rStyle w:val="FootnoteReference"/>
          <w:highlight w:val="lightGray"/>
        </w:rPr>
        <w:footnoteReference w:id="12"/>
      </w:r>
      <w:r>
        <w:rPr>
          <w:bCs/>
          <w:highlight w:val="lightGray"/>
        </w:rPr>
        <w:t>.</w:t>
      </w:r>
    </w:p>
    <w:p>
      <w:pPr>
        <w:pStyle w:val="ListParagraph"/>
        <w:numPr>
          <w:ilvl w:val="1"/>
          <w:numId w:val="2"/>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Подлежащие уплате налоги (в том числе НДС),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12" w:name="_Ref361858588"/>
      <w:bookmarkStart w:id="13" w:name="_Ref361834675"/>
      <w:r>
        <w:rPr>
          <w:bCs/>
        </w:rPr>
        <w:t>Оплата по Договору осуществляется Заказчиком в следующем порядке:</w:t>
      </w:r>
      <w:bookmarkEnd w:id="12"/>
      <w:bookmarkEnd w:id="13"/>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  </w:t>
      </w:r>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 и предварительно согласованную с Заказчиком.</w:t>
      </w:r>
    </w:p>
    <w:p>
      <w:pPr>
        <w:pStyle w:val="ListParagraph"/>
        <w:numPr>
          <w:ilvl w:val="2"/>
          <w:numId w:val="2"/>
        </w:numPr>
        <w:shd w:val="clear" w:color="auto" w:fill="FFFFFF"/>
        <w:tabs>
          <w:tab w:val="clear" w:pos="708"/>
          <w:tab w:val="left" w:pos="1418" w:leader="none"/>
        </w:tabs>
        <w:ind w:left="0" w:firstLine="709"/>
        <w:jc w:val="both"/>
        <w:rPr/>
      </w:pPr>
      <w:bookmarkStart w:id="14" w:name="_Ref373242755"/>
      <w:bookmarkStart w:id="15" w:name="_Ref361335057"/>
      <w:r>
        <w:rPr/>
        <w:t xml:space="preserve"> </w:t>
      </w:r>
      <w:bookmarkStart w:id="16" w:name="_Ref361335023"/>
      <w:bookmarkStart w:id="17" w:name="_Ref361834178"/>
      <w:bookmarkEnd w:id="14"/>
      <w:bookmarkEnd w:id="15"/>
      <w:r>
        <w:rPr/>
        <w:t>Авансовый платеж в счет стоимости Работ рассчитывается в размере 30  (тридцати) процентов от стоимости Работ, без учета НДС, кроме того НДС по ставке, установленной статьей 164 НК РФ на дату выплаты авансового платежа</w:t>
      </w:r>
      <w:r>
        <w:rPr>
          <w:bCs/>
        </w:rPr>
        <w:t>, и</w:t>
      </w:r>
      <w:r>
        <w:rPr/>
        <w:t xml:space="preserve"> выплачивается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Работ, определенной в пункте 1.5.1 Договора, </w:t>
      </w:r>
      <w:r>
        <w:rPr>
          <w:highlight w:val="lightGray"/>
        </w:rPr>
        <w:t>при условии согласования Сторонами сметной документации на Работы в соответствии с пунктом 3.2 Договора</w:t>
      </w:r>
      <w:r>
        <w:rPr>
          <w:rStyle w:val="FootnoteReference"/>
          <w:highlight w:val="lightGray"/>
        </w:rPr>
        <w:footnoteReference w:id="13"/>
      </w:r>
      <w:r>
        <w:rPr/>
        <w:t>, и с учетом пунктов 3.5.1, 3.5.4 Дого</w:t>
      </w:r>
      <w:bookmarkStart w:id="18" w:name="_Ref373242766"/>
      <w:bookmarkEnd w:id="18"/>
      <w:r>
        <w:rPr/>
        <w:t xml:space="preserve">вора. </w:t>
      </w:r>
    </w:p>
    <w:p>
      <w:pPr>
        <w:pStyle w:val="ListParagraph"/>
        <w:numPr>
          <w:ilvl w:val="2"/>
          <w:numId w:val="2"/>
        </w:numPr>
        <w:shd w:val="clear" w:color="auto" w:fill="FFFFFF"/>
        <w:tabs>
          <w:tab w:val="clear" w:pos="708"/>
          <w:tab w:val="left" w:pos="1418" w:leader="none"/>
        </w:tabs>
        <w:ind w:left="0" w:firstLine="709"/>
        <w:jc w:val="both"/>
        <w:rPr/>
      </w:pPr>
      <w:r>
        <w:rPr/>
        <w:t>Последующий платеж в размере разницы между стоимостью Работ, определенной с учетом НДС</w:t>
      </w:r>
      <w:r>
        <w:rPr>
          <w:bCs/>
        </w:rPr>
        <w:t xml:space="preserve"> по ставке, установленной статьей 164 НК РФ на дату подписания Сторонами документов, указанных в пункте 4.1 Договора,</w:t>
      </w:r>
      <w:r>
        <w:rPr/>
        <w:t xml:space="preserve"> и </w:t>
      </w:r>
      <w:r>
        <w:rPr>
          <w:bCs/>
        </w:rPr>
        <w:t>суммой</w:t>
      </w:r>
      <w:r>
        <w:rPr/>
        <w:t xml:space="preserve"> </w:t>
      </w:r>
      <w:r>
        <w:rPr>
          <w:bCs/>
        </w:rPr>
        <w:t>авансового платежа, ранее уплаченного</w:t>
      </w:r>
      <w:r>
        <w:rPr/>
        <w:t xml:space="preserve"> в соответствии с пунктом 3.5.2 Договора,</w:t>
      </w:r>
      <w:r>
        <w:rPr>
          <w:bCs/>
        </w:rPr>
        <w:t xml:space="preserve"> </w:t>
      </w:r>
      <w:r>
        <w:rPr/>
        <w:t>выплачивается в течение 20 (двадцати) календарных дней</w:t>
      </w:r>
      <w:r>
        <w:rPr>
          <w:rStyle w:val="FootnoteReference"/>
        </w:rPr>
        <w:footnoteReference w:id="14"/>
      </w:r>
      <w:r>
        <w:rPr/>
        <w:t xml:space="preserve"> /  45 (сорока пяти) календарных дней</w:t>
      </w:r>
      <w:r>
        <w:rPr>
          <w:rStyle w:val="FootnoteReference"/>
        </w:rPr>
        <w:footnoteReference w:id="15"/>
      </w:r>
      <w:r>
        <w:rPr/>
        <w:t xml:space="preserve"> / 7 (семи) рабочих дней</w:t>
      </w:r>
      <w:r>
        <w:rPr>
          <w:rStyle w:val="FootnoteReference"/>
        </w:rPr>
        <w:footnoteReference w:id="16"/>
      </w:r>
      <w:r>
        <w:rPr/>
        <w:t xml:space="preserve"> с даты подписания Сторонами документов, указанных в пункте 4.1 Договора, на основании счета, выставленного Подрядчиком, и с учетом пункта  3.5.4 Договора.</w:t>
      </w:r>
      <w:r>
        <w:rPr>
          <w:highlight w:val="lightGray"/>
        </w:rPr>
        <w:t xml:space="preserve"> </w:t>
      </w:r>
    </w:p>
    <w:p>
      <w:pPr>
        <w:pStyle w:val="ListParagraph"/>
        <w:shd w:val="clear" w:color="auto" w:fill="FFFFFF"/>
        <w:tabs>
          <w:tab w:val="clear" w:pos="708"/>
          <w:tab w:val="left" w:pos="1418" w:leader="none"/>
        </w:tabs>
        <w:ind w:left="0" w:firstLine="709"/>
        <w:jc w:val="both"/>
        <w:rPr/>
      </w:pPr>
      <w:r>
        <w:rPr/>
        <w:t>3.5.4.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w:t>
      </w:r>
      <w:r>
        <w:rPr>
          <w:shd w:fill="FFFFFF" w:val="clear"/>
        </w:rPr>
        <w:t>, чем за</w:t>
      </w:r>
      <w:r>
        <w:rPr/>
        <w:t xml:space="preserve">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tabs>
          <w:tab w:val="clear" w:pos="708"/>
          <w:tab w:val="left" w:pos="1418" w:leader="none"/>
        </w:tabs>
        <w:ind w:left="0" w:firstLine="709"/>
        <w:jc w:val="both"/>
        <w:rPr/>
      </w:pPr>
      <w:bookmarkStart w:id="19" w:name="_Ref373242894"/>
      <w:bookmarkEnd w:id="17"/>
      <w:r>
        <w:rPr/>
        <w:t>3.5.5.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t xml:space="preserve"> </w:t>
      </w:r>
    </w:p>
    <w:p>
      <w:pPr>
        <w:pStyle w:val="ListParagraph"/>
        <w:numPr>
          <w:ilvl w:val="1"/>
          <w:numId w:val="2"/>
        </w:numPr>
        <w:shd w:val="clear" w:color="auto" w:fill="FFFFFF"/>
        <w:tabs>
          <w:tab w:val="clear" w:pos="708"/>
          <w:tab w:val="left" w:pos="1418" w:leader="none"/>
        </w:tabs>
        <w:ind w:left="0" w:firstLine="709"/>
        <w:jc w:val="both"/>
        <w:rPr/>
      </w:pPr>
      <w:r>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w:t>
      </w:r>
      <w:bookmarkStart w:id="20" w:name="_Ref361336647"/>
      <w:r>
        <w:rPr>
          <w:shd w:fill="FFFFFF" w:val="clear"/>
        </w:rPr>
        <w:t>счета Заказчика.</w:t>
      </w:r>
    </w:p>
    <w:p>
      <w:pPr>
        <w:pStyle w:val="ListParagraph"/>
        <w:numPr>
          <w:ilvl w:val="1"/>
          <w:numId w:val="2"/>
        </w:numPr>
        <w:shd w:val="clear" w:color="auto" w:fill="FFFFFF"/>
        <w:tabs>
          <w:tab w:val="clear" w:pos="708"/>
          <w:tab w:val="left" w:pos="1418" w:leader="none"/>
        </w:tabs>
        <w:ind w:left="0" w:firstLine="709"/>
        <w:jc w:val="both"/>
        <w:rPr>
          <w:bCs/>
        </w:rPr>
      </w:pPr>
      <w:bookmarkStart w:id="21" w:name="_Ref361834206"/>
      <w:bookmarkEnd w:id="20"/>
      <w:bookmarkEnd w:id="21"/>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bCs/>
        </w:rPr>
      </w:pPr>
      <w:r>
        <w:rPr>
          <w:sz w:val="24"/>
          <w:szCs w:val="24"/>
        </w:rPr>
        <w:t>3.9.</w:t>
      </w:r>
      <w:r>
        <w:rPr/>
        <w:t xml:space="preserve"> </w:t>
      </w:r>
      <w:r>
        <w:rPr>
          <w:sz w:val="24"/>
          <w:szCs w:val="24"/>
          <w:highlight w:val="lightGray"/>
        </w:rPr>
        <w:t xml:space="preserve">Командировочные расходы включаются в стоимость Работ в соответствии с расчетом, прилагаемым к Сводной смете </w:t>
      </w:r>
      <w:r>
        <w:rPr>
          <w:bCs/>
          <w:sz w:val="24"/>
          <w:szCs w:val="24"/>
          <w:highlight w:val="lightGray"/>
        </w:rPr>
        <w:t>с приложениями</w:t>
      </w:r>
      <w:r>
        <w:rPr>
          <w:sz w:val="24"/>
          <w:szCs w:val="24"/>
          <w:highlight w:val="lightGray"/>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22" w:name="_Ref361834251"/>
      <w:bookmarkEnd w:id="16"/>
      <w:r>
        <w:rPr>
          <w:sz w:val="24"/>
          <w:szCs w:val="24"/>
        </w:rPr>
        <w:t>.</w:t>
      </w:r>
    </w:p>
    <w:p>
      <w:pPr>
        <w:pStyle w:val="ListParagraph"/>
        <w:shd w:val="clear" w:color="auto" w:fill="FFFFFF"/>
        <w:tabs>
          <w:tab w:val="clear" w:pos="708"/>
          <w:tab w:val="left" w:pos="1134" w:leader="none"/>
          <w:tab w:val="left" w:pos="1418" w:leader="none"/>
        </w:tabs>
        <w:ind w:left="0" w:firstLine="709"/>
        <w:jc w:val="both"/>
        <w:rPr>
          <w:bCs/>
        </w:rPr>
      </w:pPr>
      <w:bookmarkEnd w:id="22"/>
      <w:r>
        <w:rPr>
          <w:bCs/>
        </w:rPr>
        <w:t xml:space="preserve">3.10.  Индексация Цены Договора не допускается. </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3.11.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w:t>
      </w:r>
      <w:r>
        <w:rPr>
          <w:bCs/>
          <w:shd w:fill="FFFFFF" w:val="clear"/>
        </w:rPr>
        <w:t>недостатков выполненных Подрядчиком работ.</w:t>
      </w:r>
    </w:p>
    <w:p>
      <w:pPr>
        <w:pStyle w:val="ListParagraph"/>
        <w:shd w:val="clear" w:color="auto" w:fill="FFFFFF"/>
        <w:tabs>
          <w:tab w:val="clear" w:pos="708"/>
          <w:tab w:val="left" w:pos="1134" w:leader="none"/>
          <w:tab w:val="left" w:pos="1418" w:leader="none"/>
        </w:tabs>
        <w:ind w:left="0" w:firstLine="709"/>
        <w:jc w:val="both"/>
        <w:rPr>
          <w:highlight w:val="yellow"/>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bCs/>
        </w:rPr>
      </w:pPr>
      <w:bookmarkStart w:id="23" w:name="_Ref361335138"/>
      <w:bookmarkStart w:id="24" w:name="_Ref373242517"/>
      <w:bookmarkStart w:id="25" w:name="_Ref361336754"/>
      <w:r>
        <w:rPr>
          <w:bCs/>
        </w:rPr>
        <w:t>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6 к Договору с приложением Результата работ</w:t>
      </w:r>
      <w:r>
        <w:rPr/>
        <w:t>.</w:t>
      </w:r>
      <w:bookmarkEnd w:id="23"/>
      <w:bookmarkEnd w:id="24"/>
      <w:bookmarkEnd w:id="25"/>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устанавливаются Техническим заданием (Приложение № 1 к Договору).</w:t>
      </w:r>
    </w:p>
    <w:p>
      <w:pPr>
        <w:pStyle w:val="ListParagraph"/>
        <w:shd w:val="clear" w:color="auto" w:fill="FFFFFF"/>
        <w:tabs>
          <w:tab w:val="clear" w:pos="708"/>
          <w:tab w:val="left" w:pos="1134" w:leader="none"/>
        </w:tabs>
        <w:ind w:left="0" w:firstLine="709"/>
        <w:jc w:val="both"/>
        <w:rPr>
          <w:highlight w:val="none"/>
          <w:shd w:fill="FFFF00" w:val="clear"/>
        </w:rPr>
      </w:pPr>
      <w:r>
        <w:rPr>
          <w:rFonts w:ascii="Liberation Serif" w:hAnsi="Liberation Serif"/>
          <w:b w:val="false"/>
          <w:bCs w:val="false"/>
          <w:caps w:val="false"/>
          <w:smallCaps w:val="false"/>
          <w:sz w:val="24"/>
          <w:szCs w:val="24"/>
          <w:shd w:fill="FFFF00"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sz w:val="24"/>
          <w:szCs w:val="24"/>
          <w:shd w:fill="FFFF00" w:val="clear"/>
          <w:lang w:eastAsia="en-US"/>
        </w:rPr>
        <w:t>Акта сдачи-приемки выполненных работ по форме Приложения № 6</w:t>
      </w:r>
      <w:r>
        <w:rPr>
          <w:rFonts w:ascii="Liberation Serif" w:hAnsi="Liberation Serif"/>
          <w:b w:val="false"/>
          <w:bCs w:val="false"/>
          <w:caps w:val="false"/>
          <w:smallCaps w:val="false"/>
          <w:sz w:val="24"/>
          <w:szCs w:val="24"/>
          <w:shd w:fill="FFFF00" w:val="clear"/>
          <w:lang w:eastAsia="en-US"/>
        </w:rPr>
        <w:t xml:space="preserve">  оформляют УПД</w:t>
      </w:r>
      <w:r>
        <w:rPr>
          <w:rStyle w:val="FootnoteReference"/>
          <w:rFonts w:ascii="Liberation Serif" w:hAnsi="Liberation Serif"/>
          <w:b w:val="false"/>
          <w:bCs w:val="false"/>
          <w:caps w:val="false"/>
          <w:smallCaps w:val="false"/>
          <w:sz w:val="24"/>
          <w:szCs w:val="24"/>
          <w:shd w:fill="FFFF00" w:val="clear"/>
          <w:lang w:eastAsia="en-US"/>
        </w:rPr>
        <w:footnoteReference w:id="17"/>
      </w:r>
      <w:r>
        <w:rPr>
          <w:rFonts w:ascii="Liberation Serif" w:hAnsi="Liberation Serif"/>
          <w:b w:val="false"/>
          <w:bCs w:val="false"/>
          <w:caps w:val="false"/>
          <w:smallCaps w:val="false"/>
          <w:sz w:val="24"/>
          <w:szCs w:val="24"/>
          <w:shd w:fill="FFFF00" w:val="clear"/>
          <w:lang w:eastAsia="en-US"/>
        </w:rPr>
        <w:t xml:space="preserve">. В этом случае условия Договора в отношении </w:t>
      </w:r>
      <w:r>
        <w:rPr>
          <w:rFonts w:ascii="Liberation Serif" w:hAnsi="Liberation Serif"/>
          <w:b w:val="false"/>
          <w:bCs/>
          <w:caps w:val="false"/>
          <w:smallCaps w:val="false"/>
          <w:sz w:val="24"/>
          <w:szCs w:val="24"/>
          <w:shd w:fill="FFFF00" w:val="clear"/>
          <w:lang w:eastAsia="en-US"/>
        </w:rPr>
        <w:t>Акта сдачи-приемки выполненных работ</w:t>
      </w:r>
      <w:r>
        <w:rPr>
          <w:rFonts w:ascii="Liberation Serif" w:hAnsi="Liberation Serif"/>
          <w:b w:val="false"/>
          <w:bCs w:val="false"/>
          <w:caps w:val="false"/>
          <w:smallCaps w:val="false"/>
          <w:sz w:val="24"/>
          <w:szCs w:val="24"/>
          <w:shd w:fill="FFFF00" w:val="clear"/>
          <w:lang w:eastAsia="en-US"/>
        </w:rPr>
        <w:t xml:space="preserve"> применяются в равной степени к УПД.</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w:t>
      </w:r>
      <w:r>
        <w:rPr>
          <w:bCs/>
          <w:highlight w:val="lightGray"/>
        </w:rPr>
        <w:t>15 (пятнадцати) рабочих</w:t>
      </w:r>
      <w:r>
        <w:rPr>
          <w:bCs/>
        </w:rPr>
        <w:t xml:space="preserve">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а также срок на их устранение.</w:t>
      </w:r>
      <w:r>
        <w:rPr/>
        <w:t xml:space="preserve"> </w:t>
      </w:r>
    </w:p>
    <w:p>
      <w:pPr>
        <w:pStyle w:val="Normal"/>
        <w:shd w:val="clear" w:color="auto" w:fill="FFFFFF"/>
        <w:tabs>
          <w:tab w:val="clear" w:pos="708"/>
          <w:tab w:val="left" w:pos="568" w:leader="none"/>
          <w:tab w:val="left" w:pos="1134" w:leader="none"/>
        </w:tabs>
        <w:spacing w:lineRule="auto" w:line="240"/>
        <w:ind w:firstLine="709"/>
        <w:rPr>
          <w:sz w:val="24"/>
          <w:highlight w:val="lightGray"/>
        </w:rPr>
      </w:pPr>
      <w:r>
        <w:rPr>
          <w:sz w:val="24"/>
          <w:highlight w:val="lightGray"/>
        </w:rPr>
        <w:t>Подписание Заказчиком Акта сдачи-приемки выполненных работ по Этапу Работ, предусматривающему необходимость прохождения и/или сопровождения получения положительного заключения государственной экспертизы</w:t>
      </w:r>
      <w:r>
        <w:rPr>
          <w:bCs/>
          <w:sz w:val="24"/>
          <w:highlight w:val="lightGray"/>
        </w:rPr>
        <w:t xml:space="preserve">, </w:t>
      </w:r>
      <w:r>
        <w:rPr>
          <w:bCs/>
          <w:sz w:val="24"/>
          <w:shd w:fill="CCCCCC" w:val="clear"/>
        </w:rPr>
        <w:t>осуществляется после получения Заказчиком положительного заключения государственной экспертизы в отношении Проектной документации</w:t>
      </w:r>
      <w:r>
        <w:rPr>
          <w:rStyle w:val="FootnoteReference"/>
          <w:bCs/>
          <w:sz w:val="24"/>
          <w:shd w:fill="CCCCCC" w:val="clear"/>
        </w:rPr>
        <w:footnoteReference w:id="18"/>
      </w:r>
      <w:r>
        <w:rPr>
          <w:bCs/>
          <w:sz w:val="24"/>
          <w:shd w:fill="CCCCCC"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highlight w:val="lightGray"/>
        </w:rPr>
      </w:pPr>
      <w:r>
        <w:rPr>
          <w:highlight w:val="lightGray"/>
        </w:rPr>
        <w:t xml:space="preserve">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shd w:val="clear" w:color="auto" w:fill="FFFFFF"/>
        <w:tabs>
          <w:tab w:val="clear" w:pos="708"/>
          <w:tab w:val="left" w:pos="1134" w:leader="none"/>
        </w:tabs>
        <w:ind w:left="0" w:firstLine="709"/>
        <w:jc w:val="both"/>
        <w:rPr>
          <w:bCs/>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Pr>
          <w:rStyle w:val="FootnoteReference"/>
          <w:highlight w:val="lightGray"/>
        </w:rPr>
        <w:footnoteReference w:id="19"/>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635"/>
      <w:bookmarkEnd w:id="26"/>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405028"/>
      <w:bookmarkEnd w:id="27"/>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6 к Договору.</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Банковские гарантии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Банковская гарантия до</w:t>
      </w:r>
      <w:r>
        <w:rPr>
          <w:bCs/>
        </w:rPr>
        <w:t>лжна быть безотзывной и безусловной (гарантия по первому требованию);</w:t>
      </w:r>
    </w:p>
    <w:p>
      <w:pPr>
        <w:pStyle w:val="ListParagraph"/>
        <w:numPr>
          <w:ilvl w:val="2"/>
          <w:numId w:val="2"/>
        </w:numPr>
        <w:shd w:val="clear" w:color="auto" w:fill="FFFFFF"/>
        <w:tabs>
          <w:tab w:val="clear" w:pos="708"/>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2"/>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Сумма Банковской гарантии возврата авансового платежа – не менее 100 (ста) процентов от размера уплачиваемой по Договору предварительной оплаты (</w:t>
      </w:r>
      <w:r>
        <w:rPr>
          <w:bCs/>
          <w:shd w:fill="FFFFFF" w:val="clear"/>
        </w:rPr>
        <w:t xml:space="preserve">аванса); </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более, чем на 60 (шестьдесят) календарных дней;</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3"/>
        </w:numPr>
        <w:tabs>
          <w:tab w:val="clear" w:pos="708"/>
          <w:tab w:val="left" w:pos="1418" w:leader="none"/>
        </w:tabs>
        <w:spacing w:lineRule="auto" w:line="240"/>
        <w:ind w:left="0" w:firstLine="709"/>
        <w:rPr>
          <w:bCs/>
          <w:sz w:val="24"/>
          <w:szCs w:val="24"/>
          <w:highlight w:val="lightGray"/>
        </w:rPr>
      </w:pPr>
      <w:r>
        <w:rPr>
          <w:bCs/>
          <w:sz w:val="24"/>
          <w:szCs w:val="24"/>
          <w:highlight w:val="lightGray"/>
        </w:rPr>
        <w:t>прекращения членства в СРО, основанной на членстве лиц, осуществляющих подготовку проектной документации;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3"/>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r>
        <w:rPr>
          <w:rStyle w:val="FootnoteReference"/>
          <w:bCs/>
        </w:rPr>
        <w:footnoteReference w:id="20"/>
      </w:r>
      <w:r>
        <w:rPr>
          <w:bCs/>
        </w:rPr>
        <w:t>.</w:t>
      </w:r>
    </w:p>
    <w:p>
      <w:pPr>
        <w:pStyle w:val="ListParagraph"/>
        <w:shd w:val="clear" w:color="auto" w:fill="FFFFFF"/>
        <w:tabs>
          <w:tab w:val="clear" w:pos="708"/>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w:t>
      </w:r>
      <w:r>
        <w:rPr>
          <w:bCs/>
          <w:shd w:fill="FFFFFF" w:val="clear"/>
        </w:rPr>
        <w:t>подтверждающего факт осуществления Заказчиком авансового платежа, с отметкой банка об исполнении.;</w:t>
      </w:r>
    </w:p>
    <w:p>
      <w:pPr>
        <w:pStyle w:val="ListParagraph"/>
        <w:numPr>
          <w:ilvl w:val="2"/>
          <w:numId w:val="2"/>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2"/>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установленной Договором;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по </w:t>
      </w:r>
      <w:r>
        <w:rPr>
          <w:bCs/>
          <w:shd w:fill="FFFFFF" w:val="clear"/>
        </w:rPr>
        <w:t>Банковской гарантии;</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pPr>
        <w:pStyle w:val="ListParagraph"/>
        <w:numPr>
          <w:ilvl w:val="2"/>
          <w:numId w:val="2"/>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8 к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1"/>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bCs/>
        </w:rPr>
        <w:footnoteReference w:id="21"/>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2"/>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
        </w:numPr>
        <w:shd w:val="clear" w:color="auto" w:fill="FFFFFF"/>
        <w:tabs>
          <w:tab w:val="clear" w:pos="708"/>
          <w:tab w:val="left" w:pos="1134" w:leader="none"/>
        </w:tabs>
        <w:ind w:left="0" w:firstLine="709"/>
        <w:jc w:val="both"/>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shd w:fill="FFFFFF" w:val="clear"/>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w:t>
      </w:r>
      <w:r>
        <w:rPr>
          <w:bCs/>
          <w:sz w:val="24"/>
          <w:szCs w:val="24"/>
          <w:shd w:fill="auto" w:val="clear"/>
        </w:rPr>
        <w:t xml:space="preserve">а оплаты авансовых платежей), Подрядчик вправе </w:t>
      </w:r>
      <w:r>
        <w:rPr>
          <w:sz w:val="24"/>
          <w:szCs w:val="24"/>
          <w:shd w:fill="auto" w:val="clear"/>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sz w:val="24"/>
          <w:szCs w:val="24"/>
          <w:shd w:fill="auto" w:val="clear"/>
        </w:rPr>
        <w:t>но не более 5 % от Цены Договора,</w:t>
      </w:r>
      <w:r>
        <w:rPr>
          <w:sz w:val="24"/>
          <w:szCs w:val="24"/>
          <w:shd w:fill="auto" w:val="clear"/>
        </w:rPr>
        <w:t xml:space="preserve"> начиная с 31 (тридцать первого) календарного дня просрочки (неустойка с 1 по 30 день просрочки не начисляется).</w:t>
      </w:r>
      <w:r>
        <w:rPr>
          <w:bCs/>
          <w:sz w:val="24"/>
          <w:szCs w:val="24"/>
          <w:shd w:fill="auto" w:val="clear"/>
        </w:rPr>
        <w:t xml:space="preserve"> </w:t>
      </w:r>
    </w:p>
    <w:p>
      <w:pPr>
        <w:pStyle w:val="Normal"/>
        <w:numPr>
          <w:ilvl w:val="1"/>
          <w:numId w:val="2"/>
        </w:numPr>
        <w:tabs>
          <w:tab w:val="clear" w:pos="708"/>
          <w:tab w:val="left" w:pos="1134" w:leader="none"/>
        </w:tabs>
        <w:spacing w:lineRule="auto" w:line="240"/>
        <w:ind w:left="0" w:firstLine="709"/>
        <w:rPr>
          <w:bCs/>
          <w:sz w:val="24"/>
          <w:szCs w:val="24"/>
        </w:rPr>
      </w:pPr>
      <w:r>
        <w:rPr>
          <w:bCs/>
          <w:sz w:val="24"/>
          <w:szCs w:val="24"/>
          <w:shd w:fill="auto" w:val="clear"/>
        </w:rPr>
        <w:t>В случае нарушения Подрядчик</w:t>
      </w:r>
      <w:r>
        <w:rPr>
          <w:bCs/>
          <w:sz w:val="24"/>
          <w:szCs w:val="24"/>
        </w:rPr>
        <w:t>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потребовать уплаты Подрядчиком неустойки в размере 0,1 (ноль целых и одна десятая) процента от Цены Договора за каждый день просрочки.</w:t>
      </w:r>
    </w:p>
    <w:p>
      <w:pPr>
        <w:pStyle w:val="Normal"/>
        <w:widowControl w:val="false"/>
        <w:numPr>
          <w:ilvl w:val="1"/>
          <w:numId w:val="2"/>
        </w:numPr>
        <w:shd w:val="clear" w:color="auto" w:fill="FFFFFF"/>
        <w:tabs>
          <w:tab w:val="clear" w:pos="708"/>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5"/>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5"/>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15"/>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w:t>
      </w:r>
      <w:r>
        <w:rPr>
          <w:bCs/>
          <w:shd w:fill="auto" w:val="clear"/>
        </w:rPr>
        <w:t>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5"/>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нарушения Подрядчиком сроков исполнения обязательств, установленных пунктом 3.1.1 </w:t>
      </w:r>
      <w:r>
        <w:rPr>
          <w:bCs/>
          <w:shd w:fill="auto" w:val="clear"/>
        </w:rPr>
        <w:t>Регламента взаимодействия в ходе исполнения процессов управления проектом (</w:t>
      </w:r>
      <w:r>
        <w:rPr>
          <w:shd w:fill="auto" w:val="clear"/>
        </w:rPr>
        <w:t xml:space="preserve">Приложение № 9 к Договору), Заказчик вправе потребовать уплаты Подрядчиком неустойки в размере </w:t>
      </w:r>
      <w:r>
        <w:rPr>
          <w:bCs/>
          <w:shd w:fill="auto" w:val="clear"/>
        </w:rPr>
        <w:t xml:space="preserve">0,02 (ноль целых и две сотых) процента от стоимости Этапа Работ, в отношении которого </w:t>
      </w:r>
      <w:r>
        <w:rPr>
          <w:shd w:fill="auto" w:val="clear"/>
        </w:rPr>
        <w:t xml:space="preserve">Подрядчиком </w:t>
      </w:r>
      <w:r>
        <w:rPr>
          <w:bCs/>
          <w:shd w:fill="auto" w:val="clear"/>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709"/>
        <w:jc w:val="both"/>
        <w:rPr>
          <w:highlight w:val="yellow"/>
        </w:rPr>
      </w:pPr>
      <w:r>
        <w:rPr>
          <w:bCs/>
          <w:shd w:fill="auto" w:val="clear"/>
        </w:rPr>
        <w:t>В случае наруше</w:t>
      </w:r>
      <w:r>
        <w:rPr>
          <w:bCs/>
          <w:shd w:fill="FFFFFF" w:val="clear"/>
        </w:rPr>
        <w:t xml:space="preserve">ния Подрядчиком сроков исполнения обязательств, установленных </w:t>
        <w:br/>
        <w:t>и пунктом 3.2.4 Регламента взаимодействия в ходе исполнения процессов управления проектом (Приложение № 9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bCs/>
          <w:shd w:fill="FFFFFF" w:val="clear"/>
        </w:rPr>
        <w:footnoteReference w:id="22"/>
      </w:r>
      <w:r>
        <w:rPr>
          <w:bCs/>
          <w:shd w:fill="FFFFFF" w:val="clear"/>
        </w:rPr>
        <w:t>.</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5"/>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5"/>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15"/>
        </w:numPr>
        <w:shd w:val="clear" w:color="auto" w:fill="FFFFFF"/>
        <w:tabs>
          <w:tab w:val="clear" w:pos="708"/>
          <w:tab w:val="left" w:pos="0" w:leader="none"/>
          <w:tab w:val="left" w:pos="1134" w:leader="none"/>
        </w:tabs>
        <w:ind w:left="0" w:firstLine="567"/>
        <w:jc w:val="both"/>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numPr>
          <w:ilvl w:val="1"/>
          <w:numId w:val="15"/>
        </w:numPr>
        <w:shd w:val="clear" w:color="auto" w:fill="FFFFFF"/>
        <w:tabs>
          <w:tab w:val="clear" w:pos="708"/>
          <w:tab w:val="left" w:pos="1134" w:leader="none"/>
        </w:tabs>
        <w:ind w:left="0" w:firstLine="567"/>
        <w:jc w:val="both"/>
        <w:rPr>
          <w:bCs/>
          <w:highlight w:val="lightGray"/>
        </w:rPr>
      </w:pPr>
      <w:r>
        <w:rPr>
          <w:highlight w:val="lightGray"/>
        </w:rPr>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 xml:space="preserve">Приложение № 9_ к Договору), Заказчик вправе потребовать уплаты Подрядчиком </w:t>
      </w:r>
      <w:r>
        <w:rPr>
          <w:b w:val="false"/>
          <w:bCs w:val="false"/>
          <w:highlight w:val="lightGray"/>
        </w:rPr>
        <w:t>штрафной неустойки в размере 0,02 (ноль целых и две сотых) процента от стоимости Этапа Работ, в отношении которого Подрядчиком 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567"/>
        <w:jc w:val="both"/>
        <w:rPr>
          <w:bCs/>
          <w:highlight w:val="lightGray"/>
        </w:rPr>
      </w:pPr>
      <w:r>
        <w:rPr>
          <w:sz w:val="24"/>
          <w:szCs w:val="24"/>
          <w:highlight w:val="lightGray"/>
        </w:rPr>
        <w:t xml:space="preserve">В случае нарушения Подрядчиком сроков исполнения обязательств, установленных пунктом 3.2.6 </w:t>
      </w:r>
      <w:r>
        <w:rPr>
          <w:bCs/>
          <w:sz w:val="24"/>
          <w:szCs w:val="24"/>
          <w:highlight w:val="lightGray"/>
        </w:rPr>
        <w:t>Регламента взаимодействия в ходе исполнения процессов управления проектом (</w:t>
      </w:r>
      <w:r>
        <w:rPr>
          <w:sz w:val="24"/>
          <w:szCs w:val="24"/>
          <w:highlight w:val="lightGray"/>
        </w:rPr>
        <w:t>Приложение №9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sz w:val="24"/>
          <w:szCs w:val="24"/>
          <w:highlight w:val="lightGray"/>
        </w:rPr>
        <w:footnoteReference w:id="23"/>
      </w:r>
      <w:r>
        <w:rPr>
          <w:sz w:val="24"/>
          <w:szCs w:val="24"/>
          <w:highlight w:val="lightGray"/>
        </w:rPr>
        <w:t>.</w:t>
      </w:r>
    </w:p>
    <w:p>
      <w:pPr>
        <w:pStyle w:val="ListParagraph"/>
        <w:numPr>
          <w:ilvl w:val="1"/>
          <w:numId w:val="15"/>
        </w:numPr>
        <w:shd w:val="clear" w:color="auto" w:fill="FFFFFF"/>
        <w:tabs>
          <w:tab w:val="clear" w:pos="708"/>
          <w:tab w:val="left" w:pos="1134" w:leader="none"/>
        </w:tabs>
        <w:ind w:left="0" w:firstLine="567"/>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5"/>
        </w:numPr>
        <w:shd w:val="clear" w:color="auto" w:fill="FFFFFF"/>
        <w:tabs>
          <w:tab w:val="clear" w:pos="708"/>
          <w:tab w:val="left" w:pos="1134" w:leader="none"/>
        </w:tabs>
        <w:ind w:left="0" w:firstLine="567"/>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5"/>
        </w:numPr>
        <w:shd w:val="clear" w:color="auto" w:fill="FFFFFF"/>
        <w:tabs>
          <w:tab w:val="clear" w:pos="708"/>
          <w:tab w:val="left" w:pos="1134" w:leader="none"/>
        </w:tabs>
        <w:ind w:left="0" w:firstLine="567"/>
        <w:jc w:val="both"/>
        <w:rPr>
          <w:highlight w:val="none"/>
          <w:shd w:fill="auto" w:val="clear"/>
        </w:rPr>
      </w:pPr>
      <w:r>
        <w:rPr>
          <w:rFonts w:eastAsia="Times New Roman"/>
          <w:bCs/>
          <w:iCs w:val="false"/>
          <w:caps w:val="false"/>
          <w:smallCaps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0"/>
          <w:numId w:val="0"/>
        </w:numPr>
        <w:shd w:val="clear" w:color="auto" w:fill="FFFFFF"/>
        <w:tabs>
          <w:tab w:val="clear" w:pos="708"/>
          <w:tab w:val="left" w:pos="1134" w:leader="none"/>
        </w:tabs>
        <w:ind w:left="0" w:hanging="0"/>
        <w:jc w:val="both"/>
        <w:rPr>
          <w:rFonts w:ascii="Times New Roman" w:hAnsi="Times New Roman" w:eastAsia="Times New Roman"/>
          <w:b w:val="false"/>
          <w:bCs/>
          <w:i w:val="false"/>
          <w:i w:val="false"/>
          <w:iCs w:val="false"/>
          <w:caps w:val="false"/>
          <w:smallCaps w:val="false"/>
          <w:sz w:val="24"/>
          <w:szCs w:val="24"/>
        </w:rPr>
      </w:pPr>
      <w:r>
        <w:rPr>
          <w:rFonts w:eastAsia="Times New Roman"/>
          <w:b w:val="false"/>
          <w:bCs/>
          <w:i w:val="false"/>
          <w:iCs w:val="false"/>
          <w:caps w:val="false"/>
          <w:smallCaps w:val="false"/>
          <w:sz w:val="24"/>
          <w:szCs w:val="24"/>
        </w:rPr>
      </w:r>
    </w:p>
    <w:p>
      <w:pPr>
        <w:pStyle w:val="ListParagraph"/>
        <w:numPr>
          <w:ilvl w:val="0"/>
          <w:numId w:val="15"/>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16"/>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6"/>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6"/>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16"/>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4"/>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6"/>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6"/>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6"/>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6"/>
        </w:numPr>
        <w:shd w:val="clear" w:color="auto" w:fill="FFFFFF"/>
        <w:tabs>
          <w:tab w:val="clear" w:pos="708"/>
          <w:tab w:val="left" w:pos="1134" w:leader="none"/>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8"/>
      <w:r>
        <w:rPr>
          <w:bCs/>
        </w:rPr>
        <w:t xml:space="preserve"> </w:t>
      </w:r>
    </w:p>
    <w:p>
      <w:pPr>
        <w:pStyle w:val="ListParagraph"/>
        <w:numPr>
          <w:ilvl w:val="2"/>
          <w:numId w:val="16"/>
        </w:numPr>
        <w:shd w:val="clear" w:color="auto" w:fill="FFFFFF"/>
        <w:tabs>
          <w:tab w:val="clear" w:pos="708"/>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6"/>
        </w:numPr>
        <w:shd w:val="clear" w:color="auto" w:fill="FFFFFF"/>
        <w:tabs>
          <w:tab w:val="clear" w:pos="708"/>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6"/>
        </w:numPr>
        <w:shd w:val="clear" w:color="auto" w:fill="FFFFFF"/>
        <w:tabs>
          <w:tab w:val="clear" w:pos="708"/>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6"/>
        </w:numPr>
        <w:shd w:val="clear" w:color="auto" w:fill="FFFFFF"/>
        <w:tabs>
          <w:tab w:val="clear" w:pos="708"/>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6"/>
        </w:numPr>
        <w:shd w:val="clear" w:color="auto" w:fill="FFFFFF"/>
        <w:tabs>
          <w:tab w:val="clear" w:pos="708"/>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6"/>
        </w:numPr>
        <w:shd w:val="clear" w:color="auto" w:fill="FFFFFF"/>
        <w:tabs>
          <w:tab w:val="clear" w:pos="708"/>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6"/>
        </w:numPr>
        <w:shd w:val="clear" w:color="auto" w:fill="FFFFFF"/>
        <w:tabs>
          <w:tab w:val="clear" w:pos="708"/>
          <w:tab w:val="left" w:pos="1418" w:leader="none"/>
        </w:tabs>
        <w:ind w:left="0" w:firstLine="709"/>
        <w:jc w:val="both"/>
        <w:rPr>
          <w:bCs/>
        </w:rPr>
      </w:pPr>
      <w:bookmarkStart w:id="29" w:name="_Ref361337832"/>
      <w:bookmarkEnd w:id="29"/>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6"/>
        </w:numPr>
        <w:shd w:val="clear" w:color="auto" w:fill="FFFFFF"/>
        <w:tabs>
          <w:tab w:val="clear" w:pos="708"/>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6"/>
        </w:numPr>
        <w:shd w:val="clear" w:color="auto" w:fill="FFFFFF"/>
        <w:tabs>
          <w:tab w:val="clear" w:pos="708"/>
          <w:tab w:val="left" w:pos="1134" w:leader="none"/>
        </w:tabs>
        <w:ind w:left="0" w:firstLine="709"/>
        <w:jc w:val="both"/>
        <w:rPr>
          <w:bCs/>
        </w:rPr>
      </w:pPr>
      <w:bookmarkStart w:id="30" w:name="_Ref361337863"/>
      <w:bookmarkEnd w:id="30"/>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6"/>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6"/>
        </w:numPr>
        <w:shd w:val="clear" w:color="auto" w:fill="FFFFFF"/>
        <w:tabs>
          <w:tab w:val="clear" w:pos="708"/>
          <w:tab w:val="left" w:pos="426" w:leader="none"/>
        </w:tabs>
        <w:jc w:val="center"/>
        <w:rPr>
          <w:b/>
          <w:bCs/>
        </w:rPr>
      </w:pPr>
      <w:r>
        <w:rPr>
          <w:b/>
          <w:bCs/>
        </w:rPr>
        <w:t>Антикоррупционная оговорка</w:t>
      </w:r>
    </w:p>
    <w:p>
      <w:pPr>
        <w:pStyle w:val="ListParagraph"/>
        <w:numPr>
          <w:ilvl w:val="1"/>
          <w:numId w:val="16"/>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6"/>
        </w:numPr>
        <w:shd w:val="clear" w:color="auto" w:fill="FFFFFF"/>
        <w:tabs>
          <w:tab w:val="clear" w:pos="708"/>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Применимым правом</w:t>
      </w:r>
      <w:r>
        <w:rPr>
          <w:bCs/>
          <w:color w:val="000000"/>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6"/>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6"/>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6"/>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6"/>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6"/>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6"/>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6"/>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6"/>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16"/>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6"/>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6"/>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6"/>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6"/>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16"/>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6"/>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6"/>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6"/>
        </w:numPr>
        <w:shd w:val="clear" w:color="auto" w:fill="FFFFFF"/>
        <w:tabs>
          <w:tab w:val="clear" w:pos="708"/>
          <w:tab w:val="left" w:pos="1134" w:leader="none"/>
        </w:tabs>
        <w:ind w:left="0" w:firstLine="709"/>
        <w:jc w:val="both"/>
        <w:rPr>
          <w:bCs/>
        </w:rPr>
      </w:pPr>
      <w:bookmarkStart w:id="31"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31"/>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6"/>
        </w:numPr>
        <w:shd w:val="clear" w:color="auto" w:fill="FFFFFF"/>
        <w:tabs>
          <w:tab w:val="clear" w:pos="708"/>
          <w:tab w:val="left" w:pos="1134" w:leader="none"/>
        </w:tabs>
        <w:ind w:left="0" w:firstLine="709"/>
        <w:jc w:val="both"/>
        <w:rPr>
          <w:bCs/>
        </w:rPr>
      </w:pPr>
      <w:bookmarkStart w:id="32" w:name="_Ref361337921"/>
      <w:bookmarkEnd w:id="32"/>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6"/>
        </w:numPr>
        <w:shd w:val="clear" w:color="auto" w:fill="FFFFFF"/>
        <w:tabs>
          <w:tab w:val="clear" w:pos="708"/>
          <w:tab w:val="left" w:pos="1134" w:leader="none"/>
        </w:tabs>
        <w:ind w:left="0" w:firstLine="709"/>
        <w:jc w:val="both"/>
        <w:rPr>
          <w:bCs/>
        </w:rPr>
      </w:pPr>
      <w:bookmarkStart w:id="33" w:name="_Ref361337948"/>
      <w:bookmarkEnd w:id="33"/>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6"/>
        </w:numPr>
        <w:shd w:val="clear" w:color="auto" w:fill="FFFFFF"/>
        <w:tabs>
          <w:tab w:val="clear" w:pos="708"/>
          <w:tab w:val="left" w:pos="1134" w:leader="none"/>
        </w:tabs>
        <w:ind w:left="0" w:firstLine="709"/>
        <w:jc w:val="both"/>
        <w:rPr>
          <w:bCs/>
        </w:rPr>
      </w:pPr>
      <w:bookmarkStart w:id="34" w:name="_Ref361337980"/>
      <w:bookmarkEnd w:id="34"/>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и 12.2 Договора.</w:t>
      </w:r>
    </w:p>
    <w:p>
      <w:pPr>
        <w:pStyle w:val="ListParagraph"/>
        <w:numPr>
          <w:ilvl w:val="1"/>
          <w:numId w:val="16"/>
        </w:numPr>
        <w:shd w:val="clear" w:color="auto" w:fill="FFFFFF"/>
        <w:tabs>
          <w:tab w:val="clear" w:pos="708"/>
          <w:tab w:val="left" w:pos="1134" w:leader="none"/>
        </w:tabs>
        <w:ind w:left="0" w:firstLine="709"/>
        <w:jc w:val="both"/>
        <w:rPr>
          <w:bCs/>
        </w:rPr>
      </w:pPr>
      <w:bookmarkStart w:id="35" w:name="_Ref373243071"/>
      <w:bookmarkEnd w:id="35"/>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16"/>
        </w:numPr>
        <w:shd w:val="clear" w:color="auto" w:fill="FFFFFF"/>
        <w:tabs>
          <w:tab w:val="clear" w:pos="708"/>
          <w:tab w:val="left" w:pos="1134" w:leader="none"/>
        </w:tabs>
        <w:ind w:left="0" w:firstLine="709"/>
        <w:jc w:val="both"/>
        <w:rPr>
          <w:bCs/>
        </w:rPr>
      </w:pPr>
      <w:bookmarkStart w:id="36" w:name="_Ref361337992"/>
      <w:bookmarkEnd w:id="36"/>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6"/>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6"/>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6"/>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6"/>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состоит в СРО, основанной на членстве лиц, выполняющих подготовку проектной документации;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 xml:space="preserve">Подрядчик согласен на многократное применение разработанной им </w:t>
      </w:r>
      <w:r>
        <w:rPr>
          <w:highlight w:val="lightGray"/>
        </w:rPr>
        <w:t>Проектной документации и / или Рабочей документации</w:t>
      </w:r>
      <w:r>
        <w:rPr/>
        <w:t xml:space="preserve"> в качестве типовой проектной документации (проектной документации повторного использования).</w:t>
      </w:r>
    </w:p>
    <w:p>
      <w:pPr>
        <w:pStyle w:val="Normal"/>
        <w:numPr>
          <w:ilvl w:val="1"/>
          <w:numId w:val="16"/>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6"/>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6"/>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16"/>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6"/>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6"/>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6"/>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6"/>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w:t>
      </w:r>
      <w:r>
        <w:rPr>
          <w:highlight w:val="lightGray"/>
        </w:rPr>
        <w:t>30 (тридцать) календарных дней</w:t>
      </w:r>
      <w:r>
        <w:rPr>
          <w:rStyle w:val="FootnoteReference"/>
          <w:highlight w:val="lightGray"/>
        </w:rPr>
        <w:footnoteReference w:id="24"/>
      </w:r>
      <w:r>
        <w:rPr>
          <w:highlight w:val="lightGray"/>
        </w:rPr>
        <w:t xml:space="preserve"> / 60 (шестьдесят) календарных дн</w:t>
      </w:r>
      <w:bookmarkStart w:id="37" w:name="_GoBack"/>
      <w:bookmarkEnd w:id="37"/>
      <w:r>
        <w:rPr>
          <w:highlight w:val="lightGray"/>
        </w:rPr>
        <w:t>ей</w:t>
      </w:r>
      <w:r>
        <w:rPr>
          <w:rStyle w:val="FootnoteReference"/>
          <w:highlight w:val="lightGray"/>
        </w:rPr>
        <w:footnoteReference w:id="25"/>
      </w:r>
      <w: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Pr/>
        <w:t>;</w:t>
      </w:r>
    </w:p>
    <w:p>
      <w:pPr>
        <w:pStyle w:val="ListParagraph"/>
        <w:numPr>
          <w:ilvl w:val="0"/>
          <w:numId w:val="6"/>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highlight w:val="lightGray"/>
        </w:rPr>
        <w:footnoteReference w:id="26"/>
      </w:r>
      <w:r>
        <w:rPr/>
        <w:t>;</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w:t>
      </w:r>
      <w:r>
        <w:rPr>
          <w:shd w:fill="auto" w:val="clear"/>
        </w:rPr>
        <w:t>азанных в разделе 13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п.2.3.25 Договора</w:t>
      </w:r>
      <w:r>
        <w:rPr>
          <w:bCs/>
          <w:iCs w:val="false"/>
          <w:sz w:val="24"/>
          <w:szCs w:val="24"/>
          <w:shd w:fill="auto" w:val="clear"/>
        </w:rPr>
        <w:t>.</w:t>
      </w:r>
    </w:p>
    <w:p>
      <w:pPr>
        <w:pStyle w:val="ListParagraph"/>
        <w:numPr>
          <w:ilvl w:val="1"/>
          <w:numId w:val="16"/>
        </w:numPr>
        <w:shd w:val="clear" w:color="auto" w:fill="FFFFFF"/>
        <w:tabs>
          <w:tab w:val="clear" w:pos="708"/>
          <w:tab w:val="left" w:pos="1134" w:leader="none"/>
        </w:tabs>
        <w:ind w:left="0" w:firstLine="709"/>
        <w:jc w:val="both"/>
        <w:rPr/>
      </w:pPr>
      <w:r>
        <w:rPr>
          <w:shd w:fill="auto" w:val="clear"/>
        </w:rPr>
        <w:t>В случае отказа Заказчика от Договора в случаях, предусмотренных пунктами 14.2, 14.3, 14.4 Договора, п</w:t>
      </w:r>
      <w:r>
        <w:rPr/>
        <w:t xml:space="preserve">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6"/>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16"/>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16"/>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6"/>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6"/>
        </w:numPr>
        <w:shd w:val="clear" w:color="auto" w:fill="FFFFFF"/>
        <w:tabs>
          <w:tab w:val="clear" w:pos="708"/>
          <w:tab w:val="left" w:pos="1134" w:leader="none"/>
          <w:tab w:val="left" w:pos="1418" w:leader="none"/>
        </w:tabs>
        <w:ind w:left="0" w:firstLine="709"/>
        <w:jc w:val="both"/>
        <w:rPr>
          <w:bCs/>
        </w:rPr>
      </w:pPr>
      <w:r>
        <w:rPr>
          <w:bCs/>
        </w:rPr>
        <w:t xml:space="preserve">Споры, указанные в пункте 15.1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16"/>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16"/>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6"/>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16"/>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16"/>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ListParagraph"/>
        <w:shd w:val="clear" w:color="auto" w:fill="FFFFFF"/>
        <w:tabs>
          <w:tab w:val="clear" w:pos="708"/>
          <w:tab w:val="left" w:pos="1134" w:leader="none"/>
        </w:tabs>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FootnoteReference"/>
          <w:highlight w:val="lightGray"/>
        </w:rPr>
        <w:footnoteReference w:id="27"/>
      </w:r>
    </w:p>
    <w:p>
      <w:pPr>
        <w:pStyle w:val="ListParagraph"/>
        <w:numPr>
          <w:ilvl w:val="1"/>
          <w:numId w:val="16"/>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16"/>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6"/>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6"/>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 xml:space="preserve">средств электронной связи </w:t>
      </w:r>
      <w:r>
        <w:rP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6"/>
        </w:numPr>
        <w:shd w:val="clear" w:color="auto" w:fill="FFFFFF"/>
        <w:tabs>
          <w:tab w:val="clear" w:pos="708"/>
          <w:tab w:val="left" w:pos="1134"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8"/>
      <w:r>
        <w:rPr/>
        <w:t xml:space="preserve"> </w:t>
      </w:r>
    </w:p>
    <w:p>
      <w:pPr>
        <w:pStyle w:val="ListParagraph"/>
        <w:numPr>
          <w:ilvl w:val="1"/>
          <w:numId w:val="16"/>
        </w:numPr>
        <w:shd w:val="clear" w:color="auto" w:fill="FFFFFF"/>
        <w:tabs>
          <w:tab w:val="clear" w:pos="708"/>
          <w:tab w:val="left" w:pos="1134" w:leader="none"/>
        </w:tabs>
        <w:ind w:left="0" w:firstLine="709"/>
        <w:jc w:val="both"/>
        <w:rPr>
          <w:bCs/>
        </w:rPr>
      </w:pPr>
      <w:bookmarkStart w:id="39"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9"/>
      <w:r>
        <w:rPr>
          <w:bCs/>
        </w:rPr>
        <w:t xml:space="preserve"> будет считаться полученным:</w:t>
      </w:r>
    </w:p>
    <w:p>
      <w:pPr>
        <w:pStyle w:val="ListParagraph"/>
        <w:numPr>
          <w:ilvl w:val="2"/>
          <w:numId w:val="16"/>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6"/>
        </w:numPr>
        <w:shd w:val="clear" w:color="auto" w:fill="FFFFFF"/>
        <w:tabs>
          <w:tab w:val="clear" w:pos="708"/>
          <w:tab w:val="left" w:pos="1701" w:leader="none"/>
        </w:tabs>
        <w:ind w:left="0" w:firstLine="709"/>
        <w:jc w:val="both"/>
        <w:rPr>
          <w:bCs/>
        </w:rPr>
      </w:pPr>
      <w:bookmarkStart w:id="40" w:name="_Ref361338032"/>
      <w:bookmarkEnd w:id="40"/>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6"/>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FFFFFF" w:val="clear"/>
        </w:rPr>
        <w:t xml:space="preserve"> направленные посредством электронной почты, </w:t>
      </w:r>
      <w:r>
        <w:rPr>
          <w:bCs/>
        </w:rPr>
        <w:t xml:space="preserve">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6"/>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6"/>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6"/>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6"/>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28"/>
      </w:r>
      <w:r>
        <w:rPr>
          <w:highlight w:val="lightGray"/>
        </w:rPr>
        <w:t>.</w:t>
      </w:r>
    </w:p>
    <w:p>
      <w:pPr>
        <w:pStyle w:val="ListParagraph"/>
        <w:numPr>
          <w:ilvl w:val="1"/>
          <w:numId w:val="16"/>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ИНН ________, КПП _________,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16"/>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Сводная смета с приложениями;</w:t>
      </w:r>
    </w:p>
    <w:p>
      <w:pPr>
        <w:pStyle w:val="ListParagraph"/>
        <w:shd w:val="clear" w:color="auto" w:fill="FFFFFF"/>
        <w:ind w:left="0" w:hanging="0"/>
        <w:jc w:val="both"/>
        <w:rPr>
          <w:bCs/>
        </w:rPr>
      </w:pPr>
      <w:r>
        <w:rPr>
          <w:bCs/>
        </w:rPr>
        <w:t>Приложение № 3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4 – Перечень допусков, разрешений и лицензий Подрядчика;</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6 – Форма Акта сдачи-приемки выполненных работ;</w:t>
      </w:r>
    </w:p>
    <w:p>
      <w:pPr>
        <w:pStyle w:val="ListParagraph"/>
        <w:shd w:val="clear" w:color="auto" w:fill="FFFFFF"/>
        <w:ind w:left="0" w:hanging="0"/>
        <w:jc w:val="both"/>
        <w:rPr>
          <w:bCs/>
        </w:rPr>
      </w:pPr>
      <w:r>
        <w:rPr>
          <w:bCs/>
          <w:highlight w:val="lightGray"/>
        </w:rPr>
        <w:t>Приложение № 7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r>
        <w:rPr>
          <w:bCs/>
        </w:rPr>
        <w:t>;</w:t>
      </w:r>
    </w:p>
    <w:p>
      <w:pPr>
        <w:pStyle w:val="ListParagraph"/>
        <w:shd w:val="clear" w:color="auto" w:fill="FFFFFF"/>
        <w:ind w:left="0" w:hanging="0"/>
        <w:jc w:val="both"/>
        <w:rPr>
          <w:bCs/>
        </w:rPr>
      </w:pPr>
      <w:r>
        <w:rPr>
          <w:bCs/>
        </w:rPr>
        <w:t>Приложение № 8 – Критерии отбора Банков-Гарантов.</w:t>
      </w:r>
    </w:p>
    <w:p>
      <w:pPr>
        <w:pStyle w:val="ListParagraph"/>
        <w:shd w:val="clear" w:color="auto" w:fill="FFFFFF"/>
        <w:ind w:left="0" w:hanging="0"/>
        <w:jc w:val="both"/>
        <w:rPr>
          <w:bCs/>
        </w:rPr>
      </w:pPr>
      <w:r>
        <w:rPr>
          <w:bCs/>
          <w:highlight w:val="lightGray"/>
        </w:rPr>
        <w:t xml:space="preserve">Приложение №9 - </w:t>
      </w:r>
      <w:r>
        <w:rPr>
          <w:highlight w:val="lightGray"/>
        </w:rPr>
        <w:t>«</w:t>
      </w:r>
      <w:r>
        <w:rPr>
          <w:bCs/>
          <w:highlight w:val="lightGray"/>
        </w:rPr>
        <w:t>Регламент взаимодействия в ходе исполнения процессов управления проектом»</w:t>
      </w:r>
    </w:p>
    <w:p>
      <w:pPr>
        <w:pStyle w:val="ListParagraph"/>
        <w:shd w:val="clear" w:color="auto" w:fill="FFFFFF"/>
        <w:ind w:left="0" w:hanging="0"/>
        <w:jc w:val="both"/>
        <w:rPr>
          <w:bCs/>
        </w:rPr>
      </w:pPr>
      <w:r>
        <w:rPr>
          <w:bCs/>
        </w:rPr>
      </w:r>
    </w:p>
    <w:p>
      <w:pPr>
        <w:pStyle w:val="ListParagraph"/>
        <w:numPr>
          <w:ilvl w:val="0"/>
          <w:numId w:val="16"/>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9"/>
        <w:gridCol w:w="138"/>
        <w:gridCol w:w="4641"/>
        <w:gridCol w:w="81"/>
      </w:tblGrid>
      <w:tr>
        <w:trPr/>
        <w:tc>
          <w:tcPr>
            <w:tcW w:w="4917"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72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17"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highlight w:val="lightGray"/>
              </w:rPr>
            </w:pPr>
            <w:r>
              <w:rPr>
                <w:b/>
                <w:sz w:val="24"/>
                <w:szCs w:val="24"/>
                <w:highlight w:val="lightGray"/>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c>
          <w:tcPr>
            <w:tcW w:w="472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9"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79"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center"/>
              <w:rPr>
                <w:sz w:val="24"/>
                <w:szCs w:val="24"/>
              </w:rPr>
            </w:pPr>
            <w:r>
              <w:rPr>
                <w:sz w:val="24"/>
                <w:szCs w:val="24"/>
                <w:highlight w:val="lightGray"/>
              </w:rPr>
              <w:t>_______________ / _______________</w:t>
            </w:r>
          </w:p>
          <w:p>
            <w:pPr>
              <w:pStyle w:val="Normal"/>
              <w:widowControl w:val="false"/>
              <w:spacing w:lineRule="auto" w:line="240"/>
              <w:ind w:hanging="0"/>
              <w:jc w:val="left"/>
              <w:rPr>
                <w:sz w:val="24"/>
                <w:szCs w:val="24"/>
              </w:rPr>
            </w:pPr>
            <w:r>
              <w:rPr>
                <w:sz w:val="24"/>
                <w:szCs w:val="24"/>
              </w:rPr>
            </w:r>
          </w:p>
        </w:tc>
        <w:tc>
          <w:tcPr>
            <w:tcW w:w="81" w:type="dxa"/>
            <w:tcBorders/>
            <w:shd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701" w:right="709" w:gutter="0" w:header="709" w:top="1134" w:footer="0"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4820" w:hanging="0"/>
        <w:jc w:val="left"/>
        <w:rPr>
          <w:sz w:val="22"/>
          <w:szCs w:val="22"/>
        </w:rPr>
      </w:pPr>
      <w:r>
        <w:rPr>
          <w:sz w:val="22"/>
          <w:szCs w:val="22"/>
        </w:rPr>
        <w:t>Приложение № 2</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5" w:type="dxa"/>
        <w:tblLayout w:type="fixed"/>
        <w:tblCellMar>
          <w:top w:w="0" w:type="dxa"/>
          <w:left w:w="88" w:type="dxa"/>
          <w:bottom w:w="0" w:type="dxa"/>
          <w:right w:w="108" w:type="dxa"/>
        </w:tblCellMar>
        <w:tblLook w:val="04a0" w:noVBand="1" w:noHBand="0" w:lastColumn="0" w:firstColumn="1" w:lastRow="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spacing w:lineRule="auto" w:line="240"/>
              <w:ind w:hanging="0"/>
              <w:rPr>
                <w:b w:val="false"/>
                <w:bCs/>
              </w:rPr>
            </w:pPr>
            <w:r>
              <w:rPr>
                <w:b w:val="false"/>
                <w:bCs/>
              </w:rPr>
              <w:t xml:space="preserve">Акт </w:t>
            </w:r>
          </w:p>
          <w:p>
            <w:pPr>
              <w:pStyle w:val="Title"/>
              <w:widowControl w:val="false"/>
              <w:shd w:val="clear" w:color="auto" w:fill="auto"/>
              <w:spacing w:lineRule="auto" w:line="240"/>
              <w:ind w:hanging="0"/>
              <w:rPr>
                <w:i/>
                <w:i/>
                <w:iCs/>
              </w:rPr>
            </w:pPr>
            <w:r>
              <w:rPr>
                <w:b w:val="false"/>
                <w:bCs/>
              </w:rPr>
              <w:t>сдачи-приемки технической и иной документации</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г.___________                                                                                                      «_____» _________201_г.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705"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lineRule="auto" w:line="240"/>
              <w:ind w:hanging="0"/>
              <w:jc w:val="left"/>
              <w:rPr>
                <w:i/>
                <w:i/>
                <w:iCs/>
              </w:rPr>
            </w:pPr>
            <w:r>
              <w:rPr>
                <w:i/>
                <w:iCs/>
              </w:rPr>
            </w:r>
          </w:p>
          <w:p>
            <w:pPr>
              <w:pStyle w:val="Title"/>
              <w:widowControl w:val="false"/>
              <w:shd w:val="clear" w:color="auto" w:fill="auto"/>
              <w:spacing w:lineRule="auto" w:line="240"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4</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15" w:type="dxa"/>
        <w:tblLayout w:type="fixed"/>
        <w:tblCellMar>
          <w:top w:w="0" w:type="dxa"/>
          <w:left w:w="88" w:type="dxa"/>
          <w:bottom w:w="0" w:type="dxa"/>
          <w:right w:w="108" w:type="dxa"/>
        </w:tblCellMar>
        <w:tblLook w:val="04a0" w:noVBand="1" w:noHBand="0" w:lastColumn="0" w:firstColumn="1" w:lastRow="0" w:firstRow="1"/>
      </w:tblPr>
      <w:tblGrid>
        <w:gridCol w:w="679"/>
        <w:gridCol w:w="2159"/>
        <w:gridCol w:w="1229"/>
        <w:gridCol w:w="1090"/>
        <w:gridCol w:w="939"/>
        <w:gridCol w:w="1281"/>
        <w:gridCol w:w="2259"/>
      </w:tblGrid>
      <w:tr>
        <w:trPr>
          <w:trHeight w:val="214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15" w:type="dxa"/>
        <w:tblLayout w:type="fixed"/>
        <w:tblCellMar>
          <w:top w:w="0" w:type="dxa"/>
          <w:left w:w="88" w:type="dxa"/>
          <w:bottom w:w="0" w:type="dxa"/>
          <w:right w:w="108" w:type="dxa"/>
        </w:tblCellMar>
        <w:tblLook w:val="01e0" w:noVBand="0" w:noHBand="0" w:lastColumn="1" w:firstColumn="1" w:lastRow="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691"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fill="auto" w:val="clear"/>
          </w:tcPr>
          <w:p>
            <w:pPr>
              <w:pStyle w:val="Normal"/>
              <w:pageBreakBefore/>
              <w:widowControl w:val="false"/>
              <w:snapToGrid w:val="false"/>
              <w:spacing w:lineRule="auto" w:line="240"/>
              <w:rPr>
                <w:b/>
                <w:bCs/>
                <w:szCs w:val="24"/>
              </w:rPr>
            </w:pPr>
            <w:r>
              <w:rPr>
                <w:b/>
                <w:bCs/>
                <w:szCs w:val="24"/>
              </w:rPr>
            </w:r>
          </w:p>
        </w:tc>
        <w:tc>
          <w:tcPr>
            <w:tcW w:w="4785" w:type="dxa"/>
            <w:tcBorders/>
            <w:shd w:fill="auto" w:val="clear"/>
          </w:tcPr>
          <w:p>
            <w:pPr>
              <w:pStyle w:val="Normal"/>
              <w:widowControl w:val="false"/>
              <w:shd w:val="clear" w:color="auto" w:fill="FFFFFF"/>
              <w:spacing w:lineRule="auto" w:line="240"/>
              <w:ind w:left="69" w:hanging="0"/>
              <w:rPr>
                <w:bCs/>
                <w:sz w:val="22"/>
                <w:szCs w:val="22"/>
              </w:rPr>
            </w:pPr>
            <w:r>
              <w:rPr>
                <w:bCs/>
                <w:sz w:val="22"/>
                <w:szCs w:val="22"/>
              </w:rPr>
              <w:t>Приложение № 6</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128" w:type="dxa"/>
        <w:tblLayout w:type="fixed"/>
        <w:tblCellMar>
          <w:top w:w="0" w:type="dxa"/>
          <w:left w:w="10" w:type="dxa"/>
          <w:bottom w:w="0" w:type="dxa"/>
          <w:right w:w="10" w:type="dxa"/>
        </w:tblCellMar>
        <w:tblLook w:val="04a0" w:noVBand="1" w:noHBand="0" w:lastColumn="0" w:firstColumn="1" w:lastRow="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6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216"/>
              <w:gridCol w:w="2591"/>
              <w:gridCol w:w="1"/>
              <w:gridCol w:w="1254"/>
              <w:gridCol w:w="227"/>
              <w:gridCol w:w="588"/>
              <w:gridCol w:w="1399"/>
              <w:gridCol w:w="3"/>
              <w:gridCol w:w="1334"/>
              <w:gridCol w:w="1"/>
              <w:gridCol w:w="1119"/>
            </w:tblGrid>
            <w:tr>
              <w:trPr>
                <w:trHeight w:val="255" w:hRule="atLeast"/>
              </w:trPr>
              <w:tc>
                <w:tcPr>
                  <w:tcW w:w="9733" w:type="dxa"/>
                  <w:gridSpan w:val="11"/>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1"/>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5"/>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xml:space="preserve">                </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2"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5"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2"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7"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2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7"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2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7"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2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7"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2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7"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2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rPr>
                  </w:pPr>
                  <w:r>
                    <w:rPr>
                      <w:sz w:val="20"/>
                      <w:szCs w:val="20"/>
                    </w:rPr>
                    <w:t>Выполнено работ</w:t>
                  </w:r>
                </w:p>
              </w:tc>
              <w:tc>
                <w:tcPr>
                  <w:tcW w:w="3472"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1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9"/>
              <w:gridCol w:w="709"/>
              <w:gridCol w:w="345"/>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Заказчика:</w:t>
                  </w:r>
                </w:p>
              </w:tc>
              <w:tc>
                <w:tcPr>
                  <w:tcW w:w="709"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1" w:type="dxa"/>
                  <w:gridSpan w:val="2"/>
                  <w:tcBorders/>
                  <w:shd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fill="auto" w:val="clear"/>
                </w:tcPr>
                <w:p>
                  <w:pPr>
                    <w:pStyle w:val="Normal"/>
                    <w:widowControl w:val="false"/>
                    <w:snapToGrid w:val="false"/>
                    <w:spacing w:lineRule="auto" w:line="240"/>
                    <w:rPr>
                      <w:b/>
                      <w:bCs/>
                      <w:sz w:val="20"/>
                      <w:szCs w:val="20"/>
                    </w:rPr>
                  </w:pPr>
                  <w:r>
                    <w:rPr>
                      <w:b/>
                      <w:bCs/>
                      <w:sz w:val="20"/>
                      <w:szCs w:val="20"/>
                    </w:rPr>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1" w:type="dxa"/>
                  <w:gridSpan w:val="2"/>
                  <w:tcBorders/>
                  <w:shd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9"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5"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ind w:firstLine="34"/>
              <w:rPr>
                <w:b/>
                <w:sz w:val="24"/>
                <w:szCs w:val="24"/>
              </w:rPr>
            </w:pPr>
            <w:r>
              <w:rPr>
                <w:b/>
                <w:sz w:val="24"/>
                <w:szCs w:val="24"/>
              </w:rPr>
              <w:t>____________/_________________________</w:t>
            </w:r>
          </w:p>
        </w:tc>
        <w:tc>
          <w:tcPr>
            <w:tcW w:w="4785" w:type="dxa"/>
            <w:tcBorders/>
            <w:shd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_______________/_____________________</w:t>
            </w:r>
          </w:p>
        </w:tc>
      </w:tr>
    </w:tbl>
    <w:p>
      <w:pPr>
        <w:sectPr>
          <w:headerReference w:type="default" r:id="rId7"/>
          <w:headerReference w:type="first" r:id="rId8"/>
          <w:footerReference w:type="default" r:id="rId9"/>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spacing w:lineRule="auto" w:line="240"/>
        <w:ind w:left="4820" w:hanging="0"/>
        <w:rPr>
          <w:bCs/>
          <w:sz w:val="22"/>
          <w:szCs w:val="22"/>
          <w:highlight w:val="lightGray"/>
        </w:rPr>
      </w:pPr>
      <w:r>
        <w:rPr>
          <w:bCs/>
          <w:sz w:val="22"/>
          <w:szCs w:val="22"/>
          <w:highlight w:val="lightGray"/>
        </w:rPr>
        <w:t>Приложение № 7</w:t>
      </w:r>
    </w:p>
    <w:p>
      <w:pPr>
        <w:pStyle w:val="Normal"/>
        <w:shd w:val="clear" w:color="auto" w:fill="FFFFFF"/>
        <w:spacing w:lineRule="auto" w:line="240"/>
        <w:ind w:left="4820" w:hanging="0"/>
        <w:rPr>
          <w:bCs/>
          <w:sz w:val="22"/>
          <w:szCs w:val="22"/>
          <w:highlight w:val="lightGray"/>
        </w:rPr>
      </w:pPr>
      <w:r>
        <w:rPr>
          <w:bCs/>
          <w:sz w:val="22"/>
          <w:szCs w:val="22"/>
          <w:highlight w:val="lightGray"/>
        </w:rPr>
        <w:t xml:space="preserve">к Договору подряда </w:t>
      </w:r>
    </w:p>
    <w:p>
      <w:pPr>
        <w:pStyle w:val="Normal"/>
        <w:shd w:val="clear" w:color="auto" w:fill="FFFFFF"/>
        <w:spacing w:lineRule="auto" w:line="240"/>
        <w:ind w:left="4820" w:hanging="0"/>
        <w:rPr>
          <w:bCs/>
          <w:sz w:val="22"/>
          <w:szCs w:val="22"/>
          <w:highlight w:val="lightGray"/>
        </w:rPr>
      </w:pPr>
      <w:r>
        <w:rPr>
          <w:bCs/>
          <w:sz w:val="22"/>
          <w:szCs w:val="22"/>
          <w:highlight w:val="lightGray"/>
        </w:rPr>
        <w:t>от «___» ________20__ г. № ___</w:t>
      </w:r>
    </w:p>
    <w:p>
      <w:pPr>
        <w:pStyle w:val="Normal"/>
        <w:shd w:val="clear" w:color="auto" w:fill="FFFFFF"/>
        <w:spacing w:lineRule="auto" w:line="240"/>
        <w:ind w:left="3119" w:firstLine="2551"/>
        <w:rPr>
          <w:bCs/>
          <w:sz w:val="22"/>
          <w:szCs w:val="22"/>
          <w:highlight w:val="lightGray"/>
        </w:rPr>
      </w:pPr>
      <w:r>
        <w:rPr>
          <w:bCs/>
          <w:sz w:val="22"/>
          <w:szCs w:val="22"/>
          <w:highlight w:val="lightGray"/>
        </w:rPr>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8" w:type="dxa"/>
          <w:bottom w:w="0" w:type="dxa"/>
          <w:right w:w="28" w:type="dxa"/>
        </w:tblCellMar>
        <w:tblLook w:val="04a0" w:noVBand="1" w:noHBand="0" w:lastColumn="0" w:firstColumn="1" w:lastRow="0" w:firstRow="1"/>
      </w:tblPr>
      <w:tblGrid>
        <w:gridCol w:w="266"/>
        <w:gridCol w:w="806"/>
        <w:gridCol w:w="1184"/>
        <w:gridCol w:w="1415"/>
        <w:gridCol w:w="2407"/>
        <w:gridCol w:w="2972"/>
        <w:gridCol w:w="2838"/>
        <w:gridCol w:w="985"/>
        <w:gridCol w:w="1695"/>
      </w:tblGrid>
      <w:tr>
        <w:trPr>
          <w:trHeight w:val="1327" w:hRule="atLeast"/>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0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Предмет договора</w:t>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41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40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(Если договором предусмотрена поставка товара, предусм</w:t>
            </w:r>
            <w:r>
              <w:rPr>
                <w:sz w:val="16"/>
                <w:szCs w:val="16"/>
                <w:shd w:fill="auto" w:val="clear"/>
              </w:rPr>
              <w:t xml:space="preserve">отренного Перечнем в соответствии с  Постановлением Правительства РФ от </w:t>
            </w:r>
            <w:r>
              <w:rPr>
                <w:bCs/>
                <w:sz w:val="16"/>
                <w:szCs w:val="16"/>
                <w:shd w:fill="auto" w:val="clear"/>
              </w:rPr>
              <w:t>23.12.2024 № 1875</w:t>
            </w:r>
            <w:r>
              <w:rPr>
                <w:sz w:val="16"/>
                <w:szCs w:val="16"/>
                <w:shd w:fill="auto" w:val="clear"/>
              </w:rPr>
              <w:t>, да</w:t>
            </w:r>
            <w:r>
              <w:rPr>
                <w:sz w:val="16"/>
                <w:szCs w:val="16"/>
              </w:rPr>
              <w:t>нный товар заполняется отдельной строкой)</w:t>
            </w:r>
          </w:p>
        </w:tc>
        <w:tc>
          <w:tcPr>
            <w:tcW w:w="297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Валюта (ОКВ)</w:t>
            </w:r>
          </w:p>
        </w:tc>
        <w:tc>
          <w:tcPr>
            <w:tcW w:w="16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8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4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3</w:t>
            </w:r>
          </w:p>
        </w:tc>
        <w:tc>
          <w:tcPr>
            <w:tcW w:w="240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4</w:t>
            </w:r>
          </w:p>
        </w:tc>
        <w:tc>
          <w:tcPr>
            <w:tcW w:w="29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5</w:t>
            </w:r>
          </w:p>
        </w:tc>
        <w:tc>
          <w:tcPr>
            <w:tcW w:w="28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6</w:t>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6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4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40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9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8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16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15" w:type="dxa"/>
        <w:tblLayout w:type="fixed"/>
        <w:tblCellMar>
          <w:top w:w="0" w:type="dxa"/>
          <w:left w:w="8" w:type="dxa"/>
          <w:bottom w:w="0" w:type="dxa"/>
          <w:right w:w="28" w:type="dxa"/>
        </w:tblCellMar>
        <w:tblLook w:val="04a0" w:noVBand="1" w:noHBand="0" w:lastColumn="0" w:firstColumn="1" w:lastRow="0" w:firstRow="1"/>
      </w:tblPr>
      <w:tblGrid>
        <w:gridCol w:w="1269"/>
        <w:gridCol w:w="1698"/>
        <w:gridCol w:w="1131"/>
        <w:gridCol w:w="1132"/>
        <w:gridCol w:w="1273"/>
        <w:gridCol w:w="2123"/>
        <w:gridCol w:w="1843"/>
        <w:gridCol w:w="1269"/>
        <w:gridCol w:w="2830"/>
      </w:tblGrid>
      <w:tr>
        <w:trPr>
          <w:trHeight w:val="1289" w:hRule="atLeast"/>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69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27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sz w:val="16"/>
                <w:szCs w:val="16"/>
              </w:rPr>
              <w:footnoteReference w:customMarkFollows="1" w:id="29"/>
              <w:t></w:t>
            </w:r>
          </w:p>
        </w:tc>
        <w:tc>
          <w:tcPr>
            <w:tcW w:w="184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26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9</w:t>
            </w:r>
          </w:p>
        </w:tc>
        <w:tc>
          <w:tcPr>
            <w:tcW w:w="169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10</w:t>
            </w:r>
          </w:p>
        </w:tc>
        <w:tc>
          <w:tcPr>
            <w:tcW w:w="113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13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12</w:t>
            </w:r>
          </w:p>
        </w:tc>
        <w:tc>
          <w:tcPr>
            <w:tcW w:w="127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126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16</w:t>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17</w:t>
            </w:r>
          </w:p>
        </w:tc>
      </w:tr>
      <w:tr>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69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3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3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2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84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r>
    </w:p>
    <w:tbl>
      <w:tblPr>
        <w:tblW w:w="5000" w:type="pct"/>
        <w:jc w:val="left"/>
        <w:tblInd w:w="-15" w:type="dxa"/>
        <w:tblLayout w:type="fixed"/>
        <w:tblCellMar>
          <w:top w:w="0" w:type="dxa"/>
          <w:left w:w="8" w:type="dxa"/>
          <w:bottom w:w="0" w:type="dxa"/>
          <w:right w:w="28" w:type="dxa"/>
        </w:tblCellMar>
        <w:tblLook w:val="04a0" w:noVBand="1" w:noHBand="0" w:lastColumn="0" w:firstColumn="1" w:lastRow="0" w:firstRow="1"/>
      </w:tblPr>
      <w:tblGrid>
        <w:gridCol w:w="1334"/>
        <w:gridCol w:w="1786"/>
        <w:gridCol w:w="1192"/>
        <w:gridCol w:w="1189"/>
        <w:gridCol w:w="1339"/>
        <w:gridCol w:w="1189"/>
        <w:gridCol w:w="1933"/>
        <w:gridCol w:w="1042"/>
        <w:gridCol w:w="1189"/>
        <w:gridCol w:w="890"/>
        <w:gridCol w:w="745"/>
        <w:gridCol w:w="741"/>
      </w:tblGrid>
      <w:tr>
        <w:trPr>
          <w:trHeight w:val="1266"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Почтовый индекс</w:t>
            </w:r>
          </w:p>
        </w:tc>
        <w:tc>
          <w:tcPr>
            <w:tcW w:w="119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33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9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04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ОКТМО</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ОКОПФ</w:t>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spacing w:lineRule="auto" w:line="240"/>
              <w:ind w:hanging="0"/>
              <w:rPr>
                <w:sz w:val="16"/>
                <w:szCs w:val="16"/>
              </w:rPr>
            </w:pPr>
            <w:r>
              <w:rPr>
                <w:sz w:val="16"/>
                <w:szCs w:val="16"/>
              </w:rPr>
            </w:r>
          </w:p>
          <w:p>
            <w:pPr>
              <w:pStyle w:val="Normal"/>
              <w:widowControl w:val="false"/>
              <w:spacing w:lineRule="auto" w:line="240"/>
              <w:ind w:hanging="0"/>
              <w:rPr>
                <w:sz w:val="16"/>
                <w:szCs w:val="16"/>
              </w:rPr>
            </w:pPr>
            <w:r>
              <w:rPr>
                <w:sz w:val="16"/>
                <w:szCs w:val="16"/>
              </w:rPr>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18</w:t>
            </w:r>
          </w:p>
        </w:tc>
        <w:tc>
          <w:tcPr>
            <w:tcW w:w="17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19</w:t>
            </w:r>
          </w:p>
        </w:tc>
        <w:tc>
          <w:tcPr>
            <w:tcW w:w="11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20</w:t>
            </w:r>
          </w:p>
        </w:tc>
        <w:tc>
          <w:tcPr>
            <w:tcW w:w="11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21</w:t>
            </w:r>
          </w:p>
        </w:tc>
        <w:tc>
          <w:tcPr>
            <w:tcW w:w="133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9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104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25</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26</w:t>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27</w:t>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28</w:t>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7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3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0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t>Генеральный директор ________________________________</w:t>
      </w:r>
    </w:p>
    <w:p>
      <w:pPr>
        <w:pStyle w:val="Normal"/>
        <w:widowControl w:val="false"/>
        <w:spacing w:lineRule="auto" w:line="240"/>
        <w:ind w:hanging="0"/>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7513"/>
        <w:gridCol w:w="8788"/>
      </w:tblGrid>
      <w:tr>
        <w:trPr/>
        <w:tc>
          <w:tcPr>
            <w:tcW w:w="7513" w:type="dxa"/>
            <w:tcBorders/>
            <w:shd w:fill="auto" w:val="clear"/>
          </w:tcPr>
          <w:p>
            <w:pPr>
              <w:pStyle w:val="Normal"/>
              <w:widowControl w:val="false"/>
              <w:spacing w:lineRule="auto" w:line="240"/>
              <w:ind w:hanging="0"/>
              <w:rPr>
                <w:b/>
                <w:sz w:val="16"/>
                <w:szCs w:val="16"/>
              </w:rPr>
            </w:pPr>
            <w:r>
              <w:rPr>
                <w:b/>
                <w:sz w:val="16"/>
                <w:szCs w:val="16"/>
              </w:rPr>
              <w:t>Заказчик:</w:t>
            </w:r>
          </w:p>
        </w:tc>
        <w:tc>
          <w:tcPr>
            <w:tcW w:w="8788" w:type="dxa"/>
            <w:tcBorders/>
            <w:shd w:fill="auto" w:val="clear"/>
          </w:tcPr>
          <w:p>
            <w:pPr>
              <w:pStyle w:val="Normal"/>
              <w:widowControl w:val="false"/>
              <w:spacing w:lineRule="auto" w:line="240"/>
              <w:ind w:hanging="0"/>
              <w:rPr>
                <w:b/>
                <w:sz w:val="16"/>
                <w:szCs w:val="16"/>
              </w:rPr>
            </w:pPr>
            <w:r>
              <w:rPr>
                <w:b/>
                <w:sz w:val="16"/>
                <w:szCs w:val="16"/>
              </w:rPr>
              <w:t>Подрядчик:</w:t>
            </w:r>
          </w:p>
        </w:tc>
      </w:tr>
      <w:tr>
        <w:trPr/>
        <w:tc>
          <w:tcPr>
            <w:tcW w:w="7513" w:type="dxa"/>
            <w:tcBorders/>
            <w:shd w:fill="auto" w:val="clear"/>
          </w:tcPr>
          <w:p>
            <w:pPr>
              <w:pStyle w:val="Normal"/>
              <w:widowControl w:val="false"/>
              <w:spacing w:lineRule="auto" w:line="240"/>
              <w:ind w:hanging="0"/>
              <w:rPr>
                <w:sz w:val="16"/>
                <w:szCs w:val="16"/>
              </w:rPr>
            </w:pPr>
            <w:r>
              <w:rPr>
                <w:sz w:val="16"/>
                <w:szCs w:val="16"/>
              </w:rPr>
              <w:t xml:space="preserve">______________ /_______________ </w:t>
            </w:r>
          </w:p>
        </w:tc>
        <w:tc>
          <w:tcPr>
            <w:tcW w:w="8788" w:type="dxa"/>
            <w:tcBorders/>
            <w:shd w:fill="auto" w:val="clear"/>
          </w:tcPr>
          <w:p>
            <w:pPr>
              <w:pStyle w:val="Normal"/>
              <w:widowControl w:val="false"/>
              <w:spacing w:lineRule="auto" w:line="240"/>
              <w:ind w:hanging="0"/>
              <w:rPr>
                <w:sz w:val="16"/>
                <w:szCs w:val="16"/>
              </w:rPr>
            </w:pPr>
            <w:r>
              <w:rPr>
                <w:sz w:val="16"/>
                <w:szCs w:val="16"/>
              </w:rPr>
              <w:t xml:space="preserve">_______________ / _______________ </w:t>
            </w:r>
          </w:p>
        </w:tc>
      </w:tr>
    </w:tbl>
    <w:p>
      <w:pPr>
        <w:sectPr>
          <w:headerReference w:type="default" r:id="rId10"/>
          <w:headerReference w:type="first" r:id="rId11"/>
          <w:footerReference w:type="default" r:id="rId12"/>
          <w:footerReference w:type="first" r:id="rId13"/>
          <w:footnotePr>
            <w:numFmt w:val="decimal"/>
          </w:footnotePr>
          <w:type w:val="nextPage"/>
          <w:pgSz w:orient="landscape" w:w="16838" w:h="11906"/>
          <w:pgMar w:left="1134" w:right="1134" w:gutter="0" w:header="567" w:top="1418" w:footer="284" w:bottom="851"/>
          <w:pgNumType w:fmt="decimal"/>
          <w:formProt w:val="false"/>
          <w:textDirection w:val="lrTb"/>
          <w:docGrid w:type="default" w:linePitch="360" w:charSpace="0"/>
        </w:sectPr>
      </w:pPr>
    </w:p>
    <w:p>
      <w:pPr>
        <w:pStyle w:val="Normal"/>
        <w:shd w:val="clear" w:color="auto" w:fill="FFFFFF"/>
        <w:spacing w:lineRule="auto" w:line="240"/>
        <w:ind w:left="4820" w:hanging="0"/>
        <w:rPr>
          <w:bCs/>
          <w:sz w:val="22"/>
          <w:szCs w:val="22"/>
        </w:rPr>
      </w:pPr>
      <w:bookmarkStart w:id="41" w:name="RANGE!A1%252525252525252525253AAG40"/>
      <w:bookmarkStart w:id="42" w:name="RANGE!A1%252525252525252525253AAG42"/>
      <w:bookmarkEnd w:id="41"/>
      <w:bookmarkEnd w:id="42"/>
      <w:r>
        <w:rPr>
          <w:bCs/>
          <w:sz w:val="22"/>
          <w:szCs w:val="22"/>
        </w:rPr>
        <w:t>Приложение № 8</w:t>
      </w:r>
    </w:p>
    <w:p>
      <w:pPr>
        <w:pStyle w:val="Normal"/>
        <w:shd w:val="clear" w:color="auto" w:fill="FFFFFF"/>
        <w:spacing w:lineRule="auto" w:line="240"/>
        <w:ind w:left="4820" w:hanging="0"/>
        <w:rPr>
          <w:bCs/>
          <w:sz w:val="22"/>
          <w:szCs w:val="22"/>
        </w:rPr>
      </w:pPr>
      <w:r>
        <w:rPr>
          <w:bCs/>
          <w:sz w:val="22"/>
          <w:szCs w:val="22"/>
        </w:rPr>
        <w:t xml:space="preserve">к Договору подряда </w:t>
      </w:r>
    </w:p>
    <w:p>
      <w:pPr>
        <w:pStyle w:val="Normal"/>
        <w:shd w:val="clear" w:color="auto" w:fill="FFFFFF"/>
        <w:spacing w:lineRule="auto" w:line="240"/>
        <w:ind w:left="4820" w:hanging="0"/>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firstLine="709"/>
        <w:jc w:val="right"/>
        <w:rPr>
          <w:sz w:val="24"/>
          <w:szCs w:val="24"/>
        </w:rPr>
      </w:pPr>
      <w:r>
        <w:rPr>
          <w:sz w:val="24"/>
          <w:szCs w:val="24"/>
        </w:rPr>
      </w:r>
    </w:p>
    <w:p>
      <w:pPr>
        <w:pStyle w:val="Normal"/>
        <w:spacing w:lineRule="auto" w:line="240"/>
        <w:jc w:val="center"/>
        <w:rPr>
          <w:b/>
          <w:sz w:val="24"/>
          <w:szCs w:val="24"/>
        </w:rPr>
      </w:pPr>
      <w:r>
        <w:rPr>
          <w:b/>
          <w:sz w:val="24"/>
          <w:szCs w:val="24"/>
        </w:rPr>
        <w:t>Критерии отбора Банков-Гарантов</w:t>
      </w:r>
    </w:p>
    <w:p>
      <w:pPr>
        <w:pStyle w:val="Normal"/>
        <w:spacing w:lineRule="auto" w:line="240"/>
        <w:jc w:val="center"/>
        <w:rPr>
          <w:b/>
          <w:sz w:val="24"/>
          <w:szCs w:val="24"/>
        </w:rPr>
      </w:pPr>
      <w:r>
        <w:rPr>
          <w:b/>
          <w:sz w:val="24"/>
          <w:szCs w:val="24"/>
        </w:rPr>
      </w:r>
    </w:p>
    <w:p>
      <w:pPr>
        <w:pStyle w:val="Normal"/>
        <w:spacing w:lineRule="auto" w:line="240"/>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rFonts w:eastAsia="TimesNewRomanPS-BoldMT"/>
          <w:sz w:val="24"/>
          <w:szCs w:val="24"/>
        </w:rPr>
        <w:footnoteReference w:id="30"/>
      </w:r>
      <w:r>
        <w:rPr>
          <w:rFonts w:eastAsia="TimesNewRomanPS-BoldMT"/>
          <w:sz w:val="24"/>
          <w:szCs w:val="24"/>
        </w:rPr>
        <w:t>, а также соответствовать следующим критериям:</w:t>
      </w:r>
    </w:p>
    <w:p>
      <w:pPr>
        <w:pStyle w:val="Heading2"/>
        <w:widowControl w:val="false"/>
        <w:numPr>
          <w:ilvl w:val="0"/>
          <w:numId w:val="17"/>
        </w:numPr>
        <w:spacing w:lineRule="auto" w:line="240" w:before="0" w:after="0"/>
        <w:ind w:left="0" w:firstLine="709"/>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eastAsia="TimesNewRomanPS-BoldMT" w:ascii="Times New Roman" w:hAnsi="Times New Roman"/>
          <w:i w:val="false"/>
          <w:sz w:val="24"/>
          <w:szCs w:val="24"/>
          <w:lang w:eastAsia="en-US"/>
        </w:rPr>
        <w:t xml:space="preserve"> </w:t>
      </w:r>
      <w:r>
        <w:rPr>
          <w:rStyle w:val="FootnoteReference"/>
          <w:rFonts w:eastAsia="TimesNewRomanPS-BoldMT" w:ascii="Times New Roman" w:hAnsi="Times New Roman"/>
          <w:i w:val="false"/>
          <w:sz w:val="24"/>
          <w:szCs w:val="24"/>
          <w:lang w:eastAsia="en-US"/>
        </w:rPr>
        <w:footnoteReference w:id="31"/>
      </w:r>
      <w:r>
        <w:rPr>
          <w:rFonts w:eastAsia="TimesNewRomanPS-BoldMT" w:ascii="Times New Roman" w:hAnsi="Times New Roman"/>
          <w:b w:val="false"/>
          <w:bCs w:val="false"/>
          <w:i w:val="false"/>
          <w:iCs w:val="false"/>
          <w:sz w:val="24"/>
          <w:szCs w:val="24"/>
          <w:lang w:eastAsia="en-US"/>
        </w:rPr>
        <w:t>.</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eastAsia="TimesNewRomanPS-BoldMT" w:ascii="Times New Roman" w:hAnsi="Times New Roman"/>
          <w:b w:val="false"/>
          <w:i w:val="false"/>
          <w:sz w:val="24"/>
          <w:szCs w:val="24"/>
          <w:lang w:eastAsia="en-US"/>
        </w:rPr>
        <w:t xml:space="preserve"> </w:t>
      </w:r>
      <w:r>
        <w:rPr>
          <w:rStyle w:val="FootnoteReference"/>
          <w:rFonts w:eastAsia="TimesNewRomanPS-BoldMT" w:ascii="Times New Roman" w:hAnsi="Times New Roman"/>
          <w:b w:val="false"/>
          <w:i w:val="false"/>
          <w:sz w:val="24"/>
          <w:szCs w:val="24"/>
          <w:lang w:eastAsia="en-US"/>
        </w:rPr>
        <w:footnoteReference w:id="32"/>
      </w:r>
      <w:r>
        <w:rPr>
          <w:rFonts w:eastAsia="TimesNewRomanPS-BoldMT" w:ascii="Times New Roman" w:hAnsi="Times New Roman"/>
          <w:b w:val="false"/>
          <w:bCs w:val="false"/>
          <w:i w:val="false"/>
          <w:iCs w:val="false"/>
          <w:sz w:val="24"/>
          <w:szCs w:val="24"/>
          <w:lang w:eastAsia="en-US"/>
        </w:rPr>
        <w:t>.</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7. Не иметь просроченную задолженность перед Обществом и компаниями Группы РусГидро.</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 Требования, установленные пунктами 2 – 4 настоящих Критериев, не распространяются на кредитные организации:</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8.4. ВЭБ.РФ.</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Heading2"/>
        <w:widowControl w:val="false"/>
        <w:spacing w:lineRule="auto" w:line="240" w:before="0" w:after="0"/>
        <w:jc w:val="center"/>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 = ri × СKi,</w:t>
      </w:r>
      <w:r>
        <w:rPr>
          <w:rFonts w:eastAsia="TimesNewRomanPS-BoldMT" w:ascii="Times New Roman" w:hAnsi="Times New Roman"/>
          <w:b w:val="false"/>
          <w:bCs w:val="false"/>
          <w:i w:val="false"/>
          <w:iCs w:val="false"/>
          <w:sz w:val="24"/>
          <w:szCs w:val="24"/>
          <w:lang w:eastAsia="en-US"/>
        </w:rPr>
        <w:t xml:space="preserve"> где</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w:t>
      </w:r>
      <w:r>
        <w:rPr>
          <w:rFonts w:eastAsia="TimesNewRomanPS-BoldMT" w:ascii="Times New Roman" w:hAnsi="Times New Roman"/>
          <w:b w:val="false"/>
          <w:bCs w:val="false"/>
          <w:i w:val="false"/>
          <w:iCs w:val="false"/>
          <w:sz w:val="24"/>
          <w:szCs w:val="24"/>
          <w:lang w:eastAsia="en-US"/>
        </w:rPr>
        <w:t xml:space="preserve"> - Лимит риска для i-ой кредитной организации</w:t>
      </w:r>
      <w:r>
        <w:rPr>
          <w:rStyle w:val="FootnoteReference"/>
          <w:rFonts w:eastAsia="TimesNewRomanPS-BoldMT" w:ascii="Times New Roman" w:hAnsi="Times New Roman"/>
          <w:b w:val="false"/>
          <w:bCs w:val="false"/>
          <w:i w:val="false"/>
          <w:iCs w:val="false"/>
          <w:sz w:val="24"/>
          <w:szCs w:val="24"/>
          <w:lang w:eastAsia="en-US"/>
        </w:rPr>
        <w:footnoteReference w:id="33"/>
      </w:r>
      <w:r>
        <w:rPr>
          <w:rFonts w:eastAsia="TimesNewRomanPS-BoldMT" w:ascii="Times New Roman" w:hAnsi="Times New Roman"/>
          <w:b w:val="false"/>
          <w:bCs w:val="false"/>
          <w:i w:val="false"/>
          <w:iCs w:val="false"/>
          <w:sz w:val="24"/>
          <w:szCs w:val="24"/>
          <w:lang w:eastAsia="en-US"/>
        </w:rPr>
        <w:t>.</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СKi</w:t>
      </w:r>
      <w:r>
        <w:rPr>
          <w:rFonts w:eastAsia="TimesNewRomanPS-BoldMT" w:ascii="Times New Roman" w:hAnsi="Times New Roman"/>
          <w:b w:val="false"/>
          <w:bCs w:val="false"/>
          <w:i w:val="false"/>
          <w:iCs w:val="false"/>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 xml:space="preserve">ri </w:t>
      </w:r>
      <w:r>
        <w:rPr>
          <w:rFonts w:eastAsia="TimesNewRomanPS-BoldMT" w:ascii="Times New Roman" w:hAnsi="Times New Roman"/>
          <w:b w:val="false"/>
          <w:bCs w:val="false"/>
          <w:i w:val="false"/>
          <w:iCs w:val="false"/>
          <w:sz w:val="24"/>
          <w:szCs w:val="24"/>
          <w:lang w:eastAsia="en-US"/>
        </w:rPr>
        <w:t>- рейтинговый коэффициент</w:t>
      </w:r>
      <w:r>
        <w:rPr>
          <w:rStyle w:val="FootnoteReference"/>
          <w:rFonts w:eastAsia="TimesNewRomanPS-BoldMT" w:ascii="Times New Roman" w:hAnsi="Times New Roman"/>
          <w:b w:val="false"/>
          <w:bCs w:val="false"/>
          <w:i w:val="false"/>
          <w:iCs w:val="false"/>
          <w:sz w:val="24"/>
          <w:szCs w:val="24"/>
          <w:lang w:eastAsia="en-US"/>
        </w:rPr>
        <w:footnoteReference w:id="34"/>
      </w:r>
      <w:r>
        <w:rPr>
          <w:rFonts w:eastAsia="TimesNewRomanPS-BoldMT" w:ascii="Times New Roman" w:hAnsi="Times New Roman"/>
          <w:b w:val="false"/>
          <w:bCs w:val="false"/>
          <w:i w:val="false"/>
          <w:iCs w:val="false"/>
          <w:sz w:val="24"/>
          <w:szCs w:val="24"/>
          <w:lang w:eastAsia="en-US"/>
        </w:rPr>
        <w:t xml:space="preserve"> для i-ой кредитной организации, равный:</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«ruАA-» по классификации рейтингового агентства Эксперт РА;</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0,025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pPr>
        <w:pStyle w:val="Heading2"/>
        <w:widowControl w:val="false"/>
        <w:spacing w:lineRule="auto" w:line="240" w:before="0" w:after="0"/>
        <w:rPr>
          <w:rFonts w:ascii="Times New Roman" w:hAnsi="Times New Roman" w:eastAsia="TimesNewRomanPS-BoldMT"/>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0,015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BBВ</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pPr>
        <w:pStyle w:val="Normal"/>
        <w:spacing w:lineRule="auto" w:line="240"/>
        <w:rPr>
          <w:rFonts w:eastAsia="TimesNewRomanPS-BoldMT"/>
        </w:rPr>
      </w:pPr>
      <w:r>
        <w:rPr>
          <w:rFonts w:eastAsia="TimesNewRomanPS-BoldMT"/>
        </w:rPr>
      </w:r>
    </w:p>
    <w:p>
      <w:pPr>
        <w:pStyle w:val="Normal"/>
        <w:rPr>
          <w:sz w:val="24"/>
          <w:szCs w:val="24"/>
        </w:rPr>
      </w:pPr>
      <w:r>
        <w:rPr>
          <w:sz w:val="24"/>
          <w:szCs w:val="24"/>
        </w:rPr>
      </w:r>
    </w:p>
    <w:p>
      <w:pPr>
        <w:pStyle w:val="Normal"/>
        <w:keepNext w:val="true"/>
        <w:keepLines/>
        <w:tabs>
          <w:tab w:val="clear" w:pos="708"/>
          <w:tab w:val="left" w:pos="3360" w:leader="none"/>
        </w:tabs>
        <w:spacing w:lineRule="auto" w:line="240"/>
        <w:jc w:val="center"/>
        <w:rPr>
          <w:b/>
          <w:sz w:val="24"/>
          <w:szCs w:val="24"/>
        </w:rPr>
      </w:pPr>
      <w:r>
        <w:rPr>
          <w:b/>
          <w:sz w:val="24"/>
          <w:szCs w:val="24"/>
        </w:rPr>
      </w:r>
    </w:p>
    <w:p>
      <w:pPr>
        <w:pStyle w:val="Normal"/>
        <w:keepNext w:val="true"/>
        <w:keepLines/>
        <w:tabs>
          <w:tab w:val="clear" w:pos="708"/>
          <w:tab w:val="left" w:pos="3360" w:leader="none"/>
        </w:tabs>
        <w:spacing w:lineRule="auto" w:line="240"/>
        <w:jc w:val="center"/>
        <w:rPr>
          <w:b/>
          <w:sz w:val="24"/>
          <w:szCs w:val="24"/>
        </w:rPr>
      </w:pPr>
      <w:r>
        <w:rPr>
          <w:b/>
          <w:sz w:val="24"/>
          <w:szCs w:val="24"/>
        </w:rPr>
        <w:t>Подписи Сторон:</w:t>
      </w:r>
    </w:p>
    <w:p>
      <w:pPr>
        <w:pStyle w:val="Normal"/>
        <w:keepNext w:val="true"/>
        <w:keepLines/>
        <w:tabs>
          <w:tab w:val="clear" w:pos="708"/>
          <w:tab w:val="left" w:pos="3360" w:leader="none"/>
        </w:tabs>
        <w:spacing w:lineRule="auto" w:line="240"/>
        <w:rPr>
          <w:sz w:val="22"/>
          <w:szCs w:val="22"/>
        </w:rPr>
      </w:pPr>
      <w:r>
        <w:rPr>
          <w:sz w:val="22"/>
          <w:szCs w:val="22"/>
        </w:rPr>
      </w:r>
    </w:p>
    <w:p>
      <w:pPr>
        <w:pStyle w:val="Normal"/>
        <w:keepNext w:val="true"/>
        <w:keepLines/>
        <w:tabs>
          <w:tab w:val="clear" w:pos="708"/>
          <w:tab w:val="left" w:pos="3360" w:leader="none"/>
        </w:tabs>
        <w:spacing w:lineRule="auto" w:line="240"/>
        <w:rPr>
          <w:sz w:val="22"/>
          <w:szCs w:val="22"/>
        </w:rPr>
      </w:pPr>
      <w:r>
        <w:rPr>
          <w:sz w:val="22"/>
          <w:szCs w:val="22"/>
        </w:rPr>
      </w:r>
    </w:p>
    <w:p>
      <w:pPr>
        <w:pStyle w:val="Normal"/>
        <w:spacing w:lineRule="auto" w:line="240"/>
        <w:rPr>
          <w:sz w:val="22"/>
          <w:szCs w:val="22"/>
        </w:rPr>
      </w:pPr>
      <w:r>
        <w:rPr>
          <w:sz w:val="22"/>
          <w:szCs w:val="22"/>
        </w:rPr>
      </w:r>
      <w:r>
        <w:br w:type="page"/>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sz w:val="22"/>
          <w:szCs w:val="22"/>
        </w:rPr>
      </w:pPr>
      <w:r>
        <w:rPr>
          <w:sz w:val="22"/>
          <w:szCs w:val="22"/>
        </w:rPr>
        <w:t>Приложение № 9</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rPr>
        <w:t>«</w:t>
      </w:r>
      <w:r>
        <w:rPr>
          <w:b/>
          <w:bCs/>
        </w:rPr>
        <w:t>Регламент взаимодействия в ходе исполнения процессов управления проектом»</w:t>
      </w:r>
    </w:p>
    <w:p>
      <w:pPr>
        <w:pStyle w:val="Normal"/>
        <w:spacing w:lineRule="auto" w:line="240"/>
        <w:rPr/>
      </w:pPr>
      <w:r>
        <w:rPr/>
      </w:r>
    </w:p>
    <w:sectPr>
      <w:headerReference w:type="default" r:id="rId14"/>
      <w:headerReference w:type="first" r:id="rId15"/>
      <w:footerReference w:type="default" r:id="rId16"/>
      <w:footerReference w:type="first" r:id="rId17"/>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4">
    <w:p>
      <w:pPr>
        <w:pStyle w:val="FootnoteText"/>
        <w:jc w:val="both"/>
        <w:rPr/>
      </w:pPr>
      <w:r>
        <w:rPr>
          <w:rStyle w:val="Style6"/>
        </w:rPr>
        <w:footnoteRef/>
      </w:r>
      <w:r>
        <w:rPr>
          <w:rStyle w:val="Style6"/>
        </w:rPr>
        <w:tab/>
      </w:r>
      <w:r>
        <w:rPr/>
        <w:t xml:space="preserve"> Состав Работ корректируется исходя из содержания Технического задания.</w:t>
      </w:r>
    </w:p>
  </w:footnote>
  <w:footnote w:id="5">
    <w:p>
      <w:pPr>
        <w:pStyle w:val="FootnoteText"/>
        <w:jc w:val="both"/>
        <w:rPr/>
      </w:pPr>
      <w:r>
        <w:rPr>
          <w:rStyle w:val="Style6"/>
        </w:rPr>
        <w:footnoteRef/>
      </w:r>
      <w:r>
        <w:rPr>
          <w:rStyle w:val="Style6"/>
        </w:rPr>
        <w:tab/>
      </w:r>
      <w:r>
        <w:rPr/>
        <w:t xml:space="preserve"> Данная форма Договора не может применяться в случае, если в предмет Договора входит только обследование.</w:t>
      </w:r>
    </w:p>
  </w:footnote>
  <w:footnote w:id="6">
    <w:p>
      <w:pPr>
        <w:pStyle w:val="FootnoteText"/>
        <w:jc w:val="both"/>
        <w:rPr/>
      </w:pPr>
      <w:r>
        <w:rPr>
          <w:rStyle w:val="Style6"/>
        </w:rPr>
        <w:footnoteRef/>
      </w:r>
      <w:r>
        <w:rPr>
          <w:rStyle w:val="Style6"/>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7">
    <w:p>
      <w:pPr>
        <w:pStyle w:val="FootnoteText"/>
        <w:jc w:val="both"/>
        <w:rPr/>
      </w:pPr>
      <w:r>
        <w:rPr>
          <w:rStyle w:val="Style6"/>
        </w:rPr>
        <w:footnoteRef/>
      </w:r>
      <w:r>
        <w:rPr>
          <w:rStyle w:val="Style6"/>
        </w:rPr>
        <w:tab/>
      </w:r>
      <w:r>
        <w:rPr/>
        <w:t xml:space="preserve"> </w:t>
      </w:r>
      <w:r>
        <w:rPr>
          <w:highlight w:val="lightGray"/>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w:t>
      </w:r>
      <w:r>
        <w:rPr>
          <w:color w:val="FF0000"/>
          <w:highlight w:val="lightGray"/>
        </w:rPr>
        <w:t xml:space="preserve"> </w:t>
      </w:r>
      <w:r>
        <w:rPr>
          <w:highlight w:val="lightGray"/>
        </w:rPr>
        <w:t>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8">
    <w:p>
      <w:pPr>
        <w:pStyle w:val="FootnoteText"/>
        <w:jc w:val="both"/>
        <w:rPr/>
      </w:pPr>
      <w:r>
        <w:rPr>
          <w:rStyle w:val="Style6"/>
        </w:rPr>
        <w:footnoteRef/>
      </w:r>
      <w:r>
        <w:rPr>
          <w:rStyle w:val="Style6"/>
        </w:rPr>
        <w:tab/>
      </w:r>
      <w:r>
        <w:rPr/>
        <w:t xml:space="preserve"> Данное ограничение не включает в себя обязанность, установленную пунктом 2.5.1 Договора, по привлечению МСП к исполнению обязательств по Договору.</w:t>
      </w:r>
    </w:p>
  </w:footnote>
  <w:footnote w:id="9">
    <w:p>
      <w:pPr>
        <w:pStyle w:val="FootnoteText"/>
        <w:jc w:val="both"/>
        <w:rPr/>
      </w:pPr>
      <w:r>
        <w:rPr>
          <w:rStyle w:val="Style6"/>
        </w:rPr>
        <w:footnoteRef/>
      </w:r>
      <w:r>
        <w:rPr>
          <w:rStyle w:val="Style6"/>
        </w:rPr>
        <w:tab/>
      </w:r>
      <w:r>
        <w:rPr/>
        <w:t xml:space="preserve"> Пункт 3.4.3 включается в Договор в случае, если цена Договора превышает 100 000 000 (сто миллионов) рублей без учета НДС (включительно)</w:t>
      </w:r>
    </w:p>
  </w:footnote>
  <w:footnote w:id="10">
    <w:p>
      <w:pPr>
        <w:pStyle w:val="FootnoteText"/>
        <w:jc w:val="both"/>
        <w:rPr/>
      </w:pPr>
      <w:r>
        <w:rPr>
          <w:rStyle w:val="Style6"/>
        </w:rPr>
        <w:footnoteRef/>
      </w:r>
      <w:r>
        <w:rPr>
          <w:rStyle w:val="Style6"/>
        </w:rPr>
        <w:tab/>
      </w:r>
      <w:r>
        <w:rPr/>
        <w:t xml:space="preserve"> </w:t>
      </w:r>
      <w:r>
        <w:rPr>
          <w:highlight w:val="lightGray"/>
        </w:rPr>
        <w:t>Пункты 3.5.2, 3.5.3, 3.5.4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1">
    <w:p>
      <w:pPr>
        <w:pStyle w:val="FootnoteText"/>
        <w:widowControl w:val="false"/>
        <w:spacing w:before="60" w:after="0"/>
        <w:jc w:val="both"/>
        <w:rPr>
          <w:sz w:val="20"/>
          <w:szCs w:val="20"/>
          <w:highlight w:val="yellow"/>
        </w:rPr>
      </w:pPr>
      <w:r>
        <w:rPr>
          <w:rStyle w:val="Style6"/>
        </w:rPr>
        <w:footnoteRef/>
      </w:r>
      <w:r>
        <w:rPr>
          <w:sz w:val="20"/>
          <w:szCs w:val="20"/>
          <w:highlight w:val="lightGray"/>
        </w:rPr>
        <w:tab/>
        <w:t>Срок 90 кал.дней применяется в случае выполнения Подрядчиком по условиям договора комплексно работ по оформлению земельного участка, инженерных изысканий и проектированию.</w:t>
      </w:r>
    </w:p>
  </w:footnote>
  <w:footnote w:id="12">
    <w:p>
      <w:pPr>
        <w:pStyle w:val="FootnoteText"/>
        <w:jc w:val="both"/>
        <w:rPr/>
      </w:pPr>
      <w:r>
        <w:rPr>
          <w:rStyle w:val="Style6"/>
        </w:rPr>
        <w:footnoteRef/>
      </w:r>
      <w:r>
        <w:rPr>
          <w:rStyle w:val="Style6"/>
        </w:rPr>
        <w:tab/>
      </w:r>
      <w:r>
        <w:rPr/>
        <w:t xml:space="preserve"> Пункт включается в Договор в случае, если к Договору прикладывается полный комплект сметной документации.</w:t>
      </w:r>
    </w:p>
  </w:footnote>
  <w:footnote w:id="13">
    <w:p>
      <w:pPr>
        <w:pStyle w:val="FootnoteText"/>
        <w:jc w:val="both"/>
        <w:rPr/>
      </w:pPr>
      <w:r>
        <w:rPr>
          <w:rStyle w:val="Style6"/>
        </w:rPr>
        <w:footnoteRef/>
      </w:r>
      <w:r>
        <w:rPr>
          <w:rStyle w:val="Style6"/>
        </w:rPr>
        <w:tab/>
      </w:r>
      <w:r>
        <w:rPr/>
        <w:t xml:space="preserve"> </w:t>
      </w:r>
      <w:r>
        <w:rPr>
          <w:highlight w:val="lightGray"/>
        </w:rPr>
        <w:t>Условие включается в случае, когда на дату заключения Договора сметы Работ отсутствуют</w:t>
      </w:r>
      <w:r>
        <w:rPr/>
        <w:t xml:space="preserve">. </w:t>
      </w:r>
    </w:p>
  </w:footnote>
  <w:footnote w:id="14">
    <w:p>
      <w:pPr>
        <w:pStyle w:val="FootnoteText"/>
        <w:rPr/>
      </w:pPr>
      <w:r>
        <w:rPr>
          <w:rStyle w:val="Style6"/>
        </w:rPr>
        <w:footnoteRef/>
      </w:r>
      <w:r>
        <w:rPr>
          <w:rStyle w:val="Style6"/>
        </w:rPr>
        <w:tab/>
      </w:r>
      <w:r>
        <w:rPr/>
        <w:t xml:space="preserve"> Для договоров, заключенных в рамках операционной (текущей) деятельности Общества</w:t>
      </w:r>
    </w:p>
  </w:footnote>
  <w:footnote w:id="15">
    <w:p>
      <w:pPr>
        <w:pStyle w:val="FootnoteText"/>
        <w:rPr/>
      </w:pPr>
      <w:r>
        <w:rPr>
          <w:rStyle w:val="Style6"/>
        </w:rPr>
        <w:footnoteRef/>
      </w:r>
      <w:r>
        <w:rPr>
          <w:rStyle w:val="Style6"/>
        </w:rPr>
        <w:tab/>
      </w:r>
      <w:r>
        <w:rPr/>
        <w:t xml:space="preserve"> Для договоров, заключенных в рамках реализации инвестиционной программы Общества</w:t>
      </w:r>
    </w:p>
  </w:footnote>
  <w:footnote w:id="16">
    <w:p>
      <w:pPr>
        <w:pStyle w:val="FootnoteText"/>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pPr>
        <w:pStyle w:val="FootnoteText"/>
        <w:rPr/>
      </w:pPr>
      <w:r>
        <w:rPr>
          <w:rStyle w:val="Style6"/>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18">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19">
    <w:p>
      <w:pPr>
        <w:pStyle w:val="FootnoteText"/>
        <w:jc w:val="both"/>
        <w:rPr/>
      </w:pPr>
      <w:r>
        <w:rPr>
          <w:rStyle w:val="Style6"/>
        </w:rPr>
        <w:footnoteRef/>
      </w:r>
      <w:r>
        <w:rPr>
          <w:rStyle w:val="Style6"/>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0">
    <w:p>
      <w:pPr>
        <w:pStyle w:val="FootnoteText"/>
        <w:jc w:val="both"/>
        <w:rPr/>
      </w:pPr>
      <w:r>
        <w:rPr>
          <w:rStyle w:val="Style6"/>
        </w:rPr>
        <w:footnoteRef/>
      </w:r>
      <w:r>
        <w:rPr>
          <w:rStyle w:val="Style6"/>
        </w:rPr>
        <w:tab/>
      </w:r>
      <w:r>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21">
    <w:p>
      <w:pPr>
        <w:pStyle w:val="FootnoteText"/>
        <w:rPr/>
      </w:pPr>
      <w:r>
        <w:rPr>
          <w:rStyle w:val="Style6"/>
        </w:rPr>
        <w:footnoteRef/>
      </w:r>
      <w:r>
        <w:rPr>
          <w:rStyle w:val="Style6"/>
        </w:rPr>
        <w:tab/>
      </w:r>
      <w:r>
        <w:rPr/>
        <w:t xml:space="preserve"> В случае непредоставления новой Банковской гарантии возврата авансового платежа.</w:t>
      </w:r>
    </w:p>
  </w:footnote>
  <w:footnote w:id="22">
    <w:p>
      <w:pPr>
        <w:pStyle w:val="FootnoteText"/>
        <w:rPr/>
      </w:pPr>
      <w:r>
        <w:rPr>
          <w:rStyle w:val="Style6"/>
        </w:rPr>
        <w:footnoteRef/>
      </w:r>
      <w:r>
        <w:rPr>
          <w:rStyle w:val="Style6"/>
        </w:rPr>
        <w:tab/>
      </w:r>
      <w:r>
        <w:rPr>
          <w:highlight w:val="lightGray"/>
        </w:rPr>
        <w:t xml:space="preserve"> Необходимость включения данного пункта определяется в соответствии с приказом ПАО «РусГидро» от 12.01.2021 № 4.</w:t>
      </w:r>
    </w:p>
  </w:footnote>
  <w:footnote w:id="23">
    <w:p>
      <w:pPr>
        <w:pStyle w:val="FootnoteText"/>
        <w:jc w:val="both"/>
        <w:rPr/>
      </w:pPr>
      <w:r>
        <w:rPr>
          <w:rStyle w:val="Style6"/>
        </w:rPr>
        <w:footnoteRef/>
      </w:r>
      <w:r>
        <w:rPr>
          <w:rStyle w:val="Style6"/>
        </w:rPr>
        <w:tab/>
      </w:r>
      <w:r>
        <w:rPr/>
        <w:t xml:space="preserve"> </w:t>
      </w:r>
      <w:r>
        <w:rPr>
          <w:highlight w:val="lightGray"/>
        </w:rPr>
        <w:t>Необходимость включения данного пункта определяется в соответствии с приказом ПАО «РусГидро» от 18.12.2017 № 881 «Об утверждении Регламента управления проектами ТПиР».</w:t>
      </w:r>
    </w:p>
  </w:footnote>
  <w:footnote w:id="24">
    <w:p>
      <w:pPr>
        <w:pStyle w:val="FootnoteText"/>
        <w:jc w:val="both"/>
        <w:rPr/>
      </w:pPr>
      <w:r>
        <w:rPr>
          <w:rStyle w:val="Style6"/>
        </w:rPr>
        <w:footnoteRef/>
      </w:r>
      <w:r>
        <w:rPr>
          <w:rStyle w:val="Style6"/>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25">
    <w:p>
      <w:pPr>
        <w:pStyle w:val="FootnoteText"/>
        <w:jc w:val="both"/>
        <w:rPr/>
      </w:pPr>
      <w:r>
        <w:rPr>
          <w:rStyle w:val="Style6"/>
        </w:rPr>
        <w:footnoteRef/>
      </w:r>
      <w:r>
        <w:rPr>
          <w:rStyle w:val="Style6"/>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26">
    <w:p>
      <w:pPr>
        <w:pStyle w:val="FootnoteText"/>
        <w:jc w:val="both"/>
        <w:rPr/>
      </w:pPr>
      <w:r>
        <w:rPr>
          <w:rStyle w:val="Style6"/>
        </w:rPr>
        <w:footnoteRef/>
      </w:r>
      <w:r>
        <w:rPr>
          <w:rStyle w:val="Style6"/>
        </w:rPr>
        <w:tab/>
      </w:r>
      <w:r>
        <w:rPr/>
        <w:t xml:space="preserve"> С учетом комментариев к пункту 2.3.7 Договора.</w:t>
      </w:r>
    </w:p>
  </w:footnote>
  <w:footnote w:id="27">
    <w:p>
      <w:pPr>
        <w:pStyle w:val="FootnoteText"/>
        <w:rPr/>
      </w:pPr>
      <w:r>
        <w:rPr>
          <w:rStyle w:val="Style6"/>
        </w:rPr>
        <w:footnoteRef/>
      </w:r>
      <w:r>
        <w:rPr>
          <w:rStyle w:val="Style6"/>
        </w:rPr>
        <w:tab/>
      </w:r>
      <w:r>
        <w:rPr/>
        <w:t xml:space="preserve"> Абзацы второй и третий включаются в текст договора в случае заключения договора в электронной форме.</w:t>
      </w:r>
    </w:p>
  </w:footnote>
  <w:footnote w:id="28">
    <w:p>
      <w:pPr>
        <w:pStyle w:val="FootnoteText"/>
        <w:jc w:val="both"/>
        <w:rPr/>
      </w:pPr>
      <w:r>
        <w:rPr>
          <w:rStyle w:val="Style6"/>
        </w:rPr>
        <w:footnoteRef/>
      </w:r>
      <w:r>
        <w:rPr>
          <w:rStyle w:val="Style6"/>
        </w:rPr>
        <w:tab/>
      </w:r>
      <w:r>
        <w:rPr/>
        <w:t xml:space="preserve"> </w:t>
      </w:r>
      <w:r>
        <w:rPr>
          <w:shd w:fill="FFFFFF" w:val="clear"/>
        </w:rPr>
        <w:t>Применяется в случае подписания собственноручно без использования усиленных квалифицированных электронных подписей (УКЭП).</w:t>
      </w:r>
    </w:p>
  </w:footnote>
  <w:footnote w:id="29">
    <w:p>
      <w:pPr>
        <w:pStyle w:val="Normal"/>
        <w:rPr>
          <w:sz w:val="24"/>
          <w:szCs w:val="24"/>
        </w:rPr>
      </w:pPr>
      <w:r>
        <w:rPr>
          <w:rStyle w:val="Style6"/>
        </w:rPr>
        <w:t></w:t>
      </w:r>
      <w:r>
        <w:rPr>
          <w:rStyle w:val="Style6"/>
        </w:rPr>
        <w:t></w:t>
      </w:r>
      <w:r>
        <w:rPr>
          <w:rStyle w:val="Style6"/>
        </w:rPr>
        <w:tab/>
        <w:t></w:t>
      </w:r>
      <w:r>
        <w:rPr/>
        <w:t xml:space="preserve"> </w:t>
      </w:r>
      <w:r>
        <w:rPr>
          <w:sz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 w:id="30">
    <w:p>
      <w:pPr>
        <w:pStyle w:val="FootnoteText"/>
        <w:rPr/>
      </w:pPr>
      <w:r>
        <w:rPr>
          <w:rStyle w:val="Style6"/>
        </w:rPr>
        <w:footnoteRef/>
      </w:r>
      <w:r>
        <w:rPr>
          <w:rStyle w:val="Style6"/>
        </w:rPr>
        <w:tab/>
      </w:r>
      <w:r>
        <w:rPr/>
        <w:t xml:space="preserve"> Актуальный Перечень Банков-Гарантов Группы РусГидро размещен на официальном сайте Общества</w:t>
      </w:r>
    </w:p>
    <w:p>
      <w:pPr>
        <w:pStyle w:val="FootnoteText"/>
        <w:rPr/>
      </w:pPr>
      <w:r>
        <w:rPr>
          <w:shd w:fill="auto" w:val="clear"/>
        </w:rPr>
        <w:tab/>
      </w:r>
      <w:r>
        <w:rPr>
          <w:shd w:fill="auto" w:val="clear"/>
          <w:lang w:val="ru-RU"/>
        </w:rPr>
        <w:t>(</w:t>
      </w:r>
      <w:hyperlink r:id="rId1">
        <w:r>
          <w:rPr>
            <w:rStyle w:val="Hyperlink"/>
            <w:shd w:fill="auto" w:val="clear"/>
            <w:lang w:val="ru-RU"/>
          </w:rPr>
          <w:t>https://drsk.ru/investors/disclosure/dokumenty/vnutrennie-dokumenty-obshchestva/inye-dokumenty/</w:t>
        </w:r>
      </w:hyperlink>
      <w:r>
        <w:rPr>
          <w:shd w:fill="auto" w:val="clear"/>
          <w:lang w:val="ru-RU"/>
        </w:rPr>
        <w:t>).</w:t>
      </w:r>
    </w:p>
  </w:footnote>
  <w:footnote w:id="31">
    <w:p>
      <w:pPr>
        <w:pStyle w:val="FootnoteText"/>
        <w:jc w:val="both"/>
        <w:rPr/>
      </w:pPr>
      <w:r>
        <w:rPr>
          <w:rStyle w:val="Style6"/>
        </w:rPr>
        <w:footnoteRef/>
      </w:r>
      <w:r>
        <w:rPr>
          <w:rStyle w:val="Style6"/>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2">
    <w:p>
      <w:pPr>
        <w:pStyle w:val="FootnoteText"/>
        <w:jc w:val="both"/>
        <w:rPr/>
      </w:pPr>
      <w:r>
        <w:rPr>
          <w:rStyle w:val="Style6"/>
        </w:rPr>
        <w:footnoteRef/>
      </w:r>
      <w:r>
        <w:rPr>
          <w:rStyle w:val="Style6"/>
        </w:rPr>
        <w:tab/>
      </w:r>
      <w:r>
        <w:rPr/>
        <w:t xml:space="preserve"> Данное требование не применяется в отношении небанковских кредитных организаций.</w:t>
      </w:r>
    </w:p>
  </w:footnote>
  <w:footnote w:id="33">
    <w:p>
      <w:pPr>
        <w:pStyle w:val="FootnoteText"/>
        <w:jc w:val="both"/>
        <w:rPr/>
      </w:pPr>
      <w:r>
        <w:rPr>
          <w:rStyle w:val="Style6"/>
        </w:rPr>
        <w:footnoteRef/>
      </w:r>
      <w:r>
        <w:rPr>
          <w:rStyle w:val="Style6"/>
        </w:rPr>
        <w:tab/>
      </w:r>
      <w:r>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34">
    <w:p>
      <w:pPr>
        <w:pStyle w:val="FootnoteText"/>
        <w:jc w:val="both"/>
        <w:rPr/>
      </w:pPr>
      <w:r>
        <w:rPr>
          <w:rStyle w:val="Style6"/>
        </w:rPr>
        <w:footnoteRef/>
      </w:r>
      <w:r>
        <w:rPr>
          <w:rStyle w:val="Style6"/>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1"/>
      <w:spacing w:before="120" w:after="120"/>
      <w:jc w:val="center"/>
      <w:rPr/>
    </w:pPr>
    <w:r>
      <w:rPr>
        <w:b w:val="false"/>
        <w:i/>
        <w:sz w:val="22"/>
      </w:rPr>
      <w:t>ТФД №1.5.1. Договор подряда на выполнение проектных работ, предусматривающий один этап, банковскую гарантию по возврату аванса (с оговорками по привлечению МСП на субподряд)</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sz w:val="24"/>
        <w:u w:val="none"/>
        <w:b/>
      </w:rPr>
    </w:lvl>
    <w:lvl w:ilvl="2">
      <w:start w:val="1"/>
      <w:numFmt w:val="decimal"/>
      <w:lvlText w:val="%1.%2.%3."/>
      <w:lvlJc w:val="left"/>
      <w:pPr>
        <w:tabs>
          <w:tab w:val="num" w:pos="0"/>
        </w:tabs>
        <w:ind w:left="121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7"/>
      <w:numFmt w:val="decimal"/>
      <w:lvlText w:val="%1."/>
      <w:lvlJc w:val="left"/>
      <w:pPr>
        <w:tabs>
          <w:tab w:val="num" w:pos="0"/>
        </w:tabs>
        <w:ind w:left="360" w:hanging="360"/>
      </w:pPr>
      <w:rPr>
        <w:sz w:val="24"/>
        <w:b/>
      </w:rPr>
    </w:lvl>
    <w:lvl w:ilvl="1">
      <w:start w:val="6"/>
      <w:numFmt w:val="decimal"/>
      <w:lvlText w:val="%1.%2."/>
      <w:lvlJc w:val="left"/>
      <w:pPr>
        <w:tabs>
          <w:tab w:val="num" w:pos="0"/>
        </w:tabs>
        <w:ind w:left="1288" w:hanging="720"/>
      </w:pPr>
      <w:rPr>
        <w:sz w:val="24"/>
        <w:b/>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6">
    <w:lvl w:ilvl="0">
      <w:start w:val="8"/>
      <w:numFmt w:val="decimal"/>
      <w:lvlText w:val="%1."/>
      <w:lvlJc w:val="left"/>
      <w:pPr>
        <w:tabs>
          <w:tab w:val="num" w:pos="0"/>
        </w:tabs>
        <w:ind w:left="360" w:hanging="360"/>
      </w:pPr>
      <w:rPr>
        <w:sz w:val="24"/>
        <w:b/>
      </w:rPr>
    </w:lvl>
    <w:lvl w:ilvl="1">
      <w:start w:val="1"/>
      <w:numFmt w:val="decimal"/>
      <w:lvlText w:val="%1.%2."/>
      <w:lvlJc w:val="left"/>
      <w:pPr>
        <w:tabs>
          <w:tab w:val="num" w:pos="0"/>
        </w:tabs>
        <w:ind w:left="1288" w:hanging="720"/>
      </w:pPr>
      <w:rPr>
        <w:sz w:val="24"/>
        <w:b/>
      </w:rPr>
    </w:lvl>
    <w:lvl w:ilvl="2">
      <w:start w:val="1"/>
      <w:numFmt w:val="decimal"/>
      <w:lvlText w:val="%1.%2.%3."/>
      <w:lvlJc w:val="left"/>
      <w:pPr>
        <w:tabs>
          <w:tab w:val="num" w:pos="0"/>
        </w:tabs>
        <w:ind w:left="1856" w:hanging="720"/>
      </w:pPr>
      <w:rPr>
        <w:sz w:val="24"/>
        <w:b/>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7">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22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eb056f"/>
    <w:rPr>
      <w:sz w:val="24"/>
      <w:szCs w:val="24"/>
    </w:rPr>
  </w:style>
  <w:style w:type="character" w:styleId="Style17">
    <w:name w:val="Символы концевой сноски"/>
    <w:qFormat/>
    <w:rPr/>
  </w:style>
  <w:style w:type="character" w:styleId="FollowedHyperlink">
    <w:name w:val="FollowedHyperlink"/>
    <w:rPr>
      <w:color w:val="800080"/>
      <w:u w:val="single"/>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034243"/>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Relationship Id="rId27"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E2AD82-D1EB-4284-8D11-F3C9914CEAA4}">
  <ds:schemaRefs>
    <ds:schemaRef ds:uri="http://schemas.openxmlformats.org/officeDocument/2006/bibliography"/>
  </ds:schemaRefs>
</ds:datastoreItem>
</file>

<file path=customXml/itemProps5.xml><?xml version="1.0" encoding="utf-8"?>
<ds:datastoreItem xmlns:ds="http://schemas.openxmlformats.org/officeDocument/2006/customXml" ds:itemID="{D860E618-2792-4039-A106-AE9FF5A7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AlterOffice/3.3.0.4$Linux_X86_64 LibreOffice_project/fa736b558560ebea8f92088bfd7720f4b3918f3f</Application>
  <AppVersion>15.0000</AppVersion>
  <Pages>39</Pages>
  <Words>13308</Words>
  <Characters>95301</Characters>
  <CharactersWithSpaces>108197</CharactersWithSpaces>
  <Paragraphs>697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2022-11-01T07:37:00Z</dcterms:created>
  <dc:creator>UK VoHEC</dc:creator>
  <dc:description/>
  <dc:language>ru-RU</dc:language>
  <cp:lastModifiedBy>toropchina_lv</cp:lastModifiedBy>
  <cp:lastPrinted>2020-03-18T05:20:00Z</cp:lastPrinted>
  <dcterms:modified xsi:type="dcterms:W3CDTF">2025-10-24T14:19:41Z</dcterms:modified>
  <cp:revision>31</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