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rFonts w:eastAsia="Calibri"/>
          <w:sz w:val="24"/>
          <w:szCs w:val="24"/>
        </w:rPr>
      </w:pPr>
      <w:r>
        <w:rPr>
          <w:rFonts w:eastAsia="Calibri"/>
          <w:sz w:val="24"/>
          <w:szCs w:val="24"/>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rPr>
      </w:pPr>
      <w:r>
        <w:rPr>
          <w:rFonts w:eastAsia="Calibri"/>
          <w:b/>
        </w:rPr>
        <w:t>Технические требования на оказание услуг</w:t>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t xml:space="preserve">«ОКПД2 - 49.41.14.000. Оказание уcлуг по перевозке обратного груза с Белогорского РЭС, </w:t>
      </w:r>
      <w:r>
        <w:rPr>
          <w:rFonts w:eastAsia="Calibri"/>
          <w:b/>
        </w:rPr>
        <w:t>Момского РЭС,</w:t>
      </w:r>
      <w:r>
        <w:rPr>
          <w:rFonts w:eastAsia="Calibri"/>
          <w:b/>
        </w:rPr>
        <w:t xml:space="preserve"> Чокурдахского РЭС АО «Сахаэнерго»</w:t>
      </w:r>
    </w:p>
    <w:p>
      <w:pPr>
        <w:pStyle w:val="Normal"/>
        <w:jc w:val="center"/>
        <w:rPr>
          <w:rFonts w:eastAsia="Calibri"/>
          <w:b/>
        </w:rPr>
      </w:pPr>
      <w:r>
        <w:rPr>
          <w:rFonts w:eastAsia="Calibri"/>
          <w:b/>
        </w:rPr>
        <w:t xml:space="preserve">в период действия автозимника 2026-2027гг.» </w:t>
      </w:r>
    </w:p>
    <w:p>
      <w:pPr>
        <w:pStyle w:val="Normal"/>
        <w:keepNext w:val="true"/>
        <w:keepLines/>
        <w:jc w:val="center"/>
        <w:rPr>
          <w:rFonts w:eastAsia="Calibri"/>
        </w:rPr>
      </w:pPr>
      <w:r>
        <w:rPr>
          <w:rFonts w:eastAsia="Calibri"/>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eastAsia="新細明體" w:cs="Times New Roman" w:eastAsiaTheme="minorEastAsia"/>
              <w:b w:val="false"/>
              <w:bCs w:val="false"/>
            </w:rPr>
          </w:pPr>
          <w:r>
            <w:fldChar w:fldCharType="begin"/>
          </w:r>
          <w:r>
            <w:rPr>
              <w:webHidden/>
              <w:rStyle w:val="Style14"/>
              <w:vanish w:val="false"/>
              <w:rFonts w:cs="Times New Roman"/>
            </w:rPr>
            <w:instrText xml:space="preserve"> TOC \z \o "1-4" \u \h</w:instrText>
          </w:r>
          <w:r>
            <w:rPr>
              <w:webHidden/>
              <w:rStyle w:val="Style14"/>
              <w:vanish w:val="false"/>
              <w:rFonts w:cs="Times New Roman"/>
            </w:rPr>
            <w:fldChar w:fldCharType="separate"/>
          </w:r>
          <w:hyperlink w:anchor="_Toc54643694">
            <w:r>
              <w:rPr>
                <w:webHidden/>
                <w:rStyle w:val="Style14"/>
                <w:rFonts w:cs="Times New Roman"/>
                <w:vanish w:val="false"/>
              </w:rPr>
              <w:t>1.</w:t>
            </w:r>
            <w:r>
              <w:rPr>
                <w:rStyle w:val="Style14"/>
                <w:rFonts w:eastAsia="新細明體" w:cs="Times New Roman" w:eastAsiaTheme="minorEastAsia"/>
                <w:b w:val="false"/>
                <w:bCs w:val="false"/>
              </w:rPr>
              <w:tab/>
            </w:r>
            <w:r>
              <w:rPr>
                <w:webHidden/>
              </w:rPr>
              <w:fldChar w:fldCharType="begin"/>
            </w:r>
            <w:r>
              <w:rPr>
                <w:webHidden/>
              </w:rPr>
              <w:instrText xml:space="preserve">PAGEREF _Toc54643694 \h</w:instrText>
            </w:r>
            <w:r>
              <w:rPr>
                <w:webHidden/>
              </w:rPr>
              <w:fldChar w:fldCharType="separate"/>
            </w:r>
            <w:r>
              <w:rPr>
                <w:rStyle w:val="Style14"/>
                <w:rFonts w:cs="Times New Roman"/>
              </w:rPr>
              <w:t>Общие сведения</w:t>
              <w:tab/>
              <w:t>3</w:t>
            </w:r>
            <w:r>
              <w:rPr>
                <w:webHidden/>
              </w:rPr>
              <w:fldChar w:fldCharType="end"/>
            </w:r>
          </w:hyperlink>
        </w:p>
        <w:p>
          <w:pPr>
            <w:pStyle w:val="TOC4"/>
            <w:rPr>
              <w:rFonts w:eastAsia="新細明體" w:cs="Times New Roman" w:eastAsiaTheme="minorEastAsia"/>
              <w:sz w:val="24"/>
              <w:szCs w:val="24"/>
            </w:rPr>
          </w:pPr>
          <w:hyperlink w:anchor="_Toc54643695">
            <w:r>
              <w:rPr>
                <w:webHidden/>
                <w:rStyle w:val="Style14"/>
                <w:rFonts w:cs="Times New Roman"/>
                <w:iCs/>
                <w:vanish w:val="false"/>
                <w:sz w:val="24"/>
                <w:szCs w:val="24"/>
              </w:rPr>
              <w:t>1.1.</w:t>
            </w:r>
            <w:r>
              <w:rPr>
                <w:rStyle w:val="Style14"/>
                <w:rFonts w:eastAsia="新細明體" w:cs="Times New Roman" w:eastAsiaTheme="minorEastAsia"/>
                <w:sz w:val="24"/>
                <w:szCs w:val="24"/>
              </w:rPr>
              <w:tab/>
            </w:r>
            <w:r>
              <w:rPr>
                <w:webHidden/>
              </w:rPr>
              <w:fldChar w:fldCharType="begin"/>
            </w:r>
            <w:r>
              <w:rPr>
                <w:webHidden/>
              </w:rPr>
              <w:instrText xml:space="preserve">PAGEREF _Toc54643695 \h</w:instrText>
            </w:r>
            <w:r>
              <w:rPr>
                <w:webHidden/>
              </w:rPr>
              <w:fldChar w:fldCharType="separate"/>
            </w:r>
            <w:r>
              <w:rPr>
                <w:rStyle w:val="Style14"/>
                <w:rFonts w:cs="Times New Roman"/>
                <w:sz w:val="24"/>
                <w:szCs w:val="24"/>
              </w:rPr>
              <w:t>Обозначения и сокращения</w:t>
              <w:tab/>
              <w:t>3</w:t>
            </w:r>
            <w:r>
              <w:rPr>
                <w:webHidden/>
              </w:rPr>
              <w:fldChar w:fldCharType="end"/>
            </w:r>
          </w:hyperlink>
        </w:p>
        <w:p>
          <w:pPr>
            <w:pStyle w:val="TOC4"/>
            <w:rPr>
              <w:rFonts w:eastAsia="新細明體" w:cs="Times New Roman" w:eastAsiaTheme="minorEastAsia"/>
              <w:sz w:val="24"/>
              <w:szCs w:val="24"/>
            </w:rPr>
          </w:pPr>
          <w:hyperlink w:anchor="_Toc54643696">
            <w:r>
              <w:rPr>
                <w:webHidden/>
                <w:rStyle w:val="Style14"/>
                <w:rFonts w:cs="Times New Roman"/>
                <w:iCs/>
                <w:vanish w:val="false"/>
                <w:sz w:val="24"/>
                <w:szCs w:val="24"/>
              </w:rPr>
              <w:t>1.2.</w:t>
            </w:r>
            <w:r>
              <w:rPr>
                <w:rStyle w:val="Style14"/>
                <w:rFonts w:eastAsia="新細明體" w:cs="Times New Roman" w:eastAsiaTheme="minorEastAsia"/>
                <w:sz w:val="24"/>
                <w:szCs w:val="24"/>
              </w:rPr>
              <w:tab/>
            </w:r>
            <w:r>
              <w:rPr>
                <w:webHidden/>
              </w:rPr>
              <w:fldChar w:fldCharType="begin"/>
            </w:r>
            <w:r>
              <w:rPr>
                <w:webHidden/>
              </w:rPr>
              <w:instrText xml:space="preserve">PAGEREF _Toc54643696 \h</w:instrText>
            </w:r>
            <w:r>
              <w:rPr>
                <w:webHidden/>
              </w:rPr>
              <w:fldChar w:fldCharType="separate"/>
            </w:r>
            <w:r>
              <w:rPr>
                <w:rStyle w:val="Style14"/>
                <w:rFonts w:cs="Times New Roman"/>
                <w:sz w:val="24"/>
                <w:szCs w:val="24"/>
              </w:rPr>
              <w:t>Наименование закупаемой продукции</w:t>
              <w:tab/>
              <w:t>3</w:t>
            </w:r>
            <w:r>
              <w:rPr>
                <w:webHidden/>
              </w:rPr>
              <w:fldChar w:fldCharType="end"/>
            </w:r>
          </w:hyperlink>
        </w:p>
        <w:p>
          <w:pPr>
            <w:pStyle w:val="TOC4"/>
            <w:rPr>
              <w:rFonts w:eastAsia="新細明體" w:cs="Times New Roman" w:eastAsiaTheme="minorEastAsia"/>
              <w:sz w:val="24"/>
              <w:szCs w:val="24"/>
            </w:rPr>
          </w:pPr>
          <w:hyperlink w:anchor="_Toc54643697">
            <w:r>
              <w:rPr>
                <w:webHidden/>
                <w:rStyle w:val="Style14"/>
                <w:rFonts w:cs="Times New Roman"/>
                <w:iCs/>
                <w:vanish w:val="false"/>
                <w:sz w:val="24"/>
                <w:szCs w:val="24"/>
              </w:rPr>
              <w:t>1.3.</w:t>
            </w:r>
            <w:r>
              <w:rPr>
                <w:rStyle w:val="Style14"/>
                <w:rFonts w:eastAsia="新細明體" w:cs="Times New Roman" w:eastAsiaTheme="minorEastAsia"/>
                <w:sz w:val="24"/>
                <w:szCs w:val="24"/>
              </w:rPr>
              <w:tab/>
            </w:r>
            <w:r>
              <w:rPr>
                <w:webHidden/>
              </w:rPr>
              <w:fldChar w:fldCharType="begin"/>
            </w:r>
            <w:r>
              <w:rPr>
                <w:webHidden/>
              </w:rPr>
              <w:instrText xml:space="preserve">PAGEREF _Toc54643697 \h</w:instrText>
            </w:r>
            <w:r>
              <w:rPr>
                <w:webHidden/>
              </w:rPr>
              <w:fldChar w:fldCharType="separate"/>
            </w:r>
            <w:r>
              <w:rPr>
                <w:rStyle w:val="Style14"/>
                <w:rFonts w:cs="Times New Roman"/>
                <w:sz w:val="24"/>
                <w:szCs w:val="24"/>
              </w:rPr>
              <w:t>Цель оказания услуг</w:t>
              <w:tab/>
              <w:t>3</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02">
            <w:r>
              <w:rPr>
                <w:webHidden/>
                <w:rStyle w:val="Style14"/>
                <w:rFonts w:cs="Times New Roman"/>
                <w:vanish w:val="false"/>
              </w:rPr>
              <w:t>2.</w:t>
            </w:r>
            <w:r>
              <w:rPr>
                <w:rStyle w:val="Style14"/>
                <w:rFonts w:eastAsia="新細明體" w:cs="Times New Roman" w:eastAsiaTheme="minorEastAsia"/>
                <w:b w:val="false"/>
                <w:bCs w:val="false"/>
              </w:rPr>
              <w:tab/>
            </w:r>
            <w:r>
              <w:rPr>
                <w:rStyle w:val="Style14"/>
                <w:rFonts w:cs="Times New Roman"/>
                <w:iCs/>
              </w:rPr>
              <w:t>Требования к продукции</w:t>
            </w:r>
            <w:r>
              <w:rPr>
                <w:webHidden/>
              </w:rPr>
              <w:fldChar w:fldCharType="begin"/>
            </w:r>
            <w:r>
              <w:rPr>
                <w:webHidden/>
              </w:rPr>
              <w:instrText xml:space="preserve">PAGEREF _Toc54643702 \h</w:instrText>
            </w:r>
            <w:r>
              <w:rPr>
                <w:webHidden/>
              </w:rPr>
              <w:fldChar w:fldCharType="separate"/>
            </w:r>
            <w:r>
              <w:rPr>
                <w:rStyle w:val="Style14"/>
                <w:rFonts w:cs="Times New Roman"/>
              </w:rPr>
              <w:tab/>
              <w:t>4</w:t>
            </w:r>
            <w:r>
              <w:rPr>
                <w:webHidden/>
              </w:rPr>
              <w:fldChar w:fldCharType="end"/>
            </w:r>
          </w:hyperlink>
        </w:p>
        <w:p>
          <w:pPr>
            <w:pStyle w:val="TOC4"/>
            <w:rPr>
              <w:rFonts w:eastAsia="新細明體" w:cs="Times New Roman" w:eastAsiaTheme="minorEastAsia"/>
              <w:sz w:val="24"/>
              <w:szCs w:val="24"/>
            </w:rPr>
          </w:pPr>
          <w:hyperlink w:anchor="_Toc54643703">
            <w:r>
              <w:rPr>
                <w:webHidden/>
                <w:rStyle w:val="Style14"/>
                <w:rFonts w:cs="Times New Roman"/>
                <w:iCs/>
                <w:vanish w:val="false"/>
                <w:sz w:val="24"/>
                <w:szCs w:val="24"/>
              </w:rPr>
              <w:t>2.1.</w:t>
            </w:r>
            <w:r>
              <w:rPr>
                <w:rStyle w:val="Style14"/>
                <w:rFonts w:eastAsia="新細明體" w:cs="Times New Roman" w:eastAsiaTheme="minorEastAsia"/>
                <w:sz w:val="24"/>
                <w:szCs w:val="24"/>
              </w:rPr>
              <w:tab/>
            </w:r>
            <w:r>
              <w:rPr>
                <w:webHidden/>
              </w:rPr>
              <w:fldChar w:fldCharType="begin"/>
            </w:r>
            <w:r>
              <w:rPr>
                <w:webHidden/>
              </w:rPr>
              <w:instrText xml:space="preserve">PAGEREF _Toc54643703 \h</w:instrText>
            </w:r>
            <w:r>
              <w:rPr>
                <w:webHidden/>
              </w:rPr>
              <w:fldChar w:fldCharType="separate"/>
            </w:r>
            <w:r>
              <w:rPr>
                <w:rStyle w:val="Style14"/>
                <w:rFonts w:cs="Times New Roman"/>
                <w:sz w:val="24"/>
                <w:szCs w:val="24"/>
              </w:rPr>
              <w:t>Требования к объемам и срокам оказания услуг</w:t>
              <w:tab/>
              <w:t>4</w:t>
            </w:r>
            <w:r>
              <w:rPr>
                <w:webHidden/>
              </w:rPr>
              <w:fldChar w:fldCharType="end"/>
            </w:r>
          </w:hyperlink>
        </w:p>
        <w:p>
          <w:pPr>
            <w:pStyle w:val="TOC1"/>
            <w:tabs>
              <w:tab w:val="clear" w:pos="708"/>
              <w:tab w:val="right" w:pos="9911" w:leader="dot"/>
            </w:tabs>
            <w:rPr>
              <w:rFonts w:eastAsia="新細明體" w:cs="Times New Roman" w:eastAsiaTheme="minorEastAsia"/>
              <w:b w:val="false"/>
              <w:bCs w:val="false"/>
            </w:rPr>
          </w:pPr>
          <w:hyperlink w:anchor="_Toc54643705">
            <w:r>
              <w:rPr>
                <w:webHidden/>
              </w:rPr>
              <w:fldChar w:fldCharType="begin"/>
            </w:r>
            <w:r>
              <w:rPr>
                <w:webHidden/>
              </w:rPr>
              <w:instrText xml:space="preserve">PAGEREF _Toc54643705 \h</w:instrText>
            </w:r>
            <w:r>
              <w:rPr>
                <w:webHidden/>
              </w:rPr>
              <w:fldChar w:fldCharType="separate"/>
            </w:r>
            <w:r>
              <w:rPr>
                <w:webHidden/>
                <w:rStyle w:val="Style14"/>
                <w:rFonts w:cs="Times New Roman"/>
                <w:vanish w:val="false"/>
              </w:rPr>
              <w:t>Таблица 1. Перечень и объем оказываемых услуг. Требования к срокам оказания услуг</w:t>
              <w:tab/>
              <w:t>4</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0">
            <w:r>
              <w:rPr>
                <w:webHidden/>
                <w:rStyle w:val="Style14"/>
                <w:rFonts w:cs="Times New Roman"/>
                <w:vanish w:val="false"/>
              </w:rPr>
              <w:t>3.</w:t>
            </w:r>
            <w:r>
              <w:rPr>
                <w:rStyle w:val="Style14"/>
                <w:rFonts w:eastAsia="新細明體" w:cs="Times New Roman" w:eastAsiaTheme="minorEastAsia"/>
                <w:b w:val="false"/>
                <w:bCs w:val="false"/>
              </w:rPr>
              <w:tab/>
            </w:r>
            <w:r>
              <w:rPr>
                <w:webHidden/>
              </w:rPr>
              <w:fldChar w:fldCharType="begin"/>
            </w:r>
            <w:r>
              <w:rPr>
                <w:webHidden/>
              </w:rPr>
              <w:instrText xml:space="preserve">PAGEREF _Toc54643710 \h</w:instrText>
            </w:r>
            <w:r>
              <w:rPr>
                <w:webHidden/>
              </w:rPr>
              <w:fldChar w:fldCharType="separate"/>
            </w:r>
            <w:r>
              <w:rPr>
                <w:rStyle w:val="Style14"/>
                <w:rFonts w:cs="Times New Roman"/>
              </w:rPr>
              <w:t>Требования к участнику. Требования к документации по ценообразованию на этапе закупки</w:t>
              <w:tab/>
              <w:t>5</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1">
            <w:r>
              <w:rPr>
                <w:webHidden/>
                <w:rStyle w:val="Style14"/>
                <w:rFonts w:cs="Times New Roman"/>
                <w:vanish w:val="false"/>
              </w:rPr>
              <w:t>4.</w:t>
            </w:r>
            <w:r>
              <w:rPr>
                <w:rStyle w:val="Style14"/>
                <w:rFonts w:eastAsia="新細明體" w:cs="Times New Roman" w:eastAsiaTheme="minorEastAsia"/>
                <w:b w:val="false"/>
                <w:bCs w:val="false"/>
              </w:rPr>
              <w:tab/>
            </w:r>
            <w:r>
              <w:rPr>
                <w:rStyle w:val="Style14"/>
                <w:rFonts w:eastAsia="PMingLiU" w:cs="Times New Roman"/>
                <w:color w:val="000000"/>
              </w:rPr>
              <w:t>Характеристика перевозимого груза</w:t>
            </w:r>
            <w:r>
              <w:rPr>
                <w:rStyle w:val="Style14"/>
                <w:rFonts w:cs="Times New Roman"/>
              </w:rPr>
              <w:tab/>
            </w:r>
          </w:hyperlink>
          <w:r>
            <w:rPr>
              <w:rFonts w:cs="Times New Roman"/>
            </w:rPr>
            <w:t>7</w:t>
          </w:r>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2">
            <w:r>
              <w:rPr>
                <w:webHidden/>
                <w:rStyle w:val="Style14"/>
                <w:rFonts w:cs="Times New Roman"/>
                <w:vanish w:val="false"/>
              </w:rPr>
              <w:t>5.</w:t>
            </w:r>
            <w:r>
              <w:rPr>
                <w:rStyle w:val="Style14"/>
                <w:rFonts w:eastAsia="新細明體" w:cs="Times New Roman" w:eastAsiaTheme="minorEastAsia"/>
                <w:b w:val="false"/>
                <w:bCs w:val="false"/>
              </w:rPr>
              <w:tab/>
            </w:r>
            <w:r>
              <w:rPr>
                <w:rStyle w:val="Style14"/>
                <w:rFonts w:eastAsia="PMingLiU" w:cs="Times New Roman"/>
                <w:color w:val="000000"/>
              </w:rPr>
              <w:t>Требования к Исполнителю оказания услуг</w:t>
            </w:r>
            <w:r>
              <w:rPr>
                <w:webHidden/>
              </w:rPr>
              <w:fldChar w:fldCharType="begin"/>
            </w:r>
            <w:r>
              <w:rPr>
                <w:webHidden/>
              </w:rPr>
              <w:instrText xml:space="preserve">PAGEREF _Toc54643712 \h</w:instrText>
            </w:r>
            <w:r>
              <w:rPr>
                <w:webHidden/>
              </w:rPr>
              <w:fldChar w:fldCharType="separate"/>
            </w:r>
            <w:r>
              <w:rPr>
                <w:rStyle w:val="Style14"/>
                <w:rFonts w:cs="Times New Roman"/>
              </w:rPr>
              <w:tab/>
              <w:t>7</w:t>
            </w:r>
            <w:r>
              <w:rPr>
                <w:webHidden/>
              </w:rPr>
              <w:fldChar w:fldCharType="end"/>
            </w:r>
          </w:hyperlink>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eastAsia="新細明體" w:eastAsiaTheme="minorEastAsia"/>
              <w:sz w:val="24"/>
              <w:szCs w:val="24"/>
            </w:rPr>
          </w:pPr>
          <w:r>
            <w:rPr>
              <w:sz w:val="24"/>
              <w:szCs w:val="24"/>
            </w:rPr>
            <w:t xml:space="preserve">6.  </w:t>
          </w:r>
          <w:r>
            <w:rPr>
              <w:b/>
              <w:bCs/>
              <w:color w:val="000000"/>
              <w:sz w:val="24"/>
              <w:szCs w:val="24"/>
            </w:rPr>
            <w:t>Требования к безопасности при оказании услуги………………………………………7-8</w:t>
          </w:r>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ascii="Calibri" w:hAnsi="Calibri" w:eastAsia="新細明體" w:cs="Arial" w:asciiTheme="minorHAnsi" w:cstheme="minorBidi" w:eastAsiaTheme="minorEastAsia" w:hAnsiTheme="minorHAnsi"/>
            </w:rPr>
          </w:pPr>
          <w:r>
            <w:rPr>
              <w:b/>
              <w:bCs/>
              <w:color w:val="000000"/>
              <w:sz w:val="24"/>
              <w:szCs w:val="24"/>
            </w:rPr>
            <w:t>7.   Требования к гарантийному сроку и (или) объему предоставления гарантий качества услуги…………………………………………………………………………………………………8</w:t>
          </w:r>
          <w:r>
            <w:rPr>
              <w:sz w:val="24"/>
              <w:b/>
              <w:szCs w:val="24"/>
              <w:bCs/>
              <w:color w:val="000000"/>
            </w:rPr>
            <w:fldChar w:fldCharType="end"/>
          </w:r>
        </w:p>
      </w:sdtContent>
    </w:sdt>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54643695"/>
      <w:bookmarkStart w:id="2" w:name="_Toc46743505"/>
      <w:r>
        <w:rPr/>
        <w:t>Обозначения и сокращения</w:t>
      </w:r>
      <w:bookmarkEnd w:id="1"/>
      <w:bookmarkEnd w:id="2"/>
    </w:p>
    <w:p>
      <w:pPr>
        <w:pStyle w:val="Normal"/>
        <w:rPr>
          <w:lang w:val="x-none" w:eastAsia="x-none"/>
        </w:rPr>
      </w:pPr>
      <w:r>
        <w:rPr>
          <w:lang w:val="x-none" w:eastAsia="x-none"/>
        </w:rPr>
      </w:r>
    </w:p>
    <w:tbl>
      <w:tblPr>
        <w:tblW w:w="1013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85"/>
        <w:gridCol w:w="8046"/>
      </w:tblGrid>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Город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п.</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Поселок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Ед. изм.</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Единица измерения</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Тн.</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Тонн</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Год</w:t>
            </w:r>
          </w:p>
        </w:tc>
      </w:tr>
      <w:tr>
        <w:trPr>
          <w:trHeight w:val="539" w:hRule="atLeast"/>
          <w:cantSplit w:val="true"/>
        </w:trPr>
        <w:tc>
          <w:tcPr>
            <w:tcW w:w="2085" w:type="dxa"/>
            <w:tcBorders>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ПБ</w:t>
            </w:r>
          </w:p>
        </w:tc>
        <w:tc>
          <w:tcPr>
            <w:tcW w:w="8046" w:type="dxa"/>
            <w:tcBorders>
              <w:left w:val="single" w:sz="4" w:space="0" w:color="000000"/>
              <w:bottom w:val="single" w:sz="4" w:space="0" w:color="000000"/>
              <w:right w:val="single" w:sz="4" w:space="0" w:color="000000"/>
            </w:tcBorders>
            <w:vAlign w:val="center"/>
          </w:tcPr>
          <w:p>
            <w:pPr>
              <w:pStyle w:val="Normal"/>
              <w:widowControl w:val="false"/>
              <w:jc w:val="both"/>
              <w:rPr>
                <w:sz w:val="24"/>
                <w:lang w:val="x-none" w:eastAsia="x-none"/>
              </w:rPr>
            </w:pPr>
            <w:r>
              <w:rPr>
                <w:sz w:val="24"/>
                <w:szCs w:val="24"/>
                <w:lang w:eastAsia="x-none"/>
              </w:rPr>
              <w:t>Производственная база АО «Сахаэнерго»</w:t>
            </w:r>
          </w:p>
        </w:tc>
      </w:tr>
    </w:tbl>
    <w:p>
      <w:pPr>
        <w:pStyle w:val="Normal"/>
        <w:keepNext w:val="true"/>
        <w:keepLines/>
        <w:rPr>
          <w:sz w:val="24"/>
          <w:szCs w:val="24"/>
        </w:rPr>
      </w:pPr>
      <w:r>
        <w:rPr>
          <w:sz w:val="24"/>
          <w:szCs w:val="24"/>
        </w:rPr>
      </w:r>
    </w:p>
    <w:p>
      <w:pPr>
        <w:pStyle w:val="Heading4"/>
        <w:numPr>
          <w:ilvl w:val="1"/>
          <w:numId w:val="3"/>
        </w:numPr>
        <w:rPr/>
      </w:pPr>
      <w:bookmarkStart w:id="3" w:name="_Toc54643696"/>
      <w:r>
        <w:rPr/>
        <w:t>Наименование закупаемой продукции</w:t>
      </w:r>
      <w:bookmarkEnd w:id="3"/>
    </w:p>
    <w:p>
      <w:pPr>
        <w:pStyle w:val="Normal"/>
        <w:widowControl w:val="false"/>
        <w:tabs>
          <w:tab w:val="clear" w:pos="708"/>
          <w:tab w:val="left" w:pos="426" w:leader="none"/>
        </w:tabs>
        <w:spacing w:before="120" w:after="120"/>
        <w:jc w:val="both"/>
        <w:rPr>
          <w:sz w:val="24"/>
          <w:szCs w:val="24"/>
        </w:rPr>
      </w:pPr>
      <w:r>
        <w:rPr>
          <w:rFonts w:eastAsia="Calibri"/>
          <w:sz w:val="24"/>
          <w:szCs w:val="24"/>
          <w:lang w:eastAsia="x-none"/>
        </w:rPr>
        <w:t>Автоперевозка обратного груза для нужд АО «Сахаэнерго»</w:t>
      </w:r>
      <w:bookmarkStart w:id="4" w:name="_Toc46743507"/>
      <w:r>
        <w:rPr>
          <w:rFonts w:eastAsia="Calibri"/>
          <w:sz w:val="24"/>
          <w:szCs w:val="24"/>
          <w:lang w:eastAsia="x-none"/>
        </w:rPr>
        <w:t>.</w:t>
      </w:r>
    </w:p>
    <w:p>
      <w:pPr>
        <w:pStyle w:val="Heading4"/>
        <w:numPr>
          <w:ilvl w:val="1"/>
          <w:numId w:val="3"/>
        </w:numPr>
        <w:spacing w:before="240" w:after="60"/>
        <w:ind w:left="431" w:hanging="431"/>
        <w:rPr/>
      </w:pPr>
      <w:bookmarkStart w:id="5" w:name="_Toc54643697"/>
      <w:r>
        <w:rPr/>
        <w:t xml:space="preserve">Цель </w:t>
      </w:r>
      <w:bookmarkEnd w:id="4"/>
      <w:r>
        <w:rPr>
          <w:lang w:val="ru-RU"/>
        </w:rPr>
        <w:t>оказания услуг</w:t>
      </w:r>
      <w:r>
        <w:rPr/>
        <w:t xml:space="preserve"> </w:t>
      </w:r>
      <w:bookmarkEnd w:id="5"/>
    </w:p>
    <w:p>
      <w:pPr>
        <w:pStyle w:val="Normal"/>
        <w:jc w:val="both"/>
        <w:rPr>
          <w:sz w:val="24"/>
          <w:lang w:val="x-none" w:eastAsia="x-none"/>
        </w:rPr>
      </w:pPr>
      <w:r>
        <w:rPr>
          <w:sz w:val="24"/>
          <w:lang w:eastAsia="x-none"/>
        </w:rPr>
        <w:t xml:space="preserve">Выполнение перевозки обратного груза автотранспортом с Белогорского, </w:t>
      </w:r>
      <w:r>
        <w:rPr>
          <w:sz w:val="24"/>
          <w:lang w:eastAsia="x-none"/>
        </w:rPr>
        <w:t>Момского,</w:t>
      </w:r>
      <w:r>
        <w:rPr>
          <w:sz w:val="24"/>
          <w:lang w:eastAsia="x-none"/>
        </w:rPr>
        <w:t xml:space="preserve"> Чокурдахского РЭС АО «Сахаэнерго». Перевозка осуществляется согласно заявки отправителя.</w:t>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Heading1"/>
        <w:keepLines/>
        <w:numPr>
          <w:ilvl w:val="0"/>
          <w:numId w:val="3"/>
        </w:numPr>
        <w:ind w:left="357" w:hanging="357"/>
        <w:jc w:val="center"/>
        <w:rPr>
          <w:iCs/>
          <w:caps/>
          <w:lang w:val="ru-RU"/>
        </w:rPr>
      </w:pPr>
      <w:bookmarkStart w:id="6" w:name="_Toc54643702"/>
      <w:bookmarkStart w:id="7" w:name="_Toc51339693"/>
      <w:bookmarkStart w:id="8" w:name="_Toc46743510"/>
      <w:bookmarkStart w:id="9" w:name="_Toc50125126"/>
      <w:bookmarkEnd w:id="8"/>
      <w:bookmarkEnd w:id="9"/>
      <w:r>
        <w:rPr>
          <w:iCs/>
          <w:lang w:val="ru-RU"/>
        </w:rPr>
        <w:t>Требования</w:t>
      </w:r>
      <w:r>
        <w:rPr>
          <w:iCs/>
        </w:rPr>
        <w:t xml:space="preserve"> к продукции</w:t>
      </w:r>
      <w:bookmarkEnd w:id="6"/>
      <w:bookmarkEnd w:id="7"/>
    </w:p>
    <w:p>
      <w:pPr>
        <w:pStyle w:val="Heading4"/>
        <w:numPr>
          <w:ilvl w:val="1"/>
          <w:numId w:val="3"/>
        </w:numPr>
        <w:rPr/>
      </w:pPr>
      <w:bookmarkStart w:id="10" w:name="_Toc54643703"/>
      <w:r>
        <w:rPr/>
        <w:t xml:space="preserve">Требования к объемам и срокам </w:t>
      </w:r>
      <w:r>
        <w:rPr>
          <w:lang w:val="ru-RU"/>
        </w:rPr>
        <w:t>оказания услуг</w:t>
      </w:r>
      <w:bookmarkEnd w:id="10"/>
    </w:p>
    <w:p>
      <w:pPr>
        <w:pStyle w:val="Normal"/>
        <w:keepNext w:val="true"/>
        <w:numPr>
          <w:ilvl w:val="0"/>
          <w:numId w:val="0"/>
        </w:numPr>
        <w:spacing w:before="120" w:after="60"/>
        <w:ind w:left="0" w:hanging="0"/>
        <w:outlineLvl w:val="2"/>
        <w:rPr>
          <w:rFonts w:eastAsia="Calibri"/>
          <w:b/>
          <w:sz w:val="24"/>
          <w:szCs w:val="24"/>
          <w:lang w:eastAsia="x-none"/>
        </w:rPr>
      </w:pPr>
      <w:bookmarkStart w:id="11" w:name="_Toc54643705"/>
      <w:bookmarkStart w:id="12" w:name="_Toc51339695"/>
      <w:r>
        <w:rPr>
          <w:rFonts w:eastAsia="Calibri"/>
          <w:b/>
          <w:sz w:val="24"/>
          <w:szCs w:val="24"/>
          <w:lang w:eastAsia="x-none"/>
        </w:rPr>
        <w:t xml:space="preserve">Таблица 1. Перечень </w:t>
      </w:r>
      <w:bookmarkEnd w:id="12"/>
      <w:r>
        <w:rPr>
          <w:rFonts w:eastAsia="Calibri"/>
          <w:b/>
          <w:sz w:val="24"/>
          <w:szCs w:val="24"/>
          <w:lang w:eastAsia="x-none"/>
        </w:rPr>
        <w:t>и объем оказываемых услуг</w:t>
      </w:r>
      <w:bookmarkEnd w:id="11"/>
      <w:r>
        <w:rPr>
          <w:rFonts w:eastAsia="Calibri"/>
          <w:b/>
          <w:sz w:val="24"/>
          <w:szCs w:val="24"/>
          <w:lang w:eastAsia="x-none"/>
        </w:rPr>
        <w:t>. Требования к срокам оказания услуг</w:t>
      </w:r>
    </w:p>
    <w:tbl>
      <w:tblPr>
        <w:tblW w:w="1063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462"/>
        <w:gridCol w:w="2133"/>
        <w:gridCol w:w="1615"/>
        <w:gridCol w:w="1908"/>
        <w:gridCol w:w="1911"/>
        <w:gridCol w:w="1214"/>
        <w:gridCol w:w="1388"/>
      </w:tblGrid>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2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Наименование услуг</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Количество,</w:t>
            </w:r>
          </w:p>
          <w:p>
            <w:pPr>
              <w:pStyle w:val="Normal"/>
              <w:widowControl w:val="false"/>
              <w:jc w:val="center"/>
              <w:rPr>
                <w:sz w:val="22"/>
                <w:szCs w:val="22"/>
                <w:lang w:val="en-US"/>
              </w:rPr>
            </w:pPr>
            <w:r>
              <w:rPr>
                <w:sz w:val="22"/>
                <w:szCs w:val="22"/>
              </w:rPr>
              <w:t>тн.</w:t>
            </w:r>
          </w:p>
        </w:tc>
        <w:tc>
          <w:tcPr>
            <w:tcW w:w="1908"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Адрес пункта загрузки</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Адрес пункта доставки</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началу срока доставки</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 xml:space="preserve">Требования к окончанию срока доставки </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1</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2</w:t>
            </w:r>
          </w:p>
        </w:tc>
        <w:tc>
          <w:tcPr>
            <w:tcW w:w="1615"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lang w:val="en-US"/>
              </w:rPr>
            </w:pPr>
            <w:r>
              <w:rPr>
                <w:b/>
                <w:szCs w:val="22"/>
                <w:lang w:val="en-US"/>
              </w:rPr>
              <w:t>3</w:t>
            </w:r>
          </w:p>
        </w:tc>
        <w:tc>
          <w:tcPr>
            <w:tcW w:w="1908"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rPr>
            </w:pPr>
            <w:r>
              <w:rPr>
                <w:b/>
                <w:szCs w:val="22"/>
              </w:rPr>
              <w:t>4</w:t>
            </w:r>
          </w:p>
        </w:tc>
        <w:tc>
          <w:tcPr>
            <w:tcW w:w="1911"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5</w:t>
            </w:r>
          </w:p>
        </w:tc>
        <w:tc>
          <w:tcPr>
            <w:tcW w:w="1214"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6</w:t>
            </w:r>
          </w:p>
        </w:tc>
        <w:tc>
          <w:tcPr>
            <w:tcW w:w="138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7</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jc w:val="right"/>
              <w:rPr>
                <w:sz w:val="22"/>
                <w:szCs w:val="22"/>
              </w:rPr>
            </w:pPr>
            <w:r>
              <w:rPr>
                <w:sz w:val="22"/>
                <w:szCs w:val="22"/>
              </w:rPr>
            </w:r>
          </w:p>
        </w:tc>
        <w:tc>
          <w:tcPr>
            <w:tcW w:w="2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szCs w:val="22"/>
              </w:rPr>
            </w:pPr>
            <w:r>
              <w:rPr>
                <w:sz w:val="22"/>
                <w:szCs w:val="22"/>
              </w:rPr>
              <w:t xml:space="preserve">Оказание услуг по перевозке автомобильным видом транспорта обратного груза с Белогорского, </w:t>
            </w:r>
            <w:r>
              <w:rPr>
                <w:sz w:val="22"/>
                <w:szCs w:val="22"/>
              </w:rPr>
              <w:t>Момского,</w:t>
            </w:r>
            <w:r>
              <w:rPr>
                <w:sz w:val="22"/>
                <w:szCs w:val="22"/>
              </w:rPr>
              <w:t xml:space="preserve"> Чокурдахского РЭС «Сахаэнерго»</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2"/>
                <w:szCs w:val="22"/>
              </w:rPr>
            </w:pPr>
            <w:r>
              <w:rPr>
                <w:color w:val="000000"/>
                <w:sz w:val="22"/>
                <w:szCs w:val="22"/>
              </w:rPr>
              <w:t>1</w:t>
            </w:r>
            <w:r>
              <w:rPr>
                <w:color w:val="000000"/>
                <w:sz w:val="22"/>
                <w:szCs w:val="22"/>
              </w:rPr>
              <w:t>65</w:t>
            </w:r>
            <w:r>
              <w:rPr>
                <w:color w:val="000000"/>
                <w:sz w:val="22"/>
                <w:szCs w:val="22"/>
              </w:rPr>
              <w:t>,00</w:t>
            </w:r>
          </w:p>
        </w:tc>
        <w:tc>
          <w:tcPr>
            <w:tcW w:w="1908" w:type="dxa"/>
            <w:tcBorders>
              <w:top w:val="single" w:sz="4" w:space="0" w:color="000000"/>
              <w:left w:val="single" w:sz="4" w:space="0" w:color="000000"/>
              <w:bottom w:val="single" w:sz="4" w:space="0" w:color="000000"/>
            </w:tcBorders>
            <w:vAlign w:val="center"/>
          </w:tcPr>
          <w:p>
            <w:pPr>
              <w:pStyle w:val="Normal"/>
              <w:widowControl w:val="false"/>
              <w:rPr>
                <w:color w:val="000000"/>
                <w:sz w:val="22"/>
                <w:szCs w:val="22"/>
              </w:rPr>
            </w:pPr>
            <w:r>
              <w:rPr>
                <w:color w:val="000000"/>
                <w:sz w:val="22"/>
                <w:szCs w:val="22"/>
              </w:rPr>
              <w:t>По заявке Заказчика</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2"/>
                <w:szCs w:val="22"/>
              </w:rPr>
            </w:pPr>
            <w:r>
              <w:rPr>
                <w:color w:val="000000"/>
                <w:sz w:val="22"/>
                <w:szCs w:val="22"/>
              </w:rPr>
              <w:t>г.Якутск, ПБ АО «Сахаэнерго, ул.Беринга, 42</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с момента заключения договора</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30.04.2027</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r>
        <w:br w:type="page"/>
      </w:r>
    </w:p>
    <w:p>
      <w:pPr>
        <w:pStyle w:val="Heading1"/>
        <w:keepLines/>
        <w:numPr>
          <w:ilvl w:val="0"/>
          <w:numId w:val="3"/>
        </w:numPr>
        <w:ind w:left="357" w:hanging="357"/>
        <w:jc w:val="center"/>
        <w:rPr>
          <w:sz w:val="24"/>
          <w:szCs w:val="24"/>
        </w:rPr>
      </w:pPr>
      <w:bookmarkStart w:id="13" w:name="_Toc54643710"/>
      <w:bookmarkStart w:id="14" w:name="_Toc53395937"/>
      <w:bookmarkStart w:id="15" w:name="_Toc53393312"/>
      <w:bookmarkStart w:id="16" w:name="_Toc5012513111"/>
      <w:bookmarkStart w:id="17" w:name="_Toc51339699"/>
      <w:bookmarkStart w:id="18" w:name="_Toc46743519"/>
      <w:bookmarkStart w:id="19" w:name="_Toc4674351011"/>
      <w:bookmarkStart w:id="20" w:name="_Toc5012512611"/>
      <w:bookmarkStart w:id="21" w:name="_Toc501251311"/>
      <w:bookmarkEnd w:id="16"/>
      <w:bookmarkEnd w:id="17"/>
      <w:bookmarkEnd w:id="18"/>
      <w:bookmarkEnd w:id="19"/>
      <w:bookmarkEnd w:id="20"/>
      <w:bookmarkEnd w:id="21"/>
      <w:r>
        <w:rPr/>
        <w:t xml:space="preserve">Требования к </w:t>
      </w:r>
      <w:r>
        <w:rPr>
          <w:lang w:val="ru-RU"/>
        </w:rPr>
        <w:t>У</w:t>
      </w:r>
      <w:r>
        <w:rPr/>
        <w:t>частник</w:t>
      </w:r>
      <w:bookmarkEnd w:id="13"/>
      <w:bookmarkEnd w:id="14"/>
      <w:bookmarkEnd w:id="15"/>
      <w:r>
        <w:rPr/>
        <w:t>ам закупки</w:t>
      </w:r>
    </w:p>
    <w:p>
      <w:pPr>
        <w:pStyle w:val="Normal"/>
        <w:rPr>
          <w:lang w:val="x-none" w:eastAsia="x-none"/>
        </w:rPr>
      </w:pPr>
      <w:r>
        <w:rPr>
          <w:lang w:val="x-none" w:eastAsia="x-none"/>
        </w:rPr>
      </w:r>
    </w:p>
    <w:tbl>
      <w:tblPr>
        <w:tblW w:w="1470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8"/>
        <w:gridCol w:w="7513"/>
        <w:gridCol w:w="6479"/>
      </w:tblGrid>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sz w:val="24"/>
                <w:szCs w:val="24"/>
              </w:rPr>
            </w:pPr>
            <w:r>
              <w:rPr>
                <w:sz w:val="24"/>
                <w:szCs w:val="24"/>
              </w:rPr>
              <w:t xml:space="preserve">№ </w:t>
            </w:r>
            <w:r>
              <w:rPr>
                <w:sz w:val="24"/>
                <w:szCs w:val="24"/>
              </w:rPr>
              <w:t>п/п</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Наименование требования</w:t>
            </w:r>
          </w:p>
        </w:tc>
        <w:tc>
          <w:tcPr>
            <w:tcW w:w="647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Требования к документам, подтверждающим соответствие Участника установленным требованиям</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center"/>
              <w:rPr>
                <w:sz w:val="24"/>
                <w:szCs w:val="24"/>
              </w:rPr>
            </w:pPr>
            <w:r>
              <w:rPr>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rStyle w:val="Style8"/>
                <w:b w:val="false"/>
                <w:i w:val="false"/>
                <w:i w:val="false"/>
                <w:sz w:val="24"/>
                <w:szCs w:val="24"/>
              </w:rPr>
            </w:pPr>
            <w:r>
              <w:rPr>
                <w:sz w:val="24"/>
                <w:szCs w:val="24"/>
              </w:rPr>
              <w:t>Наличие у Участника опыта выполнения договоров (не менее одного) перевозки грузов технического назначения в Республике Саха (Якутия) по Арктическим районам за последние 3 (три) года, предшествующие дате подачи заявок Участников на участие в настоящей закупочной процедуре. При этом учитываются только выполненные Участником договоры.</w:t>
            </w:r>
          </w:p>
          <w:p>
            <w:pPr>
              <w:pStyle w:val="Normal"/>
              <w:widowControl w:val="false"/>
              <w:tabs>
                <w:tab w:val="clear" w:pos="708"/>
                <w:tab w:val="left" w:pos="426" w:leader="none"/>
              </w:tabs>
              <w:spacing w:before="120" w:after="120"/>
              <w:jc w:val="both"/>
              <w:rPr>
                <w:i/>
                <w:i/>
                <w:iCs/>
                <w:sz w:val="24"/>
                <w:szCs w:val="24"/>
                <w:shd w:fill="FFFF99" w:val="clear"/>
              </w:rPr>
            </w:pPr>
            <w:r>
              <w:rPr>
                <w:i/>
                <w:iCs/>
                <w:sz w:val="24"/>
                <w:szCs w:val="24"/>
                <w:shd w:fill="FFFF99" w:val="clear"/>
              </w:rPr>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ind w:left="28" w:hanging="0"/>
              <w:jc w:val="both"/>
              <w:rPr>
                <w:highlight w:val="none"/>
                <w:shd w:fill="auto" w:val="clear"/>
              </w:rPr>
            </w:pPr>
            <w:r>
              <w:rPr>
                <w:rFonts w:eastAsia="Calibri"/>
                <w:iCs/>
                <w:sz w:val="24"/>
                <w:szCs w:val="24"/>
                <w:shd w:fill="auto" w:val="clear"/>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ind w:left="28" w:hanging="0"/>
              <w:jc w:val="both"/>
              <w:rPr>
                <w:highlight w:val="none"/>
                <w:shd w:fill="auto" w:val="clear"/>
              </w:rPr>
            </w:pPr>
            <w:r>
              <w:rPr>
                <w:rFonts w:eastAsia="Calibri"/>
                <w:iCs/>
                <w:sz w:val="24"/>
                <w:szCs w:val="24"/>
                <w:shd w:fill="auto" w:val="clear"/>
              </w:rPr>
              <w:t>- копии договоров по перевозке каменного угля в районах Крайнего Севера,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к договору,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сдачи-приемки работ/услуг (иных документов, оформляющих, в соответствии с условиями договора, факт выполнения работ/оказания услуг), подписанных с обеих сторон, свидетельствующих о выполнении работ/услуг в рамках каждого предоставленного договора;</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Normal"/>
              <w:widowControl w:val="false"/>
              <w:ind w:left="28" w:hanging="0"/>
              <w:jc w:val="both"/>
              <w:rPr>
                <w:highlight w:val="none"/>
                <w:shd w:fill="auto" w:val="clear"/>
              </w:rPr>
            </w:pPr>
            <w:r>
              <w:rPr>
                <w:rFonts w:eastAsia="Calibri"/>
                <w:bCs/>
                <w:iCs/>
                <w:sz w:val="24"/>
                <w:szCs w:val="24"/>
                <w:shd w:fill="auto" w:val="clear"/>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bookmarkStart w:id="22" w:name="_GoBack"/>
            <w:bookmarkEnd w:id="22"/>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sz w:val="24"/>
                <w:szCs w:val="24"/>
              </w:rPr>
            </w:pPr>
            <w:r>
              <w:rPr>
                <w:sz w:val="24"/>
                <w:szCs w:val="24"/>
              </w:rPr>
              <w:t xml:space="preserve">Наличие транспортных средств с учетом выполнения перевозки по сезонным автомобильным дорогам по Республике Саха (Якутия). Необходимое наличие техники не менее </w:t>
            </w:r>
            <w:r>
              <w:rPr>
                <w:sz w:val="24"/>
                <w:szCs w:val="24"/>
              </w:rPr>
              <w:t>7</w:t>
            </w:r>
            <w:r>
              <w:rPr>
                <w:sz w:val="24"/>
                <w:szCs w:val="24"/>
              </w:rPr>
              <w:t xml:space="preserve"> единиц тягач с ППР с длиной борта не менее 12м., с повышенной проходимостью (шасси 6х6), с суммарной грузоподъемностью 1</w:t>
            </w:r>
            <w:r>
              <w:rPr>
                <w:sz w:val="24"/>
                <w:szCs w:val="24"/>
              </w:rPr>
              <w:t>65</w:t>
            </w:r>
            <w:r>
              <w:rPr>
                <w:sz w:val="24"/>
                <w:szCs w:val="24"/>
              </w:rPr>
              <w:t>,00тн. (нетто). Транспортные средства должны принадлежать Участнику на праве собственности, аренды или ином законном праве владения, с учетом допустимых масс.</w:t>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ind w:left="28" w:hanging="0"/>
              <w:jc w:val="both"/>
              <w:rPr>
                <w:rFonts w:eastAsia="Calibri"/>
                <w:b/>
                <w:sz w:val="24"/>
                <w:szCs w:val="24"/>
                <w:lang w:eastAsia="x-none"/>
              </w:rPr>
            </w:pPr>
            <w:r>
              <w:rPr>
                <w:rFonts w:eastAsia="Calibri"/>
                <w:iCs/>
                <w:sz w:val="24"/>
                <w:szCs w:val="24"/>
              </w:rPr>
              <w:t>Участник подтверждает соответствие установленному требованию путем представления в составе заявки документов, подтверждающих наличие техники, находящейся у Участника на праве собственности, либо договоров аренды или ином законном праве владения (копии документов, устанавливающих право собственности на транспортные средства, договора аренды, договора оказания услуг, договора лизинга или иные документы, подтверждающие право владения/распоряжения</w:t>
            </w:r>
            <w:r>
              <w:rPr>
                <w:rFonts w:eastAsia="Calibri"/>
                <w:b/>
                <w:iCs/>
                <w:sz w:val="24"/>
                <w:szCs w:val="24"/>
                <w:lang w:eastAsia="x-none"/>
              </w:rPr>
              <w:t>.</w:t>
            </w:r>
          </w:p>
          <w:p>
            <w:pPr>
              <w:pStyle w:val="Normal"/>
              <w:widowControl w:val="false"/>
              <w:spacing w:before="0" w:after="60"/>
              <w:ind w:left="28" w:hanging="0"/>
              <w:jc w:val="both"/>
              <w:rPr>
                <w:rFonts w:eastAsia="Calibri"/>
                <w:iCs/>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r>
        <w:trPr/>
        <w:tc>
          <w:tcPr>
            <w:tcW w:w="708"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3.</w:t>
            </w:r>
          </w:p>
        </w:tc>
        <w:tc>
          <w:tcPr>
            <w:tcW w:w="7513"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13" w:hanging="0"/>
              <w:jc w:val="both"/>
              <w:textAlignment w:val="baseline"/>
              <w:rPr>
                <w:sz w:val="24"/>
                <w:szCs w:val="24"/>
              </w:rPr>
            </w:pPr>
            <w:r>
              <w:rPr>
                <w:color w:val="000000"/>
                <w:sz w:val="24"/>
                <w:szCs w:val="24"/>
              </w:rPr>
              <w:t>Участник также</w:t>
            </w:r>
            <w:r>
              <w:rPr>
                <w:bCs/>
                <w:sz w:val="24"/>
                <w:szCs w:val="24"/>
              </w:rPr>
              <w:t xml:space="preserve"> должен иметь экипаж по направлениям, имеющий профессиональную квалификацию и право управления данным транспортным средством.</w:t>
            </w:r>
          </w:p>
        </w:tc>
        <w:tc>
          <w:tcPr>
            <w:tcW w:w="6479"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70" w:hanging="0"/>
              <w:jc w:val="both"/>
              <w:textAlignment w:val="baseline"/>
              <w:rPr>
                <w:rFonts w:eastAsia="Calibri"/>
                <w:iCs/>
                <w:sz w:val="24"/>
                <w:szCs w:val="24"/>
              </w:rPr>
            </w:pPr>
            <w:r>
              <w:rPr>
                <w:rFonts w:eastAsia="Calibri"/>
                <w:iCs/>
                <w:sz w:val="24"/>
                <w:szCs w:val="24"/>
              </w:rPr>
              <w:t xml:space="preserve">Соответствие установленному требованию подтверждается путем представления Участником закупки в составе заявки заполненной формы «Справка о кадровых ресурсах», приведенной в Документации о закупке, </w:t>
            </w:r>
            <w:r>
              <w:rPr>
                <w:rFonts w:eastAsia="Calibri"/>
                <w:bCs/>
                <w:iCs/>
                <w:sz w:val="24"/>
                <w:szCs w:val="24"/>
              </w:rPr>
              <w:t>с обязательным приложением</w:t>
            </w:r>
            <w:r>
              <w:rPr>
                <w:rFonts w:eastAsia="Calibri" w:eastAsiaTheme="minorHAnsi"/>
                <w:iCs/>
                <w:sz w:val="24"/>
                <w:szCs w:val="24"/>
                <w:lang w:eastAsia="en-US"/>
              </w:rPr>
              <w:t xml:space="preserve"> копий </w:t>
            </w:r>
            <w:r>
              <w:rPr>
                <w:rFonts w:eastAsia="Calibri"/>
                <w:iCs/>
                <w:sz w:val="24"/>
                <w:szCs w:val="24"/>
              </w:rPr>
              <w:t>водительских удостоверений водителей. С</w:t>
            </w:r>
            <w:r>
              <w:rPr>
                <w:rFonts w:eastAsia="Calibri" w:eastAsiaTheme="minorHAnsi"/>
                <w:iCs/>
                <w:sz w:val="24"/>
                <w:szCs w:val="24"/>
                <w:lang w:eastAsia="en-US"/>
              </w:rPr>
              <w:t>таж работы водителей должен быть не менее 1 (одного) года по открытой водительской категории</w:t>
            </w:r>
            <w:r>
              <w:rPr>
                <w:rFonts w:eastAsia="Calibri"/>
                <w:iCs/>
                <w:sz w:val="24"/>
                <w:szCs w:val="24"/>
              </w:rPr>
              <w:t>.</w:t>
            </w:r>
          </w:p>
          <w:p>
            <w:pPr>
              <w:pStyle w:val="Normal"/>
              <w:widowControl w:val="false"/>
              <w:shd w:val="clear" w:color="auto" w:fill="FFFFFF"/>
              <w:spacing w:before="60" w:after="0"/>
              <w:ind w:left="170" w:hanging="0"/>
              <w:jc w:val="both"/>
              <w:textAlignment w:val="baseline"/>
              <w:rPr>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bl>
    <w:p>
      <w:pPr>
        <w:sectPr>
          <w:headerReference w:type="default" r:id="rId5"/>
          <w:headerReference w:type="first" r:id="rId6"/>
          <w:type w:val="nextPage"/>
          <w:pgSz w:orient="landscape" w:w="16838" w:h="11906"/>
          <w:pgMar w:left="992" w:right="1134" w:gutter="0" w:header="680" w:top="1134" w:footer="0" w:bottom="851"/>
          <w:pgNumType w:fmt="decimal"/>
          <w:formProt w:val="false"/>
          <w:titlePg/>
          <w:textDirection w:val="lrTb"/>
          <w:docGrid w:type="default" w:linePitch="381" w:charSpace="0"/>
        </w:sectPr>
      </w:pPr>
    </w:p>
    <w:p>
      <w:pPr>
        <w:pStyle w:val="ListParagraph"/>
        <w:numPr>
          <w:ilvl w:val="0"/>
          <w:numId w:val="3"/>
        </w:numPr>
        <w:shd w:val="clear" w:color="auto" w:fill="FFFFFF"/>
        <w:ind w:left="283" w:hanging="0"/>
        <w:textAlignment w:val="baseline"/>
        <w:rPr>
          <w:sz w:val="28"/>
          <w:szCs w:val="28"/>
        </w:rPr>
      </w:pPr>
      <w:r>
        <w:rPr>
          <w:b/>
          <w:bCs/>
          <w:color w:val="000000"/>
          <w:sz w:val="28"/>
          <w:szCs w:val="28"/>
        </w:rPr>
        <w:t>Характеристика перевозимого груза</w:t>
      </w:r>
      <w:r>
        <w:rPr>
          <w:color w:val="000000"/>
          <w:sz w:val="28"/>
          <w:szCs w:val="28"/>
        </w:rPr>
        <w:t>:</w:t>
      </w:r>
    </w:p>
    <w:p>
      <w:pPr>
        <w:pStyle w:val="ListParagraph"/>
        <w:numPr>
          <w:ilvl w:val="1"/>
          <w:numId w:val="3"/>
        </w:numPr>
        <w:shd w:val="clear" w:color="auto" w:fill="FFFFFF"/>
        <w:ind w:left="1134" w:hanging="567"/>
        <w:jc w:val="both"/>
        <w:textAlignment w:val="baseline"/>
        <w:rPr/>
      </w:pPr>
      <w:r>
        <w:rPr>
          <w:color w:val="000000"/>
        </w:rPr>
        <w:t>Отработанное масло, металлолом, отходы, контейнера, ТМЦ.</w:t>
      </w:r>
    </w:p>
    <w:p>
      <w:pPr>
        <w:pStyle w:val="ListParagraph"/>
        <w:shd w:val="clear" w:color="auto" w:fill="FFFFFF"/>
        <w:ind w:left="567" w:hanging="0"/>
        <w:textAlignment w:val="baseline"/>
        <w:rPr/>
      </w:pPr>
      <w:r>
        <w:rPr>
          <w:color w:val="000000"/>
        </w:rPr>
        <w:t>4.2.      Общий вес груза 1</w:t>
      </w:r>
      <w:r>
        <w:rPr>
          <w:color w:val="000000"/>
        </w:rPr>
        <w:t>65</w:t>
      </w:r>
      <w:r>
        <w:rPr>
          <w:color w:val="000000"/>
        </w:rPr>
        <w:t>,00тн.</w:t>
      </w:r>
    </w:p>
    <w:p>
      <w:pPr>
        <w:pStyle w:val="Normal"/>
        <w:shd w:val="clear" w:color="auto" w:fill="FFFFFF"/>
        <w:ind w:left="283" w:hanging="0"/>
        <w:jc w:val="both"/>
        <w:textAlignment w:val="baseline"/>
        <w:rPr>
          <w:b/>
          <w:bCs/>
          <w:i/>
          <w:i/>
          <w:color w:val="000000"/>
        </w:rPr>
      </w:pPr>
      <w:r>
        <w:rPr>
          <w:b/>
          <w:bCs/>
          <w:i/>
          <w:color w:val="000000"/>
        </w:rPr>
      </w:r>
    </w:p>
    <w:p>
      <w:pPr>
        <w:pStyle w:val="Normal"/>
        <w:shd w:val="clear" w:color="auto" w:fill="FFFFFF"/>
        <w:ind w:firstLine="283"/>
        <w:jc w:val="both"/>
        <w:textAlignment w:val="baseline"/>
        <w:rPr/>
      </w:pPr>
      <w:r>
        <w:rPr>
          <w:b/>
          <w:bCs/>
          <w:color w:val="000000"/>
        </w:rPr>
        <w:t>5.</w:t>
        <w:tab/>
        <w:t>Требования к Исполнителю оказания услуг:</w:t>
      </w:r>
    </w:p>
    <w:p>
      <w:pPr>
        <w:pStyle w:val="Normal"/>
        <w:tabs>
          <w:tab w:val="clear" w:pos="708"/>
          <w:tab w:val="left" w:pos="567" w:leader="none"/>
        </w:tabs>
        <w:snapToGrid w:val="false"/>
        <w:ind w:left="1134" w:hanging="567"/>
        <w:jc w:val="both"/>
        <w:rPr>
          <w:sz w:val="24"/>
          <w:szCs w:val="24"/>
        </w:rPr>
      </w:pPr>
      <w:r>
        <w:rPr>
          <w:color w:val="000000"/>
          <w:sz w:val="24"/>
          <w:szCs w:val="24"/>
        </w:rPr>
        <w:t xml:space="preserve">5.1. </w:t>
      </w:r>
      <w:r>
        <w:rPr>
          <w:bCs/>
          <w:sz w:val="24"/>
          <w:szCs w:val="24"/>
        </w:rPr>
        <w:tab/>
      </w:r>
      <w:r>
        <w:rPr>
          <w:sz w:val="24"/>
          <w:szCs w:val="24"/>
          <w:lang w:eastAsia="en-US"/>
        </w:rPr>
        <w:t>Подача автомашин под погрузку по заявке «Отправителя»;</w:t>
      </w:r>
    </w:p>
    <w:p>
      <w:pPr>
        <w:pStyle w:val="Normal"/>
        <w:tabs>
          <w:tab w:val="clear" w:pos="708"/>
          <w:tab w:val="left" w:pos="1134" w:leader="none"/>
        </w:tabs>
        <w:snapToGrid w:val="false"/>
        <w:ind w:left="1134" w:hanging="567"/>
        <w:rPr>
          <w:sz w:val="24"/>
          <w:szCs w:val="24"/>
        </w:rPr>
      </w:pPr>
      <w:r>
        <w:rPr>
          <w:color w:val="000000"/>
          <w:sz w:val="24"/>
          <w:szCs w:val="24"/>
        </w:rPr>
        <w:t>5.</w:t>
      </w:r>
      <w:r>
        <w:rPr>
          <w:bCs/>
          <w:sz w:val="24"/>
          <w:szCs w:val="24"/>
        </w:rPr>
        <w:t>2.       Автотранспорт должен быть в исправном техническом состоянии, соответствующий всем установленным для него техническим требованиям, своевременного прохождения технического осмотра с оформлением всех установленных документов;</w:t>
      </w:r>
    </w:p>
    <w:p>
      <w:pPr>
        <w:pStyle w:val="Normal"/>
        <w:tabs>
          <w:tab w:val="clear" w:pos="708"/>
          <w:tab w:val="left" w:pos="709" w:leader="none"/>
        </w:tabs>
        <w:spacing w:before="0" w:after="0"/>
        <w:ind w:left="1134" w:hanging="567"/>
        <w:contextualSpacing/>
        <w:jc w:val="both"/>
        <w:rPr>
          <w:sz w:val="24"/>
          <w:szCs w:val="24"/>
        </w:rPr>
      </w:pPr>
      <w:r>
        <w:rPr>
          <w:color w:val="000000"/>
          <w:sz w:val="24"/>
          <w:szCs w:val="24"/>
        </w:rPr>
        <w:t>5.3.</w:t>
        <w:tab/>
      </w:r>
      <w:r>
        <w:rPr>
          <w:rFonts w:eastAsia="Calibri" w:eastAsiaTheme="minorHAnsi"/>
          <w:sz w:val="24"/>
          <w:szCs w:val="24"/>
          <w:lang w:eastAsia="en-US"/>
        </w:rPr>
        <w:t xml:space="preserve">Перевозка крупногабаритных грузов должна осуществляться в соответствии с «Инструкцией по перевозке крупногабаритных и тяжеловесных грузов автомобильным транспортом по дорогам Российской Федерации» (утв. Минтрансом России 27.05.1996) (ред. От 24.07.2012); </w:t>
      </w:r>
    </w:p>
    <w:p>
      <w:pPr>
        <w:pStyle w:val="Normal"/>
        <w:spacing w:before="0" w:after="0"/>
        <w:ind w:left="1134" w:hanging="567"/>
        <w:contextualSpacing/>
        <w:jc w:val="both"/>
        <w:rPr>
          <w:sz w:val="24"/>
          <w:szCs w:val="24"/>
        </w:rPr>
      </w:pPr>
      <w:r>
        <w:rPr>
          <w:rFonts w:eastAsia="Calibri" w:eastAsiaTheme="minorHAnsi"/>
          <w:sz w:val="24"/>
          <w:szCs w:val="24"/>
          <w:lang w:eastAsia="en-US"/>
        </w:rPr>
        <w:t>5.4.</w:t>
        <w:tab/>
        <w:t>Для перевозки негабаритных, тяжеловесных грузов и на период закрытия дорог оформлять пропуски, разрешения, согласования на право проезда и перевозки по закрытым и платным дорогам, а также предоставление при необходимости машины сопровождения производиться за счет Перевозчика;</w:t>
      </w:r>
    </w:p>
    <w:p>
      <w:pPr>
        <w:pStyle w:val="Normal"/>
        <w:spacing w:before="0" w:after="0"/>
        <w:ind w:left="1134" w:hanging="567"/>
        <w:contextualSpacing/>
        <w:jc w:val="both"/>
        <w:rPr>
          <w:sz w:val="24"/>
          <w:szCs w:val="24"/>
        </w:rPr>
      </w:pPr>
      <w:r>
        <w:rPr>
          <w:rFonts w:eastAsia="Calibri" w:eastAsiaTheme="minorHAnsi"/>
          <w:sz w:val="24"/>
          <w:szCs w:val="24"/>
          <w:lang w:eastAsia="en-US"/>
        </w:rPr>
        <w:t>5.5.</w:t>
        <w:tab/>
        <w:t>Возможность корректировки маршрута и графика движения автотранспорта в связи с изменениями в производственном цикле;</w:t>
      </w:r>
    </w:p>
    <w:p>
      <w:pPr>
        <w:pStyle w:val="Normal"/>
        <w:shd w:val="clear" w:color="auto" w:fill="FFFFFF"/>
        <w:ind w:left="1134" w:hanging="567"/>
        <w:jc w:val="both"/>
        <w:textAlignment w:val="baseline"/>
        <w:rPr>
          <w:sz w:val="24"/>
          <w:szCs w:val="24"/>
        </w:rPr>
      </w:pPr>
      <w:r>
        <w:rPr>
          <w:color w:val="000000"/>
          <w:sz w:val="24"/>
          <w:szCs w:val="24"/>
        </w:rPr>
        <w:t>5.6.</w:t>
        <w:tab/>
      </w:r>
      <w:r>
        <w:rPr>
          <w:sz w:val="24"/>
          <w:szCs w:val="24"/>
        </w:rPr>
        <w:t>Срок принятия заявки на перевозку грузов и ее рассмотрения не должен превышать 48 часов (от подачи заявки Заказчиком);</w:t>
      </w:r>
    </w:p>
    <w:p>
      <w:pPr>
        <w:pStyle w:val="Normal"/>
        <w:shd w:val="clear" w:color="auto" w:fill="FFFFFF"/>
        <w:ind w:left="1134" w:hanging="567"/>
        <w:jc w:val="both"/>
        <w:textAlignment w:val="baseline"/>
        <w:rPr>
          <w:sz w:val="24"/>
          <w:szCs w:val="24"/>
        </w:rPr>
      </w:pPr>
      <w:r>
        <w:rPr>
          <w:color w:val="000000"/>
          <w:sz w:val="24"/>
          <w:szCs w:val="24"/>
        </w:rPr>
        <w:t>5.7.</w:t>
        <w:tab/>
        <w:t>Исполнитель организует подачу автотранспорта в пункт погрузки на дату и в часы, указанные в заявке;</w:t>
      </w:r>
    </w:p>
    <w:p>
      <w:pPr>
        <w:pStyle w:val="Normal"/>
        <w:shd w:val="clear" w:color="auto" w:fill="FFFFFF"/>
        <w:ind w:left="1134" w:hanging="567"/>
        <w:jc w:val="both"/>
        <w:textAlignment w:val="baseline"/>
        <w:rPr>
          <w:sz w:val="24"/>
          <w:szCs w:val="24"/>
        </w:rPr>
      </w:pPr>
      <w:r>
        <w:rPr>
          <w:color w:val="000000"/>
          <w:sz w:val="24"/>
          <w:szCs w:val="24"/>
        </w:rPr>
        <w:t>5.8.</w:t>
        <w:tab/>
        <w:t>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pPr>
        <w:pStyle w:val="Normal"/>
        <w:shd w:val="clear" w:color="auto" w:fill="FFFFFF"/>
        <w:ind w:left="1134" w:hanging="567"/>
        <w:jc w:val="both"/>
        <w:textAlignment w:val="baseline"/>
        <w:rPr>
          <w:sz w:val="24"/>
          <w:szCs w:val="24"/>
        </w:rPr>
      </w:pPr>
      <w:r>
        <w:rPr>
          <w:color w:val="000000"/>
          <w:sz w:val="24"/>
          <w:szCs w:val="24"/>
        </w:rPr>
        <w:t>5.9.</w:t>
        <w:tab/>
        <w:t>В случае отказа (срыва) от подтвержденной Исполнителем заявки на перевозку Исполнитель выплачивает неустойку согласно условиям Договора;</w:t>
      </w:r>
    </w:p>
    <w:p>
      <w:pPr>
        <w:pStyle w:val="Normal"/>
        <w:shd w:val="clear" w:color="auto" w:fill="FFFFFF"/>
        <w:ind w:left="1134" w:hanging="567"/>
        <w:textAlignment w:val="baseline"/>
        <w:rPr>
          <w:sz w:val="24"/>
          <w:szCs w:val="24"/>
        </w:rPr>
      </w:pPr>
      <w:r>
        <w:rPr>
          <w:color w:val="000000"/>
          <w:sz w:val="24"/>
          <w:szCs w:val="24"/>
        </w:rPr>
        <w:t>5.10.</w:t>
      </w:r>
      <w:r>
        <w:rPr>
          <w:sz w:val="24"/>
          <w:szCs w:val="24"/>
        </w:rPr>
        <w:t xml:space="preserve">    </w:t>
      </w:r>
      <w:r>
        <w:rPr>
          <w:color w:val="000000"/>
          <w:sz w:val="24"/>
          <w:szCs w:val="24"/>
        </w:rPr>
        <w:t>Обеспечение своевременными средствами связи для контроля за работой техники и перевозкой грузов, с предоставлением ежедневных сводок по движению транспорта на электронную почту;</w:t>
      </w:r>
    </w:p>
    <w:p>
      <w:pPr>
        <w:pStyle w:val="Normal"/>
        <w:ind w:left="1134" w:hanging="567"/>
        <w:jc w:val="both"/>
        <w:rPr>
          <w:sz w:val="24"/>
          <w:szCs w:val="24"/>
        </w:rPr>
      </w:pPr>
      <w:r>
        <w:rPr>
          <w:color w:val="000000"/>
          <w:sz w:val="24"/>
          <w:szCs w:val="24"/>
        </w:rPr>
        <w:t>5.11.</w:t>
        <w:tab/>
        <w:t xml:space="preserve">Исполнитель ежесуточно (не позднее 10:00 часов) предоставляет Заказчику и его Представителям информацию о фактах передвижения, погрузки (выгрузки) всех транспортов, </w:t>
      </w:r>
      <w:r>
        <w:rPr>
          <w:bCs/>
          <w:sz w:val="24"/>
          <w:szCs w:val="24"/>
        </w:rPr>
        <w:t xml:space="preserve">на электронную почту – mail@sakhaenergo.ru, копию  nka@rushydro.ru, </w:t>
      </w:r>
      <w:hyperlink r:id="rId7">
        <w:r>
          <w:rPr>
            <w:rStyle w:val="Hyperlink"/>
            <w:bCs/>
            <w:sz w:val="24"/>
            <w:szCs w:val="24"/>
          </w:rPr>
          <w:t>molorovv@rushydro.ru</w:t>
        </w:r>
      </w:hyperlink>
      <w:r>
        <w:rPr>
          <w:bCs/>
          <w:sz w:val="24"/>
          <w:szCs w:val="24"/>
        </w:rPr>
        <w:t xml:space="preserve"> или факсимильной связи (4112) 49-72-49;</w:t>
      </w:r>
    </w:p>
    <w:p>
      <w:pPr>
        <w:pStyle w:val="Normal"/>
        <w:shd w:val="clear" w:color="auto" w:fill="FFFFFF"/>
        <w:ind w:left="1134" w:hanging="567"/>
        <w:jc w:val="both"/>
        <w:textAlignment w:val="baseline"/>
        <w:rPr>
          <w:color w:val="000000"/>
          <w:sz w:val="24"/>
          <w:szCs w:val="24"/>
        </w:rPr>
      </w:pPr>
      <w:r>
        <w:rPr>
          <w:color w:val="000000"/>
          <w:sz w:val="24"/>
          <w:szCs w:val="24"/>
        </w:rPr>
        <w:t>5.12.    Для перевозки негабаритных грузов Исполнитель обязан приложить копию разрешительных документов на перевозку не габаритных грузов по направлению перевозки.</w:t>
      </w:r>
    </w:p>
    <w:p>
      <w:pPr>
        <w:pStyle w:val="Normal"/>
        <w:shd w:val="clear" w:color="auto" w:fill="FFFFFF"/>
        <w:ind w:left="1134" w:hanging="567"/>
        <w:jc w:val="both"/>
        <w:textAlignment w:val="baseline"/>
        <w:rPr>
          <w:sz w:val="24"/>
          <w:szCs w:val="24"/>
        </w:rPr>
      </w:pPr>
      <w:r>
        <w:rPr>
          <w:sz w:val="24"/>
          <w:szCs w:val="24"/>
        </w:rPr>
      </w:r>
    </w:p>
    <w:p>
      <w:pPr>
        <w:pStyle w:val="Normal"/>
        <w:shd w:val="clear" w:color="auto" w:fill="FFFFFF"/>
        <w:ind w:left="1134" w:hanging="567"/>
        <w:jc w:val="both"/>
        <w:textAlignment w:val="baseline"/>
        <w:rPr/>
      </w:pPr>
      <w:r>
        <w:rPr>
          <w:b/>
          <w:color w:val="000000"/>
        </w:rPr>
        <w:t>6.</w:t>
      </w:r>
      <w:r>
        <w:rPr>
          <w:color w:val="000000"/>
        </w:rPr>
        <w:t xml:space="preserve">         </w:t>
      </w:r>
      <w:r>
        <w:rPr>
          <w:b/>
          <w:bCs/>
          <w:color w:val="000000"/>
        </w:rPr>
        <w:t>Требования к безопасности при оказании услуги:</w:t>
      </w:r>
    </w:p>
    <w:p>
      <w:pPr>
        <w:pStyle w:val="Normal"/>
        <w:shd w:val="clear" w:color="auto" w:fill="FFFFFF"/>
        <w:ind w:firstLine="567"/>
        <w:jc w:val="both"/>
        <w:textAlignment w:val="baseline"/>
        <w:rPr>
          <w:sz w:val="24"/>
          <w:szCs w:val="24"/>
        </w:rPr>
      </w:pPr>
      <w:r>
        <w:rPr>
          <w:color w:val="000000"/>
          <w:sz w:val="24"/>
          <w:szCs w:val="24"/>
        </w:rPr>
        <w:t xml:space="preserve">6.1.       Заказчик определяет тип и количество транспортных средств, необходимых для </w:t>
        <w:tab/>
        <w:tab/>
        <w:t>выполнения заявок;</w:t>
      </w:r>
    </w:p>
    <w:p>
      <w:pPr>
        <w:pStyle w:val="Normal"/>
        <w:shd w:val="clear" w:color="auto" w:fill="FFFFFF"/>
        <w:ind w:firstLine="567"/>
        <w:jc w:val="both"/>
        <w:textAlignment w:val="baseline"/>
        <w:rPr>
          <w:sz w:val="24"/>
          <w:szCs w:val="24"/>
        </w:rPr>
      </w:pPr>
      <w:r>
        <w:rPr>
          <w:color w:val="000000"/>
          <w:sz w:val="24"/>
          <w:szCs w:val="24"/>
        </w:rPr>
        <w:t xml:space="preserve">6.2.       Исполнитель своевременно обеспечивает в соответствии с заявками «Заказчика», </w:t>
        <w:tab/>
        <w:t>подачу под погрузку автотранспортных средств;</w:t>
      </w:r>
    </w:p>
    <w:p>
      <w:pPr>
        <w:pStyle w:val="ListParagraph"/>
        <w:shd w:val="clear" w:color="auto" w:fill="FFFFFF"/>
        <w:ind w:left="567" w:hanging="0"/>
        <w:jc w:val="both"/>
        <w:textAlignment w:val="baseline"/>
        <w:rPr/>
      </w:pPr>
      <w:r>
        <w:rPr>
          <w:color w:val="000000"/>
        </w:rPr>
        <w:t>6.3.</w:t>
        <w:tab/>
        <w:t>Исполнитель осуществляет контроль (силами водителя): за процессом погрузки (выгрузки), внешнего состояния упаковки, порядка погрузки (выгрузки), распределения осевых нагрузок, надежности крепления и правильности размещения груза;</w:t>
      </w:r>
    </w:p>
    <w:p>
      <w:pPr>
        <w:pStyle w:val="ListParagraph"/>
        <w:shd w:val="clear" w:color="auto" w:fill="FFFFFF"/>
        <w:ind w:left="567" w:hanging="0"/>
        <w:jc w:val="both"/>
        <w:textAlignment w:val="baseline"/>
        <w:rPr>
          <w:color w:val="000000"/>
        </w:rPr>
      </w:pPr>
      <w:r>
        <w:rPr>
          <w:color w:val="000000"/>
        </w:rPr>
        <w:t>6.4.</w:t>
        <w:tab/>
        <w:t>Исполнитель обязан обеспечить соблюдение и неукоснительное выполнение требований техники безопасности при перевозке опасных грузов автомобильным транспортом.</w:t>
      </w:r>
    </w:p>
    <w:p>
      <w:pPr>
        <w:pStyle w:val="ListParagraph"/>
        <w:widowControl/>
        <w:shd w:val="clear" w:color="auto" w:fill="FFFFFF"/>
        <w:suppressAutoHyphens w:val="true"/>
        <w:bidi w:val="0"/>
        <w:spacing w:before="0" w:after="0"/>
        <w:ind w:left="567" w:right="0" w:hanging="0"/>
        <w:contextualSpacing/>
        <w:jc w:val="both"/>
        <w:textAlignment w:val="baseline"/>
        <w:rPr>
          <w:highlight w:val="none"/>
          <w:shd w:fill="auto" w:val="clear"/>
        </w:rPr>
      </w:pPr>
      <w:r>
        <w:rPr>
          <w:shd w:fill="auto" w:val="clear"/>
        </w:rPr>
      </w:r>
    </w:p>
    <w:p>
      <w:pPr>
        <w:pStyle w:val="ListParagraph"/>
        <w:numPr>
          <w:ilvl w:val="0"/>
          <w:numId w:val="7"/>
        </w:numPr>
        <w:shd w:val="clear" w:color="auto" w:fill="FFFFFF"/>
        <w:ind w:left="1134" w:hanging="567"/>
        <w:jc w:val="both"/>
        <w:textAlignment w:val="baseline"/>
        <w:rPr>
          <w:sz w:val="28"/>
          <w:szCs w:val="28"/>
        </w:rPr>
      </w:pPr>
      <w:r>
        <w:rPr>
          <w:b/>
          <w:bCs/>
          <w:color w:val="000000"/>
          <w:sz w:val="28"/>
          <w:szCs w:val="28"/>
        </w:rPr>
        <w:t>Требования к гарантийному сроку и (или) объему предоставления гарантий качества услуги:</w:t>
      </w:r>
    </w:p>
    <w:p>
      <w:pPr>
        <w:pStyle w:val="ListParagraph"/>
        <w:shd w:val="clear" w:color="auto" w:fill="FFFFFF"/>
        <w:ind w:left="567" w:hanging="0"/>
        <w:jc w:val="both"/>
        <w:textAlignment w:val="baseline"/>
        <w:rPr/>
      </w:pPr>
      <w:r>
        <w:rPr>
          <w:color w:val="000000"/>
        </w:rPr>
        <w:t>7.1.</w:t>
        <w:tab/>
        <w:t>Исполнитель отвечает за сохранность груза с момента принятия груза к перевозке от Заказчика до момента сдачи груза грузополучателю;</w:t>
      </w:r>
    </w:p>
    <w:p>
      <w:pPr>
        <w:pStyle w:val="ListParagraph"/>
        <w:shd w:val="clear" w:color="auto" w:fill="FFFFFF"/>
        <w:ind w:left="567" w:hanging="0"/>
        <w:jc w:val="both"/>
        <w:textAlignment w:val="baseline"/>
        <w:rPr/>
      </w:pPr>
      <w:r>
        <w:rPr>
          <w:color w:val="000000"/>
        </w:rPr>
        <w:t>7.2.</w:t>
        <w:tab/>
        <w:t>Исполнитель несет полную материальную ответственность за сохранность/порчу/утрату грузов во время перевозки согласно договору;</w:t>
      </w:r>
    </w:p>
    <w:p>
      <w:pPr>
        <w:pStyle w:val="ListParagraph"/>
        <w:shd w:val="clear" w:color="auto" w:fill="FFFFFF"/>
        <w:ind w:left="567" w:hanging="0"/>
        <w:jc w:val="both"/>
        <w:textAlignment w:val="baseline"/>
        <w:rPr/>
      </w:pPr>
      <w:r>
        <w:rPr>
          <w:color w:val="000000"/>
        </w:rPr>
        <w:t>7.3.</w:t>
        <w:tab/>
        <w:t>Стоимость утраченных или поврежденных грузов определяется на основании отгрузочных документов (товарно-транспортной накладной);</w:t>
      </w:r>
    </w:p>
    <w:p>
      <w:pPr>
        <w:pStyle w:val="ListParagraph"/>
        <w:shd w:val="clear" w:color="auto" w:fill="FFFFFF"/>
        <w:ind w:left="567" w:hanging="0"/>
        <w:jc w:val="both"/>
        <w:textAlignment w:val="baseline"/>
        <w:rPr/>
      </w:pPr>
      <w:r>
        <w:rPr>
          <w:color w:val="000000"/>
        </w:rPr>
        <w:t>7.4.</w:t>
        <w:tab/>
        <w:t>Исполнитель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 своевременную доставку груза в пункт назначения, незамедлительно информировать Заказчика обо всех случаях задержки транспортных средств, которые повлекли или могут повлечь за собой нарушение срока доставки груза, или не обеспечение его сохранности с указанием причин возникновения;</w:t>
      </w:r>
    </w:p>
    <w:p>
      <w:pPr>
        <w:pStyle w:val="ListParagraph"/>
        <w:shd w:val="clear" w:color="auto" w:fill="FFFFFF"/>
        <w:ind w:left="567" w:hanging="0"/>
        <w:jc w:val="both"/>
        <w:textAlignment w:val="baseline"/>
        <w:rPr/>
      </w:pPr>
      <w:r>
        <w:rPr>
          <w:color w:val="000000"/>
        </w:rPr>
        <w:t>7.5.</w:t>
        <w:tab/>
        <w:t>Исполнитель обязан обеспечить возможность оперативной замены транспортного средства другим в случае неисправности или дорожно-транспортного происшествия;</w:t>
      </w:r>
    </w:p>
    <w:p>
      <w:pPr>
        <w:pStyle w:val="ListParagraph"/>
        <w:shd w:val="clear" w:color="auto" w:fill="FFFFFF"/>
        <w:ind w:left="567" w:hanging="0"/>
        <w:jc w:val="both"/>
        <w:textAlignment w:val="baseline"/>
        <w:rPr>
          <w:bCs/>
          <w:i/>
          <w:i/>
          <w:shd w:fill="FFFF99" w:val="clear"/>
        </w:rPr>
      </w:pPr>
      <w:r>
        <w:rPr>
          <w:rFonts w:eastAsia="Times New Roman"/>
          <w:color w:val="000000"/>
        </w:rPr>
        <w:t>7.6.</w:t>
        <w:tab/>
        <w:t>А также иные требования, предусмотренные действующим законодательством РФ.</w:t>
      </w:r>
    </w:p>
    <w:sectPr>
      <w:headerReference w:type="default" r:id="rId8"/>
      <w:headerReference w:type="first" r:id="rId9"/>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val="false"/>
        <w:szCs w:val="24"/>
        <w:iCs/>
        <w:bCs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7"/>
      <w:numFmt w:val="decimal"/>
      <w:lvlText w:val="%1."/>
      <w:lvlJc w:val="left"/>
      <w:pPr>
        <w:tabs>
          <w:tab w:val="num" w:pos="0"/>
        </w:tabs>
        <w:ind w:left="1494" w:hanging="360"/>
      </w:pPr>
      <w:rPr>
        <w:b/>
      </w:rPr>
    </w:lvl>
    <w:lvl w:ilvl="1">
      <w:start w:val="3"/>
      <w:numFmt w:val="decimal"/>
      <w:lvlText w:val="%1.%2."/>
      <w:lvlJc w:val="left"/>
      <w:pPr>
        <w:tabs>
          <w:tab w:val="num" w:pos="0"/>
        </w:tabs>
        <w:ind w:left="1494"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1854" w:hanging="720"/>
      </w:pPr>
      <w:rPr/>
    </w:lvl>
    <w:lvl w:ilvl="4">
      <w:start w:val="1"/>
      <w:numFmt w:val="decimal"/>
      <w:lvlText w:val="%1.%2.%3.%4.%5."/>
      <w:lvlJc w:val="left"/>
      <w:pPr>
        <w:tabs>
          <w:tab w:val="num" w:pos="0"/>
        </w:tabs>
        <w:ind w:left="1854" w:hanging="720"/>
      </w:pPr>
      <w:rPr/>
    </w:lvl>
    <w:lvl w:ilvl="5">
      <w:start w:val="1"/>
      <w:numFmt w:val="decimal"/>
      <w:lvlText w:val="%1.%2.%3.%4.%5.%6."/>
      <w:lvlJc w:val="left"/>
      <w:pPr>
        <w:tabs>
          <w:tab w:val="num" w:pos="0"/>
        </w:tabs>
        <w:ind w:left="2214" w:hanging="1080"/>
      </w:pPr>
      <w:rPr/>
    </w:lvl>
    <w:lvl w:ilvl="6">
      <w:start w:val="1"/>
      <w:numFmt w:val="decimal"/>
      <w:lvlText w:val="%1.%2.%3.%4.%5.%6.%7."/>
      <w:lvlJc w:val="left"/>
      <w:pPr>
        <w:tabs>
          <w:tab w:val="num" w:pos="0"/>
        </w:tabs>
        <w:ind w:left="2214" w:hanging="1080"/>
      </w:pPr>
      <w:rPr/>
    </w:lvl>
    <w:lvl w:ilvl="7">
      <w:start w:val="1"/>
      <w:numFmt w:val="decimal"/>
      <w:lvlText w:val="%1.%2.%3.%4.%5.%6.%7.%8."/>
      <w:lvlJc w:val="left"/>
      <w:pPr>
        <w:tabs>
          <w:tab w:val="num" w:pos="0"/>
        </w:tabs>
        <w:ind w:left="2214" w:hanging="1080"/>
      </w:pPr>
      <w:rPr/>
    </w:lvl>
    <w:lvl w:ilvl="8">
      <w:start w:val="1"/>
      <w:numFmt w:val="decimal"/>
      <w:lvlText w:val="%1.%2.%3.%4.%5.%6.%7.%8.%9."/>
      <w:lvlJc w:val="left"/>
      <w:pPr>
        <w:tabs>
          <w:tab w:val="num" w:pos="0"/>
        </w:tabs>
        <w:ind w:left="2574" w:hanging="14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Hyperlink" w:customStyle="1">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Mangal"/>
    </w:rPr>
  </w:style>
  <w:style w:type="paragraph" w:styleId="BodyText">
    <w:name w:val="Body Text"/>
    <w:basedOn w:val="Normal"/>
    <w:link w:val="Style6"/>
    <w:rsid w:val="0076353a"/>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Indexheading1">
    <w:name w:val="index heading1"/>
    <w:basedOn w:val="Style15"/>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c517de"/>
    <w:pPr>
      <w:spacing w:before="120" w:after="0"/>
    </w:pPr>
    <w:rPr>
      <w:rFonts w:cs="Calibri Light (Заголовки)"/>
      <w:b/>
      <w:bCs/>
      <w:sz w:val="24"/>
      <w:szCs w:val="24"/>
    </w:rPr>
  </w:style>
  <w:style w:type="paragraph" w:styleId="TOC3">
    <w:name w:val="TOC 3"/>
    <w:basedOn w:val="Normal"/>
    <w:next w:val="Normal"/>
    <w:autoRedefine/>
    <w:uiPriority w:val="39"/>
    <w:rsid w:val="006b6b70"/>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4">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yperlink" Target="mailto:molorovv@sakhaenergo.ru" TargetMode="Externa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60BD-3C5A-4EEC-A4AE-3E39F5E9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Application>AlterOffice/2025.3.0.0$Linux_X86_64 LibreOffice_project/4ba31b6a4271509a884f95065d0a726e9cb2bdbb</Application>
  <AppVersion>15.0000</AppVersion>
  <Pages>8</Pages>
  <Words>1164</Words>
  <Characters>8269</Characters>
  <CharactersWithSpaces>9362</CharactersWithSpaces>
  <Paragraphs>111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2023-02-03T05:36:00Z</dcterms:created>
  <dc:creator>Быстров Олег Геннадьевич</dc:creator>
  <dc:description/>
  <dc:language>ru-RU</dc:language>
  <cp:lastModifiedBy>molorovvv@sed.local</cp:lastModifiedBy>
  <cp:lastPrinted>2024-11-07T09:43:01Z</cp:lastPrinted>
  <dcterms:modified xsi:type="dcterms:W3CDTF">2026-06-23T09:48:34Z</dcterms:modified>
  <cp:revision>42</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