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90" w:rsidRDefault="002E2290">
      <w:pPr>
        <w:keepNext/>
        <w:keepLines/>
        <w:rPr>
          <w:sz w:val="26"/>
          <w:szCs w:val="26"/>
        </w:rPr>
      </w:pPr>
    </w:p>
    <w:p w:rsidR="002E2290" w:rsidRDefault="002E2290">
      <w:pPr>
        <w:keepNext/>
        <w:keepLines/>
        <w:rPr>
          <w:sz w:val="26"/>
          <w:szCs w:val="26"/>
        </w:rPr>
      </w:pPr>
    </w:p>
    <w:p w:rsidR="002E2290" w:rsidRDefault="002E2290">
      <w:pPr>
        <w:keepNext/>
        <w:keepLines/>
        <w:rPr>
          <w:sz w:val="26"/>
          <w:szCs w:val="26"/>
        </w:rPr>
      </w:pPr>
    </w:p>
    <w:p w:rsidR="002E2290" w:rsidRDefault="002E2290">
      <w:pPr>
        <w:keepNext/>
        <w:keepLines/>
        <w:rPr>
          <w:sz w:val="26"/>
          <w:szCs w:val="26"/>
        </w:rPr>
      </w:pPr>
    </w:p>
    <w:p w:rsidR="002E2290" w:rsidRDefault="002E2290">
      <w:pPr>
        <w:keepNext/>
        <w:keepLines/>
        <w:rPr>
          <w:sz w:val="26"/>
          <w:szCs w:val="26"/>
        </w:rPr>
      </w:pPr>
    </w:p>
    <w:p w:rsidR="002E2290" w:rsidRDefault="002E2290">
      <w:pPr>
        <w:keepNext/>
        <w:keepLines/>
        <w:rPr>
          <w:sz w:val="26"/>
          <w:szCs w:val="26"/>
        </w:rPr>
      </w:pPr>
    </w:p>
    <w:p w:rsidR="002E2290" w:rsidRDefault="002E2290">
      <w:pPr>
        <w:keepNext/>
        <w:keepLines/>
        <w:rPr>
          <w:sz w:val="26"/>
          <w:szCs w:val="26"/>
        </w:rPr>
      </w:pPr>
    </w:p>
    <w:p w:rsidR="002E2290" w:rsidRDefault="002E2290">
      <w:pPr>
        <w:keepNext/>
        <w:keepLines/>
        <w:rPr>
          <w:sz w:val="26"/>
          <w:szCs w:val="26"/>
        </w:rPr>
      </w:pPr>
    </w:p>
    <w:p w:rsidR="002E2290" w:rsidRDefault="002E2290">
      <w:pPr>
        <w:keepNext/>
        <w:keepLines/>
        <w:rPr>
          <w:sz w:val="26"/>
          <w:szCs w:val="26"/>
        </w:rPr>
      </w:pPr>
    </w:p>
    <w:p w:rsidR="002E2290" w:rsidRDefault="002E2290">
      <w:pPr>
        <w:keepNext/>
        <w:keepLines/>
        <w:rPr>
          <w:sz w:val="26"/>
          <w:szCs w:val="26"/>
        </w:rPr>
      </w:pPr>
    </w:p>
    <w:p w:rsidR="002E2290" w:rsidRDefault="00C47FB0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2E2290" w:rsidRDefault="002E229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E2290" w:rsidRDefault="002E229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E2290" w:rsidRDefault="00C47FB0">
      <w:pPr>
        <w:jc w:val="center"/>
        <w:rPr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>КПД2 25.29.11.100. Резервуар горизонтальный стальной РГС-75 на санном основании</w:t>
      </w:r>
    </w:p>
    <w:p w:rsidR="002E2290" w:rsidRDefault="002E2290">
      <w:pPr>
        <w:jc w:val="center"/>
        <w:rPr>
          <w:b/>
          <w:bCs/>
          <w:sz w:val="26"/>
          <w:szCs w:val="26"/>
        </w:rPr>
      </w:pPr>
    </w:p>
    <w:p w:rsidR="002E2290" w:rsidRDefault="00C47FB0">
      <w:pPr>
        <w:keepNext/>
        <w:keepLines/>
        <w:jc w:val="center"/>
        <w:rPr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Лот №59701-КС ПРОЧ-2026-СахаЭ</w:t>
      </w:r>
    </w:p>
    <w:p w:rsidR="002E2290" w:rsidRDefault="002E2290">
      <w:pPr>
        <w:jc w:val="center"/>
        <w:rPr>
          <w:rFonts w:eastAsia="Calibri"/>
          <w:b/>
          <w:i/>
          <w:sz w:val="26"/>
          <w:szCs w:val="26"/>
        </w:rPr>
      </w:pPr>
    </w:p>
    <w:p w:rsidR="002E2290" w:rsidRDefault="002E2290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2E2290" w:rsidRDefault="002E2290">
      <w:pPr>
        <w:keepNext/>
        <w:keepLines/>
        <w:jc w:val="both"/>
        <w:rPr>
          <w:sz w:val="26"/>
          <w:szCs w:val="26"/>
        </w:rPr>
      </w:pPr>
    </w:p>
    <w:p w:rsidR="002E2290" w:rsidRDefault="00C47FB0">
      <w:pPr>
        <w:rPr>
          <w:sz w:val="26"/>
          <w:szCs w:val="26"/>
        </w:rPr>
      </w:pPr>
      <w:r>
        <w:br w:type="page"/>
      </w:r>
    </w:p>
    <w:p w:rsidR="002E2290" w:rsidRDefault="00C47FB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="Times New Roman"/>
          <w:b w:val="0"/>
          <w:bCs w:val="0"/>
          <w:sz w:val="28"/>
          <w:szCs w:val="28"/>
        </w:rPr>
        <w:id w:val="809763118"/>
        <w:docPartObj>
          <w:docPartGallery w:val="Table of Contents"/>
          <w:docPartUnique/>
        </w:docPartObj>
      </w:sdtPr>
      <w:sdtEndPr/>
      <w:sdtContent>
        <w:p w:rsidR="002E2290" w:rsidRDefault="00C47FB0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124165064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_Toc124165064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E2290" w:rsidRDefault="00C47FB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4165065">
            <w:r>
              <w:rPr>
                <w:rStyle w:val="affc"/>
                <w:iCs/>
                <w:webHidden/>
              </w:rPr>
              <w:t>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_Toc124165065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E2290" w:rsidRDefault="00C47FB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4165066">
            <w:r>
              <w:rPr>
                <w:rStyle w:val="affc"/>
                <w:iCs/>
                <w:webHidden/>
              </w:rPr>
              <w:t>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_Toc124165066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2E2290" w:rsidRDefault="00C47FB0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4165067">
            <w:r>
              <w:rPr>
                <w:rStyle w:val="affc"/>
                <w:webHidden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_Toc124165067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2E2290" w:rsidRDefault="00C47FB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4165068">
            <w:r>
              <w:rPr>
                <w:rStyle w:val="affc"/>
                <w:iCs/>
                <w:webHidden/>
              </w:rPr>
              <w:t>2.1.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_Toc124165068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2E2290" w:rsidRDefault="00C47FB0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4165069">
            <w:r>
              <w:rPr>
                <w:rStyle w:val="affc"/>
                <w:webHidden/>
              </w:rPr>
              <w:t>2.1.1.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_Toc124165069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2E2290" w:rsidRDefault="00C47FB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416507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_Toc124165070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1.1 Перечень и объем закупаемой продукции</w:t>
            </w:r>
            <w:r>
              <w:rPr>
                <w:rStyle w:val="affc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2E2290" w:rsidRDefault="00C47FB0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4165071">
            <w:r>
              <w:rPr>
                <w:rStyle w:val="affc"/>
                <w:webHidden/>
              </w:rPr>
              <w:t>2.1.2.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_Toc124165071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2E2290" w:rsidRDefault="00C47FB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416507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_Toc124165072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</w:t>
            </w:r>
            <w:r>
              <w:rPr>
                <w:rStyle w:val="affc"/>
                <w:webHidden/>
              </w:rPr>
              <w:t>аблица 2.1 Требования по срокам поставки продукции</w:t>
            </w:r>
            <w:r>
              <w:rPr>
                <w:rStyle w:val="affc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2E2290" w:rsidRDefault="00C47FB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4165073">
            <w:r>
              <w:rPr>
                <w:rStyle w:val="affc"/>
                <w:iCs/>
                <w:webHidden/>
              </w:rPr>
              <w:t>2.2.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_Toc124165073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2E2290" w:rsidRDefault="00C47FB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416507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_Toc124165074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 3. Требования к продукции</w:t>
            </w:r>
            <w:r>
              <w:rPr>
                <w:rStyle w:val="affc"/>
                <w:webHidden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2E2290" w:rsidRDefault="00C47FB0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4165075">
            <w:r>
              <w:rPr>
                <w:rStyle w:val="affc"/>
                <w:webHidden/>
              </w:rPr>
              <w:t>3.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документации по ценообразованию на этапе закупки</w:t>
            </w:r>
            <w:r>
              <w:rPr>
                <w:rStyle w:val="affc"/>
              </w:rPr>
              <w:tab/>
              <w:t>25</w:t>
            </w:r>
          </w:hyperlink>
          <w:r>
            <w:t>6</w:t>
          </w:r>
          <w:r>
            <w:fldChar w:fldCharType="end"/>
          </w:r>
        </w:p>
        <w:p w:rsidR="002E2290" w:rsidRDefault="00C47FB0">
          <w:pPr>
            <w:sectPr w:rsidR="002E2290">
              <w:headerReference w:type="even" r:id="rId8"/>
              <w:headerReference w:type="default" r:id="rId9"/>
              <w:headerReference w:type="first" r:id="rId10"/>
              <w:pgSz w:w="11906" w:h="16838"/>
              <w:pgMar w:top="1134" w:right="851" w:bottom="992" w:left="1134" w:header="680" w:footer="0" w:gutter="0"/>
              <w:cols w:space="720"/>
              <w:formProt w:val="0"/>
              <w:titlePg/>
              <w:docGrid w:linePitch="360"/>
            </w:sectPr>
          </w:pPr>
        </w:p>
      </w:sdtContent>
    </w:sdt>
    <w:p w:rsidR="002E2290" w:rsidRDefault="00C47FB0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24165064"/>
      <w:r>
        <w:rPr>
          <w:lang w:val="ru-RU"/>
        </w:rPr>
        <w:lastRenderedPageBreak/>
        <w:t>Общие сведения</w:t>
      </w:r>
      <w:bookmarkEnd w:id="0"/>
      <w:bookmarkEnd w:id="1"/>
    </w:p>
    <w:p w:rsidR="002E2290" w:rsidRDefault="00C47FB0">
      <w:pPr>
        <w:pStyle w:val="4"/>
        <w:numPr>
          <w:ilvl w:val="1"/>
          <w:numId w:val="3"/>
        </w:numPr>
      </w:pPr>
      <w:bookmarkStart w:id="2" w:name="_Toc124165065"/>
      <w:bookmarkStart w:id="3" w:name="_Toc46743505"/>
      <w:r>
        <w:t>Обозначения и сокращения</w:t>
      </w:r>
      <w:bookmarkEnd w:id="2"/>
      <w:bookmarkEnd w:id="3"/>
    </w:p>
    <w:p w:rsidR="002E2290" w:rsidRDefault="002E2290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11806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10006"/>
      </w:tblGrid>
      <w:tr w:rsidR="002E2290">
        <w:trPr>
          <w:cantSplit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90" w:rsidRDefault="00C47FB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90" w:rsidRDefault="00C47FB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стандарт организации</w:t>
            </w:r>
          </w:p>
        </w:tc>
      </w:tr>
      <w:tr w:rsidR="002E2290">
        <w:trPr>
          <w:cantSplit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90" w:rsidRDefault="00C47FB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90" w:rsidRDefault="00C47FB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</w:tbl>
    <w:p w:rsidR="002E2290" w:rsidRDefault="002E2290">
      <w:pPr>
        <w:keepNext/>
        <w:keepLines/>
        <w:jc w:val="both"/>
        <w:rPr>
          <w:sz w:val="24"/>
          <w:szCs w:val="24"/>
        </w:rPr>
      </w:pPr>
    </w:p>
    <w:p w:rsidR="002E2290" w:rsidRDefault="00C47FB0">
      <w:pPr>
        <w:pStyle w:val="4"/>
        <w:numPr>
          <w:ilvl w:val="1"/>
          <w:numId w:val="3"/>
        </w:numPr>
      </w:pPr>
      <w:bookmarkStart w:id="4" w:name="_Toc46743506"/>
      <w:bookmarkStart w:id="5" w:name="_Toc124165066"/>
      <w:r>
        <w:t>Наименование закупаемой продукции</w:t>
      </w:r>
      <w:bookmarkEnd w:id="4"/>
      <w:bookmarkEnd w:id="5"/>
    </w:p>
    <w:p w:rsidR="002E2290" w:rsidRDefault="00C47FB0">
      <w:pPr>
        <w:widowControl w:val="0"/>
        <w:tabs>
          <w:tab w:val="left" w:pos="426"/>
        </w:tabs>
        <w:spacing w:before="120" w:after="120"/>
        <w:jc w:val="both"/>
        <w:rPr>
          <w:i/>
          <w:iCs/>
        </w:rPr>
      </w:pPr>
      <w:r>
        <w:rPr>
          <w:rFonts w:eastAsia="Calibri"/>
          <w:i/>
          <w:iCs/>
          <w:sz w:val="26"/>
          <w:szCs w:val="26"/>
          <w:lang w:eastAsia="x-none"/>
        </w:rPr>
        <w:t>Резервуар горизонтальный стальной РГС-75 на санном основании</w:t>
      </w:r>
    </w:p>
    <w:p w:rsidR="002E2290" w:rsidRDefault="00C47FB0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0125126"/>
      <w:bookmarkStart w:id="7" w:name="_Toc51339693"/>
      <w:bookmarkStart w:id="8" w:name="_Toc124165067"/>
      <w:bookmarkEnd w:id="6"/>
      <w:r>
        <w:rPr>
          <w:iCs/>
        </w:rPr>
        <w:t>Требования к продукции</w:t>
      </w:r>
      <w:bookmarkEnd w:id="7"/>
      <w:bookmarkEnd w:id="8"/>
    </w:p>
    <w:p w:rsidR="002E2290" w:rsidRDefault="00C47FB0">
      <w:pPr>
        <w:pStyle w:val="4"/>
        <w:numPr>
          <w:ilvl w:val="1"/>
          <w:numId w:val="3"/>
        </w:numPr>
      </w:pPr>
      <w:bookmarkStart w:id="9" w:name="_Toc124165068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 w:rsidR="002E2290" w:rsidRDefault="00C47FB0">
      <w:pPr>
        <w:pStyle w:val="31"/>
        <w:numPr>
          <w:ilvl w:val="2"/>
          <w:numId w:val="3"/>
        </w:numPr>
      </w:pPr>
      <w:bookmarkStart w:id="10" w:name="_Toc124165069"/>
      <w:r>
        <w:rPr>
          <w:lang w:val="ru-RU"/>
        </w:rPr>
        <w:t>Перечень и объем закупаемой продукции</w:t>
      </w:r>
      <w:bookmarkEnd w:id="10"/>
    </w:p>
    <w:p w:rsidR="002E2290" w:rsidRDefault="00C47FB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1" w:name="_Toc51339695"/>
      <w:bookmarkStart w:id="12" w:name="_Toc12416507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W w:w="144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6"/>
        <w:gridCol w:w="4845"/>
        <w:gridCol w:w="1106"/>
        <w:gridCol w:w="1099"/>
        <w:gridCol w:w="1099"/>
        <w:gridCol w:w="5741"/>
      </w:tblGrid>
      <w:tr w:rsidR="002E2290" w:rsidTr="00C47F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290" w:rsidRDefault="00C47F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E2290" w:rsidRDefault="00C47F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290" w:rsidRDefault="00C47F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290" w:rsidRDefault="00C47F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290" w:rsidRDefault="00C47F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290" w:rsidRDefault="00C47F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ОКПД2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290" w:rsidRDefault="00C47F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2E2290" w:rsidTr="00C47F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290" w:rsidRDefault="002E22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90" w:rsidRDefault="002E22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E2290" w:rsidTr="00C47F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90" w:rsidRDefault="002E2290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90" w:rsidRDefault="00C47FB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Резервуар горизонтальный стальной РГС-75 м</w:t>
            </w:r>
            <w:r>
              <w:rPr>
                <w:rFonts w:eastAsia="Calibri"/>
                <w:sz w:val="24"/>
                <w:szCs w:val="24"/>
                <w:vertAlign w:val="superscript"/>
                <w:lang w:eastAsia="x-none"/>
              </w:rPr>
              <w:t>3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на санном основании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25.29.1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закупок товаров, происходящих из иностранных государств</w:t>
            </w:r>
          </w:p>
        </w:tc>
      </w:tr>
    </w:tbl>
    <w:p w:rsidR="002E2290" w:rsidRDefault="00C47FB0">
      <w:pPr>
        <w:pStyle w:val="31"/>
        <w:tabs>
          <w:tab w:val="clear" w:pos="0"/>
        </w:tabs>
        <w:ind w:left="0" w:firstLine="0"/>
        <w:rPr>
          <w:lang w:val="ru-RU"/>
        </w:rPr>
      </w:pPr>
      <w:r>
        <w:br w:type="page"/>
      </w:r>
    </w:p>
    <w:p w:rsidR="002E2290" w:rsidRDefault="00C47FB0">
      <w:pPr>
        <w:pStyle w:val="31"/>
        <w:numPr>
          <w:ilvl w:val="2"/>
          <w:numId w:val="3"/>
        </w:numPr>
        <w:rPr>
          <w:lang w:val="ru-RU"/>
        </w:rPr>
      </w:pPr>
      <w:bookmarkStart w:id="13" w:name="_Toc51339696"/>
      <w:bookmarkStart w:id="14" w:name="_Toc124165071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>к срокам поставки продукции и оказания сопутствующих услуг</w:t>
      </w:r>
      <w:bookmarkEnd w:id="14"/>
    </w:p>
    <w:p w:rsidR="002E2290" w:rsidRDefault="00C47FB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5" w:name="_Toc50125126_Копия_1"/>
      <w:bookmarkStart w:id="16" w:name="_Toc50125127"/>
      <w:bookmarkStart w:id="17" w:name="_Toc51339697"/>
      <w:bookmarkStart w:id="18" w:name="_Toc124165072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tbl>
      <w:tblPr>
        <w:tblW w:w="14569" w:type="dxa"/>
        <w:tblLayout w:type="fixed"/>
        <w:tblLook w:val="04A0" w:firstRow="1" w:lastRow="0" w:firstColumn="1" w:lastColumn="0" w:noHBand="0" w:noVBand="1"/>
      </w:tblPr>
      <w:tblGrid>
        <w:gridCol w:w="1130"/>
        <w:gridCol w:w="4364"/>
        <w:gridCol w:w="3863"/>
        <w:gridCol w:w="5212"/>
      </w:tblGrid>
      <w:tr w:rsidR="002E229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E229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290" w:rsidRDefault="00C47FB0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290" w:rsidRDefault="00C47FB0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0" w:name="_Toc46743510"/>
            <w:r>
              <w:rPr>
                <w:b/>
                <w:sz w:val="24"/>
                <w:szCs w:val="24"/>
              </w:rPr>
              <w:t>4</w:t>
            </w:r>
            <w:bookmarkEnd w:id="20"/>
          </w:p>
        </w:tc>
      </w:tr>
      <w:tr w:rsidR="002E229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290" w:rsidRDefault="00C47FB0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Резервуары горизонтальные стальной РГС-75 м</w:t>
            </w:r>
            <w:r>
              <w:rPr>
                <w:rFonts w:eastAsia="Calibri"/>
                <w:sz w:val="24"/>
                <w:szCs w:val="24"/>
                <w:vertAlign w:val="superscript"/>
                <w:lang w:eastAsia="x-none"/>
              </w:rPr>
              <w:t>3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на санном основании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30 (тридцати) календарных дней с момента подписания договора</w:t>
            </w:r>
          </w:p>
        </w:tc>
      </w:tr>
    </w:tbl>
    <w:p w:rsidR="002E2290" w:rsidRDefault="002E2290">
      <w:pPr>
        <w:sectPr w:rsidR="002E2290">
          <w:headerReference w:type="default" r:id="rId11"/>
          <w:headerReference w:type="first" r:id="rId12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2E2290" w:rsidRDefault="00C47FB0">
      <w:pPr>
        <w:pStyle w:val="4"/>
        <w:numPr>
          <w:ilvl w:val="1"/>
          <w:numId w:val="3"/>
        </w:numPr>
      </w:pPr>
      <w:bookmarkStart w:id="21" w:name="_Toc46743511"/>
      <w:bookmarkStart w:id="22" w:name="_Toc124165073"/>
      <w:bookmarkStart w:id="23" w:name="_Toc51339698"/>
      <w:r>
        <w:t xml:space="preserve">Требования к </w:t>
      </w:r>
      <w:bookmarkEnd w:id="21"/>
      <w:r>
        <w:rPr>
          <w:lang w:val="ru-RU"/>
        </w:rPr>
        <w:t>качеству продукции</w:t>
      </w:r>
      <w:bookmarkEnd w:id="22"/>
    </w:p>
    <w:p w:rsidR="002E2290" w:rsidRDefault="00C47FB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4" w:name="_Toc12416507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4"/>
      <w:r>
        <w:rPr>
          <w:sz w:val="24"/>
          <w:szCs w:val="24"/>
        </w:rPr>
        <w:t xml:space="preserve"> </w:t>
      </w:r>
      <w:bookmarkEnd w:id="23"/>
    </w:p>
    <w:p w:rsidR="002E2290" w:rsidRDefault="002E2290">
      <w:pPr>
        <w:rPr>
          <w:rStyle w:val="aff1"/>
          <w:b w:val="0"/>
        </w:rPr>
      </w:pPr>
    </w:p>
    <w:p w:rsidR="002E2290" w:rsidRDefault="00C47FB0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 Таблицы 1.1): </w:t>
      </w:r>
    </w:p>
    <w:p w:rsidR="002E2290" w:rsidRDefault="00C47FB0">
      <w:pPr>
        <w:spacing w:after="120"/>
        <w:ind w:right="397"/>
        <w:jc w:val="both"/>
        <w:rPr>
          <w:rStyle w:val="aff1"/>
          <w:b w:val="0"/>
          <w:sz w:val="24"/>
          <w:szCs w:val="24"/>
          <w:shd w:val="clear" w:color="auto" w:fill="auto"/>
        </w:rPr>
      </w:pPr>
      <w:r>
        <w:rPr>
          <w:b/>
          <w:bCs/>
          <w:sz w:val="24"/>
          <w:szCs w:val="24"/>
        </w:rPr>
        <w:t>Наименование продукции: Резервуар горизонтальный стальной РГС-75 м3 на санном основании</w:t>
      </w:r>
    </w:p>
    <w:tbl>
      <w:tblPr>
        <w:tblStyle w:val="1c"/>
        <w:tblW w:w="156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1349"/>
        <w:gridCol w:w="1588"/>
        <w:gridCol w:w="1246"/>
        <w:gridCol w:w="3070"/>
        <w:gridCol w:w="1409"/>
        <w:gridCol w:w="1759"/>
        <w:gridCol w:w="1135"/>
        <w:gridCol w:w="1856"/>
        <w:gridCol w:w="1656"/>
      </w:tblGrid>
      <w:tr w:rsidR="002E2290">
        <w:trPr>
          <w:trHeight w:val="311"/>
        </w:trPr>
        <w:tc>
          <w:tcPr>
            <w:tcW w:w="608" w:type="dxa"/>
            <w:vMerge w:val="restart"/>
            <w:vAlign w:val="center"/>
          </w:tcPr>
          <w:p w:rsidR="002E2290" w:rsidRDefault="00C47FB0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348" w:type="dxa"/>
            <w:vMerge w:val="restart"/>
          </w:tcPr>
          <w:p w:rsidR="002E2290" w:rsidRDefault="00C47FB0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 xml:space="preserve">№ позиции </w:t>
            </w: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br/>
              <w:t>Таблицы 1.1. «Перечень и объем закупаемой продукции»</w:t>
            </w:r>
          </w:p>
        </w:tc>
        <w:tc>
          <w:tcPr>
            <w:tcW w:w="1588" w:type="dxa"/>
            <w:vMerge w:val="restart"/>
            <w:vAlign w:val="center"/>
          </w:tcPr>
          <w:p w:rsidR="002E2290" w:rsidRDefault="00C47FB0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5725" w:type="dxa"/>
            <w:gridSpan w:val="3"/>
          </w:tcPr>
          <w:p w:rsidR="002E2290" w:rsidRDefault="00C47FB0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Требования заказчика</w:t>
            </w:r>
          </w:p>
        </w:tc>
        <w:tc>
          <w:tcPr>
            <w:tcW w:w="6406" w:type="dxa"/>
            <w:gridSpan w:val="4"/>
          </w:tcPr>
          <w:p w:rsidR="002E2290" w:rsidRDefault="00C47FB0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Предложения участника*</w:t>
            </w:r>
          </w:p>
        </w:tc>
      </w:tr>
      <w:tr w:rsidR="002E2290">
        <w:trPr>
          <w:trHeight w:val="726"/>
        </w:trPr>
        <w:tc>
          <w:tcPr>
            <w:tcW w:w="608" w:type="dxa"/>
            <w:vMerge/>
            <w:vAlign w:val="center"/>
          </w:tcPr>
          <w:p w:rsidR="002E2290" w:rsidRDefault="002E2290">
            <w:pPr>
              <w:widowControl w:val="0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2E2290" w:rsidRDefault="002E2290">
            <w:pPr>
              <w:widowControl w:val="0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E2290" w:rsidRDefault="002E2290">
            <w:pPr>
              <w:widowControl w:val="0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2E2290" w:rsidRDefault="00C47FB0">
            <w:pPr>
              <w:widowControl w:val="0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ГОСТ</w:t>
            </w:r>
          </w:p>
        </w:tc>
        <w:tc>
          <w:tcPr>
            <w:tcW w:w="3070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Технические и функциональные характеристики</w:t>
            </w:r>
          </w:p>
          <w:p w:rsidR="002E2290" w:rsidRDefault="00C47FB0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(параметры эквивалентности)</w:t>
            </w:r>
          </w:p>
        </w:tc>
        <w:tc>
          <w:tcPr>
            <w:tcW w:w="1409" w:type="dxa"/>
            <w:vAlign w:val="center"/>
          </w:tcPr>
          <w:p w:rsidR="002E2290" w:rsidRDefault="00C47FB0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1759" w:type="dxa"/>
            <w:vAlign w:val="center"/>
          </w:tcPr>
          <w:p w:rsidR="002E2290" w:rsidRDefault="00C47FB0">
            <w:pPr>
              <w:widowControl w:val="0"/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1135" w:type="dxa"/>
            <w:vAlign w:val="center"/>
          </w:tcPr>
          <w:p w:rsidR="002E2290" w:rsidRDefault="00C47FB0">
            <w:pPr>
              <w:widowControl w:val="0"/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ГОСТ</w:t>
            </w:r>
          </w:p>
        </w:tc>
        <w:tc>
          <w:tcPr>
            <w:tcW w:w="1856" w:type="dxa"/>
            <w:vAlign w:val="center"/>
          </w:tcPr>
          <w:p w:rsidR="002E2290" w:rsidRDefault="00C47FB0">
            <w:pPr>
              <w:widowControl w:val="0"/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Технические и функциональные характеристики</w:t>
            </w:r>
          </w:p>
        </w:tc>
        <w:tc>
          <w:tcPr>
            <w:tcW w:w="1656" w:type="dxa"/>
            <w:vAlign w:val="center"/>
          </w:tcPr>
          <w:p w:rsidR="002E2290" w:rsidRDefault="00C47FB0">
            <w:pPr>
              <w:widowControl w:val="0"/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Место поставки</w:t>
            </w:r>
          </w:p>
        </w:tc>
      </w:tr>
      <w:tr w:rsidR="002E2290">
        <w:trPr>
          <w:trHeight w:val="223"/>
        </w:trPr>
        <w:tc>
          <w:tcPr>
            <w:tcW w:w="608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8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8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6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070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09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59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5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56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56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2E2290">
        <w:trPr>
          <w:trHeight w:val="4080"/>
        </w:trPr>
        <w:tc>
          <w:tcPr>
            <w:tcW w:w="608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0"/>
                <w:numId w:val="11"/>
              </w:num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2E2290" w:rsidRDefault="00C47FB0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Позиция 1</w:t>
            </w:r>
          </w:p>
        </w:tc>
        <w:tc>
          <w:tcPr>
            <w:tcW w:w="1588" w:type="dxa"/>
          </w:tcPr>
          <w:p w:rsidR="002E2290" w:rsidRDefault="00C47FB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  <w:lang w:eastAsia="x-none"/>
              </w:rPr>
              <w:t xml:space="preserve">Резервуар </w:t>
            </w:r>
            <w:r>
              <w:rPr>
                <w:rFonts w:eastAsia="Calibri"/>
                <w:i/>
                <w:sz w:val="20"/>
                <w:szCs w:val="20"/>
                <w:lang w:eastAsia="x-none"/>
              </w:rPr>
              <w:t>горизонтальный стальной РГС-75 м</w:t>
            </w:r>
            <w:r>
              <w:rPr>
                <w:rFonts w:eastAsia="Calibri"/>
                <w:i/>
                <w:sz w:val="20"/>
                <w:szCs w:val="20"/>
                <w:vertAlign w:val="superscript"/>
                <w:lang w:eastAsia="x-none"/>
              </w:rPr>
              <w:t>3</w:t>
            </w:r>
            <w:r>
              <w:rPr>
                <w:rFonts w:eastAsia="Calibri"/>
                <w:i/>
                <w:sz w:val="20"/>
                <w:szCs w:val="20"/>
                <w:lang w:eastAsia="x-none"/>
              </w:rPr>
              <w:t xml:space="preserve"> на санном основании</w:t>
            </w:r>
          </w:p>
        </w:tc>
        <w:tc>
          <w:tcPr>
            <w:tcW w:w="1246" w:type="dxa"/>
          </w:tcPr>
          <w:p w:rsidR="002E2290" w:rsidRDefault="00C47FB0">
            <w:pPr>
              <w:widowControl w:val="0"/>
              <w:jc w:val="center"/>
              <w:rPr>
                <w:i/>
                <w:iCs/>
                <w:sz w:val="18"/>
                <w:szCs w:val="20"/>
              </w:rPr>
            </w:pPr>
            <w:r>
              <w:rPr>
                <w:rFonts w:eastAsia="Calibri"/>
                <w:i/>
                <w:iCs/>
                <w:sz w:val="18"/>
                <w:szCs w:val="20"/>
                <w:lang w:eastAsia="en-US"/>
              </w:rPr>
              <w:t>ГОСТ 17032-2022</w:t>
            </w:r>
          </w:p>
        </w:tc>
        <w:tc>
          <w:tcPr>
            <w:tcW w:w="3070" w:type="dxa"/>
          </w:tcPr>
          <w:p w:rsidR="002E2290" w:rsidRDefault="00C47FB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Номинальный объем резервуара, м.куб. - 75;</w:t>
            </w:r>
          </w:p>
          <w:p w:rsidR="002E2290" w:rsidRDefault="00C47FB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установки — надземный;</w:t>
            </w:r>
          </w:p>
          <w:p w:rsidR="002E2290" w:rsidRDefault="00C47FB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Хранимая жидкость — дизельное топливо;</w:t>
            </w:r>
          </w:p>
          <w:p w:rsidR="002E2290" w:rsidRDefault="00C47FB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Марка металла</w:t>
            </w:r>
            <w:r>
              <w:rPr>
                <w:rFonts w:eastAsia="Calibri"/>
                <w:sz w:val="20"/>
                <w:szCs w:val="20"/>
                <w:lang w:eastAsia="en-US"/>
              </w:rPr>
              <w:tab/>
              <w:t xml:space="preserve">09Г2С </w:t>
            </w:r>
            <w:r>
              <w:rPr>
                <w:rFonts w:eastAsia="Calibri"/>
                <w:sz w:val="20"/>
                <w:szCs w:val="20"/>
                <w:lang w:eastAsia="en-US"/>
              </w:rPr>
              <w:t>(С345)</w:t>
            </w:r>
          </w:p>
          <w:p w:rsidR="002E2290" w:rsidRDefault="00C47FB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Размеры резервуара:</w:t>
            </w:r>
          </w:p>
          <w:p w:rsidR="002E2290" w:rsidRDefault="00C47FB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Диаметр, мм — не  менее 3200 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не более 3240</w:t>
            </w:r>
          </w:p>
          <w:p w:rsidR="002E2290" w:rsidRDefault="00C47FB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Длина общая, мм — не более 10 000 мм;</w:t>
            </w:r>
          </w:p>
          <w:p w:rsidR="002E2290" w:rsidRDefault="00C47FB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Количество опор (ложементов) — не менее 4 шт.;</w:t>
            </w:r>
          </w:p>
          <w:p w:rsidR="002E2290" w:rsidRDefault="00C47FB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Монтажные петли — 4 шт;</w:t>
            </w:r>
          </w:p>
          <w:p w:rsidR="002E2290" w:rsidRDefault="00C47FB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Расчетный срок службы резервуара -20 лет;</w:t>
            </w:r>
          </w:p>
          <w:p w:rsidR="002E2290" w:rsidRDefault="00C47FB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Условия эксплуатации: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от -60С до +40С</w:t>
            </w:r>
          </w:p>
          <w:p w:rsidR="002E2290" w:rsidRDefault="00C47FB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Плотность хранимого продукта: не менее 0,82 т/м3 и н</w:t>
            </w:r>
            <w:r>
              <w:rPr>
                <w:rFonts w:eastAsia="Calibri"/>
                <w:sz w:val="20"/>
                <w:szCs w:val="20"/>
                <w:lang w:eastAsia="en-US"/>
              </w:rPr>
              <w:t>е более 0,88 т/м3;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Рабочий уровень налива продукта: 90% от общего объема;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Производительность приема/раздачи продукта 35-50 м3/час</w:t>
            </w:r>
          </w:p>
          <w:p w:rsidR="002E2290" w:rsidRDefault="00C47FB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Стенка:</w:t>
            </w:r>
          </w:p>
          <w:p w:rsidR="002E2290" w:rsidRDefault="00C47FB0">
            <w:pPr>
              <w:widowControl w:val="0"/>
            </w:pPr>
            <w:r>
              <w:rPr>
                <w:sz w:val="20"/>
                <w:szCs w:val="20"/>
              </w:rPr>
              <w:t>Толщина листа 5мм</w:t>
            </w:r>
          </w:p>
          <w:p w:rsidR="002E2290" w:rsidRDefault="00C47FB0">
            <w:pPr>
              <w:widowControl w:val="0"/>
            </w:pPr>
            <w:r>
              <w:rPr>
                <w:sz w:val="20"/>
                <w:szCs w:val="20"/>
              </w:rPr>
              <w:t>Метод изготовления полистовой;</w:t>
            </w:r>
          </w:p>
          <w:p w:rsidR="002E2290" w:rsidRDefault="00C47FB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Днище:</w:t>
            </w:r>
          </w:p>
          <w:p w:rsidR="002E2290" w:rsidRDefault="00C47FB0">
            <w:pPr>
              <w:widowControl w:val="0"/>
            </w:pPr>
            <w:r>
              <w:rPr>
                <w:sz w:val="20"/>
                <w:szCs w:val="20"/>
              </w:rPr>
              <w:t>Усеченный конус с толщиной листа 6 мм;</w:t>
            </w:r>
          </w:p>
          <w:p w:rsidR="002E2290" w:rsidRDefault="00C47FB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Лестница:</w:t>
            </w:r>
          </w:p>
          <w:p w:rsidR="002E2290" w:rsidRDefault="00C47FB0">
            <w:pPr>
              <w:widowControl w:val="0"/>
            </w:pPr>
            <w:r>
              <w:rPr>
                <w:sz w:val="20"/>
                <w:szCs w:val="20"/>
              </w:rPr>
              <w:t>Предусмотреть</w:t>
            </w:r>
            <w:r>
              <w:rPr>
                <w:sz w:val="20"/>
                <w:szCs w:val="20"/>
              </w:rPr>
              <w:t xml:space="preserve"> наружную и внутренние лестницы;</w:t>
            </w:r>
          </w:p>
          <w:p w:rsidR="002E2290" w:rsidRDefault="00C47FB0">
            <w:pPr>
              <w:widowControl w:val="0"/>
            </w:pPr>
            <w:r>
              <w:rPr>
                <w:sz w:val="20"/>
                <w:szCs w:val="20"/>
              </w:rPr>
              <w:t>Конструкция — вертикальная;</w:t>
            </w:r>
          </w:p>
          <w:p w:rsidR="002E2290" w:rsidRDefault="00C47FB0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Площадка обслуживания:</w:t>
            </w:r>
          </w:p>
          <w:p w:rsidR="002E2290" w:rsidRDefault="00C47FB0">
            <w:pPr>
              <w:widowControl w:val="0"/>
            </w:pPr>
            <w:r>
              <w:rPr>
                <w:sz w:val="20"/>
                <w:szCs w:val="20"/>
              </w:rPr>
              <w:t>Наличие ограждения с возможностью обслуживания оборудования и доступом до замерного люка;</w:t>
            </w:r>
          </w:p>
          <w:p w:rsidR="002E2290" w:rsidRDefault="00C47FB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Санное основание: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Диаметр труб санного основания, мм —  не менее 273;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На концах тр</w:t>
            </w:r>
            <w:r>
              <w:rPr>
                <w:rFonts w:eastAsia="Calibri"/>
                <w:sz w:val="20"/>
                <w:szCs w:val="20"/>
                <w:lang w:eastAsia="en-US"/>
              </w:rPr>
              <w:t>уб санного основания наличие проушин, изготовленные из листа толщиной не менее s=16 мм для перемещения.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Заземление: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болтового крепления к заземляющему контуру;</w:t>
            </w:r>
          </w:p>
          <w:p w:rsidR="002E2290" w:rsidRDefault="00C47FB0">
            <w:pPr>
              <w:widowControl w:val="0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Лакокрасочное покрытие: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- 1-й слой Грунт ГФ-021 или эквивалент (в 1 слой);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- 2- слой лак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БТ 177 (серебрянка) или эквивалент (в 2 слоя).</w:t>
            </w:r>
          </w:p>
          <w:p w:rsidR="002E2290" w:rsidRDefault="00C47FB0">
            <w:pPr>
              <w:widowControl w:val="0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Комплектность: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Патрубок дыхательного клапана Ду100 – 1 шт.;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Дыхательный клапан СМДК-100 или эквивалент– 1 шт.;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Люк-лаз Ду800 – 1 шт.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Приемный патрубок Ду100 (ст. 09Г2С) – 1 шт.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Кран шаровый КШ-100 (ст. 09Г2С)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1 шт.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Патрубок выдачи Ду100 (ст. 09Г2С) – 1 шт.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Кран шаровый КШ-100 (ст. 09Г2С) – 1 шт.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Патрубок сливной Ду80 (ст. 09Г2С) – 1 шт.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Кран сливной КС-80 (ст. 09Г2С) – 1 шт.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Патрубок измерительного люка – 1 шт.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Люк замерный ЛЗ-150 или эквивалент - 1 шт.</w:t>
            </w:r>
          </w:p>
          <w:p w:rsidR="002E2290" w:rsidRDefault="00C47FB0">
            <w:pPr>
              <w:widowControl w:val="0"/>
            </w:pPr>
            <w:r>
              <w:rPr>
                <w:rFonts w:eastAsia="Calibri"/>
                <w:sz w:val="20"/>
                <w:szCs w:val="20"/>
                <w:lang w:eastAsia="en-US"/>
              </w:rPr>
              <w:t>Клап</w:t>
            </w:r>
            <w:r>
              <w:rPr>
                <w:rFonts w:eastAsia="Calibri"/>
                <w:sz w:val="20"/>
                <w:szCs w:val="20"/>
                <w:lang w:eastAsia="en-US"/>
              </w:rPr>
              <w:t>ан обратный ЗКО-80 или эквивалент (исп. УХЛ) – 1 шт.</w:t>
            </w:r>
          </w:p>
          <w:p w:rsidR="002E2290" w:rsidRDefault="00C47FB0">
            <w:pPr>
              <w:widowControl w:val="0"/>
              <w:rPr>
                <w:i/>
                <w:iCs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Наличие на каждую единицу запорной арматуры ответных фланцев с комплектом монтажных частей (метизы, прокладки)</w:t>
            </w:r>
          </w:p>
        </w:tc>
        <w:tc>
          <w:tcPr>
            <w:tcW w:w="1409" w:type="dxa"/>
          </w:tcPr>
          <w:p w:rsidR="002E2290" w:rsidRDefault="00C47FB0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759" w:type="dxa"/>
          </w:tcPr>
          <w:p w:rsidR="002E2290" w:rsidRDefault="00C47FB0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Способ</w:t>
            </w:r>
            <w:r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подтверждения: указание наименования продукции</w:t>
            </w:r>
          </w:p>
        </w:tc>
        <w:tc>
          <w:tcPr>
            <w:tcW w:w="1135" w:type="dxa"/>
          </w:tcPr>
          <w:p w:rsidR="002E2290" w:rsidRDefault="00C47FB0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Способ подтверждения: указание ГОСТа</w:t>
            </w:r>
          </w:p>
        </w:tc>
        <w:tc>
          <w:tcPr>
            <w:tcW w:w="1856" w:type="dxa"/>
          </w:tcPr>
          <w:p w:rsidR="002E2290" w:rsidRDefault="00C47FB0">
            <w:pPr>
              <w:pStyle w:val="aff0"/>
              <w:widowControl w:val="0"/>
              <w:ind w:left="5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Способ подтверждения: указание технических и функциональных характеристик продукции/эквивалента</w:t>
            </w:r>
          </w:p>
        </w:tc>
        <w:tc>
          <w:tcPr>
            <w:tcW w:w="1656" w:type="dxa"/>
          </w:tcPr>
          <w:p w:rsidR="002E2290" w:rsidRDefault="00C47FB0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Способ подтверждения: согласие</w:t>
            </w:r>
          </w:p>
        </w:tc>
      </w:tr>
    </w:tbl>
    <w:p w:rsidR="002E2290" w:rsidRDefault="00C47FB0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В случае, если Участником предлагается </w:t>
      </w:r>
      <w:r>
        <w:rPr>
          <w:b/>
          <w:bCs/>
          <w:i/>
          <w:iCs/>
          <w:sz w:val="22"/>
          <w:szCs w:val="22"/>
        </w:rPr>
        <w:t>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</w:t>
      </w:r>
      <w:r>
        <w:rPr>
          <w:i/>
          <w:iCs/>
          <w:sz w:val="22"/>
          <w:szCs w:val="22"/>
        </w:rPr>
        <w:t xml:space="preserve"> настоящем ТТ требований.</w:t>
      </w:r>
    </w:p>
    <w:p w:rsidR="002E2290" w:rsidRDefault="00C47FB0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 Способ подтверждения участником соответствия требованиям указан в таблице в отношении каждой позиции закупаемой продукции </w:t>
      </w:r>
    </w:p>
    <w:p w:rsidR="002E2290" w:rsidRDefault="002E2290">
      <w:pPr>
        <w:jc w:val="both"/>
        <w:rPr>
          <w:rStyle w:val="aff1"/>
          <w:b w:val="0"/>
          <w:iCs/>
          <w:sz w:val="24"/>
          <w:szCs w:val="24"/>
        </w:rPr>
      </w:pPr>
    </w:p>
    <w:tbl>
      <w:tblPr>
        <w:tblStyle w:val="affff7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1958"/>
        <w:gridCol w:w="4677"/>
        <w:gridCol w:w="2693"/>
        <w:gridCol w:w="3118"/>
        <w:gridCol w:w="2013"/>
      </w:tblGrid>
      <w:tr w:rsidR="002E2290">
        <w:tc>
          <w:tcPr>
            <w:tcW w:w="849" w:type="dxa"/>
            <w:vMerge w:val="restart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58" w:type="dxa"/>
            <w:vMerge w:val="restart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77" w:type="dxa"/>
            <w:vMerge w:val="restart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811" w:type="dxa"/>
            <w:gridSpan w:val="2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Способ подтверждения участником соответствия </w:t>
            </w:r>
            <w:r>
              <w:rPr>
                <w:b/>
                <w:bCs/>
                <w:sz w:val="24"/>
                <w:szCs w:val="24"/>
              </w:rPr>
              <w:t>требованиям</w:t>
            </w:r>
          </w:p>
        </w:tc>
        <w:tc>
          <w:tcPr>
            <w:tcW w:w="2013" w:type="dxa"/>
            <w:vMerge w:val="restart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2E2290">
        <w:tc>
          <w:tcPr>
            <w:tcW w:w="849" w:type="dxa"/>
            <w:vMerge/>
            <w:vAlign w:val="center"/>
          </w:tcPr>
          <w:p w:rsidR="002E2290" w:rsidRDefault="002E229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2E2290" w:rsidRDefault="002E229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2E2290" w:rsidRDefault="002E229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118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13" w:type="dxa"/>
            <w:vMerge/>
            <w:vAlign w:val="center"/>
          </w:tcPr>
          <w:p w:rsidR="002E2290" w:rsidRDefault="002E229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2E2290">
        <w:tc>
          <w:tcPr>
            <w:tcW w:w="849" w:type="dxa"/>
            <w:vAlign w:val="center"/>
          </w:tcPr>
          <w:p w:rsidR="002E2290" w:rsidRDefault="00C47FB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58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:rsidR="002E2290" w:rsidRDefault="00C47F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635" w:type="dxa"/>
            <w:gridSpan w:val="2"/>
            <w:vAlign w:val="center"/>
          </w:tcPr>
          <w:p w:rsidR="002E2290" w:rsidRDefault="00C47FB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функциональным </w:t>
            </w:r>
            <w:r>
              <w:rPr>
                <w:b/>
                <w:sz w:val="24"/>
                <w:szCs w:val="24"/>
              </w:rPr>
              <w:t>характеристикам (включая гарантируемые показатели)</w:t>
            </w:r>
          </w:p>
        </w:tc>
        <w:tc>
          <w:tcPr>
            <w:tcW w:w="2693" w:type="dxa"/>
          </w:tcPr>
          <w:p w:rsidR="002E2290" w:rsidRDefault="00C47F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8" w:type="dxa"/>
          </w:tcPr>
          <w:p w:rsidR="002E2290" w:rsidRDefault="00C47F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</w:tcPr>
          <w:p w:rsidR="002E2290" w:rsidRDefault="00C47F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635" w:type="dxa"/>
            <w:gridSpan w:val="2"/>
            <w:shd w:val="clear" w:color="auto" w:fill="auto"/>
          </w:tcPr>
          <w:p w:rsidR="002E2290" w:rsidRDefault="00C47FB0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Таблице №3 к настоящим Техническим требованиям</w:t>
            </w:r>
          </w:p>
        </w:tc>
        <w:tc>
          <w:tcPr>
            <w:tcW w:w="2693" w:type="dxa"/>
            <w:shd w:val="clear" w:color="auto" w:fill="auto"/>
          </w:tcPr>
          <w:p w:rsidR="002E2290" w:rsidRDefault="00C47FB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</w:t>
            </w:r>
            <w:r w:rsidRPr="00C47FB0">
              <w:rPr>
                <w:i/>
                <w:iCs/>
                <w:sz w:val="24"/>
                <w:szCs w:val="24"/>
              </w:rPr>
              <w:t>казание характеристик</w:t>
            </w:r>
          </w:p>
        </w:tc>
        <w:tc>
          <w:tcPr>
            <w:tcW w:w="3118" w:type="dxa"/>
            <w:shd w:val="clear" w:color="auto" w:fill="auto"/>
          </w:tcPr>
          <w:p w:rsidR="002E2290" w:rsidRDefault="002E229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2E2290" w:rsidRDefault="002E2290">
            <w:pPr>
              <w:widowControl w:val="0"/>
              <w:rPr>
                <w:sz w:val="24"/>
                <w:szCs w:val="24"/>
              </w:rPr>
            </w:pP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635" w:type="dxa"/>
            <w:gridSpan w:val="2"/>
            <w:vAlign w:val="center"/>
          </w:tcPr>
          <w:p w:rsidR="002E2290" w:rsidRDefault="00C47FB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693" w:type="dxa"/>
          </w:tcPr>
          <w:p w:rsidR="002E2290" w:rsidRDefault="00C47F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8" w:type="dxa"/>
          </w:tcPr>
          <w:p w:rsidR="002E2290" w:rsidRDefault="00C47F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</w:tcPr>
          <w:p w:rsidR="002E2290" w:rsidRDefault="00C47F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635" w:type="dxa"/>
            <w:gridSpan w:val="2"/>
          </w:tcPr>
          <w:p w:rsidR="002E2290" w:rsidRDefault="00C47FB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Таблице №3 к настоящим Техническим требованиям</w:t>
            </w:r>
          </w:p>
        </w:tc>
        <w:tc>
          <w:tcPr>
            <w:tcW w:w="2693" w:type="dxa"/>
          </w:tcPr>
          <w:p w:rsidR="002E2290" w:rsidRDefault="00C47FB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</w:t>
            </w:r>
            <w:r w:rsidRPr="00C47FB0">
              <w:rPr>
                <w:i/>
                <w:iCs/>
                <w:sz w:val="24"/>
                <w:szCs w:val="24"/>
              </w:rPr>
              <w:t>казание характеристик</w:t>
            </w:r>
            <w:bookmarkStart w:id="25" w:name="_GoBack"/>
            <w:bookmarkEnd w:id="25"/>
          </w:p>
        </w:tc>
        <w:tc>
          <w:tcPr>
            <w:tcW w:w="3118" w:type="dxa"/>
          </w:tcPr>
          <w:p w:rsidR="002E2290" w:rsidRDefault="002E22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2E2290" w:rsidRDefault="002E22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635" w:type="dxa"/>
            <w:gridSpan w:val="2"/>
            <w:vAlign w:val="center"/>
          </w:tcPr>
          <w:p w:rsidR="002E2290" w:rsidRDefault="00C47FB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93" w:type="dxa"/>
          </w:tcPr>
          <w:p w:rsidR="002E2290" w:rsidRDefault="002E22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E2290" w:rsidRDefault="002E22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2E2290" w:rsidRDefault="002E22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58" w:type="dxa"/>
          </w:tcPr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Требования к транспортированию и упаковке</w:t>
            </w:r>
          </w:p>
          <w:p w:rsidR="002E2290" w:rsidRDefault="002E2290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677" w:type="dxa"/>
          </w:tcPr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целях сохранности продукции и товаров Поставщик обязан обеспечить: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•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i/>
                <w:iCs/>
                <w:sz w:val="24"/>
                <w:szCs w:val="24"/>
              </w:rPr>
              <w:t xml:space="preserve"> строгое соблюдение установленных правил упаковки и затаривания продукции, маркировки и опломбирования отдельных мест, соответствие тары и упаковки для многоразовой перегрузки и транспортировки ТМЦ в условиях Крайнего Севера;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•</w:t>
            </w:r>
            <w:r>
              <w:rPr>
                <w:i/>
                <w:iCs/>
                <w:sz w:val="24"/>
                <w:szCs w:val="24"/>
              </w:rPr>
              <w:tab/>
              <w:t xml:space="preserve"> точное определение количест</w:t>
            </w:r>
            <w:r>
              <w:rPr>
                <w:i/>
                <w:iCs/>
                <w:sz w:val="24"/>
                <w:szCs w:val="24"/>
              </w:rPr>
              <w:t>ва отгруженной продукции (веса, количества мест: ящиков, мешков, связок, кип, пачек и т. д.)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•</w:t>
            </w:r>
            <w:r>
              <w:rPr>
                <w:i/>
                <w:iCs/>
                <w:sz w:val="24"/>
                <w:szCs w:val="24"/>
              </w:rPr>
              <w:tab/>
              <w:t xml:space="preserve"> при отгрузке продукции в упакованных или затаренных местах – вложение в каждое тарное место предусмотренного стандартами, техническими условиями, Особыми услови</w:t>
            </w:r>
            <w:r>
              <w:rPr>
                <w:i/>
                <w:iCs/>
                <w:sz w:val="24"/>
                <w:szCs w:val="24"/>
              </w:rPr>
              <w:t>ями поставки, иными обязательными правилами или Договором документа (упаковочного ярлыка, кипной карты, и т.п.), свидетельствующего о наименовании и количестве продукции, находящейся в данном тарном месте;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•</w:t>
            </w:r>
            <w:r>
              <w:rPr>
                <w:i/>
                <w:iCs/>
                <w:sz w:val="24"/>
                <w:szCs w:val="24"/>
              </w:rPr>
              <w:tab/>
              <w:t xml:space="preserve"> четкое и ясное оформление отгрузочных и расчетн</w:t>
            </w:r>
            <w:r>
              <w:rPr>
                <w:i/>
                <w:iCs/>
                <w:sz w:val="24"/>
                <w:szCs w:val="24"/>
              </w:rPr>
              <w:t>ых документов (в том числе счетов-фактур), соответствие указанных в них данных о количестве продукции фактически отгружаемому количеству, своевременную отсылку этих документов получателю в установленном порядке.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•</w:t>
            </w:r>
            <w:r>
              <w:rPr>
                <w:i/>
                <w:iCs/>
                <w:sz w:val="24"/>
                <w:szCs w:val="24"/>
              </w:rPr>
              <w:tab/>
              <w:t xml:space="preserve"> строгое соблюдение действующих на транспо</w:t>
            </w:r>
            <w:r>
              <w:rPr>
                <w:i/>
                <w:iCs/>
                <w:sz w:val="24"/>
                <w:szCs w:val="24"/>
              </w:rPr>
              <w:t>рте правил сдачи грузов к перевозке, их погрузки и крепления.</w:t>
            </w:r>
          </w:p>
          <w:p w:rsidR="002E2290" w:rsidRDefault="002E2290">
            <w:pPr>
              <w:widowControl w:val="0"/>
              <w:rPr>
                <w:i/>
                <w:iCs/>
                <w:sz w:val="24"/>
                <w:szCs w:val="24"/>
              </w:rPr>
            </w:pP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Требования к отгрузке товара: Условия транспортирования и хранения резервуаров и их элементов должны обеспечивать сохранность качества резервуаров, предохранять их от загрязнения, механических </w:t>
            </w:r>
            <w:r>
              <w:rPr>
                <w:i/>
                <w:iCs/>
                <w:sz w:val="24"/>
                <w:szCs w:val="24"/>
              </w:rPr>
              <w:t>повреждений и деформаций.</w:t>
            </w:r>
          </w:p>
          <w:p w:rsidR="002E2290" w:rsidRDefault="002E2290">
            <w:pPr>
              <w:widowControl w:val="0"/>
              <w:rPr>
                <w:i/>
                <w:iCs/>
                <w:sz w:val="24"/>
                <w:szCs w:val="24"/>
              </w:rPr>
            </w:pP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Порядок сдачи и приемки товара: Поставка Товара осуществляется одной либо отдельными партиями (по согласованной Заявке) за счет Поставщика на склад Покупателя.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Поставщик обязуется поставить Товар в соответствии с условиями Догово</w:t>
            </w:r>
            <w:r>
              <w:rPr>
                <w:i/>
                <w:iCs/>
                <w:sz w:val="24"/>
                <w:szCs w:val="24"/>
              </w:rPr>
              <w:t>ра и сдать груз в пункте назначения, согласно распорядка рабочего времени Покупателя с Пн. по Пт. с 8-00 ч. до 16-30 ч. (по местному времени г. Якутска), кроме выходных (суббота и воскресенье) и праздничных дней.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Поставщик обязан за сутки до поставки предо</w:t>
            </w:r>
            <w:r>
              <w:rPr>
                <w:i/>
                <w:iCs/>
                <w:sz w:val="24"/>
                <w:szCs w:val="24"/>
              </w:rPr>
              <w:t>ставить Покупателю информацию о характере и объеме направляемого груза, и сообщить следующие сведения для оформления пропуска въезда на территорию АО «Сахаэнерго»: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- Фамилия Имя Отчество водителя;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- Фамилия Имя Отчество ответственного лица, сопровождающе</w:t>
            </w:r>
            <w:r>
              <w:rPr>
                <w:i/>
                <w:iCs/>
                <w:sz w:val="24"/>
                <w:szCs w:val="24"/>
              </w:rPr>
              <w:t>го груз;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- Марка и государственный регистрационный номер машины.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Поставщик также должен сообщить номер сотового телефона ответственного лица, сопровождающего груз.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Пропуск на предприятие – строго по паспорту.</w:t>
            </w:r>
          </w:p>
        </w:tc>
        <w:tc>
          <w:tcPr>
            <w:tcW w:w="2693" w:type="dxa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118" w:type="dxa"/>
          </w:tcPr>
          <w:p w:rsidR="002E2290" w:rsidRDefault="002E2290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13" w:type="dxa"/>
          </w:tcPr>
          <w:p w:rsidR="002E2290" w:rsidRDefault="002E2290">
            <w:pPr>
              <w:widowControl w:val="0"/>
            </w:pP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58" w:type="dxa"/>
          </w:tcPr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Требования к </w:t>
            </w:r>
            <w:r>
              <w:rPr>
                <w:i/>
                <w:iCs/>
                <w:sz w:val="24"/>
                <w:szCs w:val="24"/>
              </w:rPr>
              <w:t>маркировке</w:t>
            </w:r>
          </w:p>
          <w:p w:rsidR="002E2290" w:rsidRDefault="002E2290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677" w:type="dxa"/>
          </w:tcPr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 упаковке товара должна присутствовать маркировка, которая должна содержать сведения об изготовителе, размере, количестве.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Наличие шильдика на резервуарах (тип и объем резервуара, завдоской номер, год выпуска, масса резервуара и т.п.)</w:t>
            </w:r>
          </w:p>
        </w:tc>
        <w:tc>
          <w:tcPr>
            <w:tcW w:w="2693" w:type="dxa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</w:t>
            </w:r>
            <w:r>
              <w:rPr>
                <w:i/>
                <w:iCs/>
                <w:sz w:val="24"/>
                <w:szCs w:val="24"/>
              </w:rPr>
              <w:t>е с требованием</w:t>
            </w:r>
          </w:p>
        </w:tc>
        <w:tc>
          <w:tcPr>
            <w:tcW w:w="3118" w:type="dxa"/>
          </w:tcPr>
          <w:p w:rsidR="002E2290" w:rsidRDefault="002E2290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2E2290" w:rsidRDefault="002E2290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1958" w:type="dxa"/>
          </w:tcPr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Место поставки</w:t>
            </w:r>
          </w:p>
        </w:tc>
        <w:tc>
          <w:tcPr>
            <w:tcW w:w="4677" w:type="dxa"/>
          </w:tcPr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 Приемка товара по количеству и качеству осуществляется по адресу: 677004, РФ, РС (Я), г. Якутск, ул. Беринга, 42 Производственная база АО «Сахаэнерго».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2. В случае несоответствия поставленной продукции требованиям </w:t>
            </w:r>
            <w:r>
              <w:rPr>
                <w:i/>
                <w:iCs/>
                <w:sz w:val="24"/>
                <w:szCs w:val="24"/>
              </w:rPr>
              <w:t>технического задания, Поставщик за свой счет производит замену несоответствующего товара согласованный между сторонами срок, в противном случае вся партия товара принята Заказчиком не будет.</w:t>
            </w:r>
          </w:p>
        </w:tc>
        <w:tc>
          <w:tcPr>
            <w:tcW w:w="2693" w:type="dxa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118" w:type="dxa"/>
          </w:tcPr>
          <w:p w:rsidR="002E2290" w:rsidRDefault="002E229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2E2290" w:rsidRDefault="002E2290">
            <w:pPr>
              <w:widowControl w:val="0"/>
            </w:pP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635" w:type="dxa"/>
            <w:gridSpan w:val="2"/>
            <w:vAlign w:val="center"/>
          </w:tcPr>
          <w:p w:rsidR="002E2290" w:rsidRDefault="00C47FB0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</w:t>
            </w:r>
            <w:r>
              <w:rPr>
                <w:b/>
                <w:sz w:val="24"/>
                <w:szCs w:val="24"/>
              </w:rPr>
              <w:t xml:space="preserve"> послегарантийному обслуживанию</w:t>
            </w:r>
          </w:p>
          <w:p w:rsidR="002E2290" w:rsidRDefault="002E2290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E2290" w:rsidRDefault="00C47FB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8" w:type="dxa"/>
          </w:tcPr>
          <w:p w:rsidR="002E2290" w:rsidRDefault="00C47FB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</w:tcPr>
          <w:p w:rsidR="002E2290" w:rsidRDefault="00C47FB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58" w:type="dxa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Срок гарантии</w:t>
            </w:r>
          </w:p>
        </w:tc>
        <w:tc>
          <w:tcPr>
            <w:tcW w:w="4677" w:type="dxa"/>
          </w:tcPr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На Товар устанавливается гарантийный срок не менее 24 (двадцати четырех) месяцев, который подлежит исчислению с даты подписания Сторонами товарной накладной по форме ТОРГ-12 (далее – </w:t>
            </w:r>
            <w:r>
              <w:rPr>
                <w:i/>
                <w:iCs/>
                <w:sz w:val="24"/>
                <w:szCs w:val="24"/>
              </w:rPr>
              <w:t>«Гарантийный срок»).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случае невозможности устранения отказа (устранения неисправности) товара в вышеуказанные сроки, поставщик обязан предоставить Заказчику (по адресу эксплуатации товара) аналогичный товар на время устранения отказа (устранения неисправ</w:t>
            </w:r>
            <w:r>
              <w:rPr>
                <w:i/>
                <w:iCs/>
                <w:sz w:val="24"/>
                <w:szCs w:val="24"/>
              </w:rPr>
              <w:t>ности).</w:t>
            </w:r>
          </w:p>
        </w:tc>
        <w:tc>
          <w:tcPr>
            <w:tcW w:w="2693" w:type="dxa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Предложение Участника по гарантийному сроку</w:t>
            </w:r>
          </w:p>
        </w:tc>
        <w:tc>
          <w:tcPr>
            <w:tcW w:w="3118" w:type="dxa"/>
          </w:tcPr>
          <w:p w:rsidR="002E2290" w:rsidRDefault="002E2290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2E2290" w:rsidRDefault="002E2290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635" w:type="dxa"/>
            <w:gridSpan w:val="2"/>
            <w:vAlign w:val="center"/>
          </w:tcPr>
          <w:p w:rsidR="002E2290" w:rsidRDefault="00C47FB0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93" w:type="dxa"/>
          </w:tcPr>
          <w:p w:rsidR="002E2290" w:rsidRDefault="00C47FB0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8" w:type="dxa"/>
          </w:tcPr>
          <w:p w:rsidR="002E2290" w:rsidRDefault="00C47FB0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</w:tcPr>
          <w:p w:rsidR="002E2290" w:rsidRDefault="00C47FB0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58" w:type="dxa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4677" w:type="dxa"/>
          </w:tcPr>
          <w:p w:rsidR="002E2290" w:rsidRDefault="00C47FB0">
            <w:pPr>
              <w:pStyle w:val="aff0"/>
              <w:widowControl w:val="0"/>
              <w:tabs>
                <w:tab w:val="left" w:pos="288"/>
              </w:tabs>
              <w:ind w:left="33"/>
              <w:rPr>
                <w:i/>
                <w:iCs/>
              </w:rPr>
            </w:pPr>
            <w:r>
              <w:rPr>
                <w:i/>
                <w:iCs/>
              </w:rPr>
              <w:t xml:space="preserve">Поставщик обязан одновременно с передачей продукции передать </w:t>
            </w:r>
            <w:r>
              <w:rPr>
                <w:i/>
                <w:iCs/>
              </w:rPr>
              <w:t>Покупателю относящиеся к нему документы, оформленные надлежащим образом: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Паспорт на резервуар;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Руководство по эксплуатации;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Технический паспорт на оборудование;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Технический паспорт на запорную арматуру;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Сборный чертеж резервуара со спецификацией;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Сертифика</w:t>
            </w:r>
            <w:r>
              <w:rPr>
                <w:i/>
                <w:iCs/>
                <w:sz w:val="24"/>
                <w:szCs w:val="24"/>
              </w:rPr>
              <w:t>т об утверждении типа средств измерений;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Декларация о соответствии;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Сертификат соответствия;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Градуировочные таблицы.</w:t>
            </w:r>
          </w:p>
          <w:p w:rsidR="002E2290" w:rsidRDefault="002E229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Товарную накладную унифицированной формы ТОРГ-12 (УПД) в</w:t>
            </w:r>
            <w:r>
              <w:rPr>
                <w:i/>
                <w:iCs/>
                <w:sz w:val="24"/>
                <w:szCs w:val="24"/>
              </w:rPr>
              <w:t xml:space="preserve"> 2 экз.;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Протоколы заводских испытаний;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Акт ультразвукового контроля.</w:t>
            </w:r>
          </w:p>
          <w:p w:rsidR="002E2290" w:rsidRDefault="002E229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соответствии с требованиями РД 03-615-03, предприятие-изготовитель обязано представить: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копию свидетельства НАКС о готовности организации к использованию аттестованной технологии </w:t>
            </w:r>
            <w:r>
              <w:rPr>
                <w:i/>
                <w:iCs/>
                <w:sz w:val="24"/>
                <w:szCs w:val="24"/>
              </w:rPr>
              <w:t>сварки резервуаров ;</w:t>
            </w:r>
          </w:p>
          <w:p w:rsidR="002E2290" w:rsidRDefault="00C47FB0">
            <w:pPr>
              <w:widowControl w:val="0"/>
              <w:tabs>
                <w:tab w:val="left" w:pos="288"/>
              </w:tabs>
              <w:ind w:left="3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копии удостоверений персонала ИТР предприятия-изготовителя об аттестации НАКС на право руководства и технического контроля за проведением сварочных работ;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копии удостоверений об образовании и свидетельств рабочего персонала об атте</w:t>
            </w:r>
            <w:r>
              <w:rPr>
                <w:i/>
                <w:iCs/>
                <w:sz w:val="24"/>
                <w:szCs w:val="24"/>
              </w:rPr>
              <w:t>стации НАКС по пп. 4 «Оборудование химических, нефтехимических, нефтеперерабатывающих и взрывопожароопасных производств» и/или пп. 5 «Нетфегазодобывающее оборудование».</w:t>
            </w:r>
          </w:p>
          <w:p w:rsidR="002E2290" w:rsidRDefault="002E2290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118" w:type="dxa"/>
          </w:tcPr>
          <w:p w:rsidR="002E2290" w:rsidRDefault="002E229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2E2290" w:rsidRDefault="002E2290">
            <w:pPr>
              <w:widowControl w:val="0"/>
              <w:rPr>
                <w:sz w:val="24"/>
                <w:szCs w:val="24"/>
              </w:rPr>
            </w:pP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635" w:type="dxa"/>
            <w:gridSpan w:val="2"/>
            <w:vAlign w:val="center"/>
          </w:tcPr>
          <w:p w:rsidR="002E2290" w:rsidRDefault="00C47FB0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693" w:type="dxa"/>
          </w:tcPr>
          <w:p w:rsidR="002E2290" w:rsidRDefault="00C47FB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8" w:type="dxa"/>
          </w:tcPr>
          <w:p w:rsidR="002E2290" w:rsidRDefault="00C47FB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</w:tcPr>
          <w:p w:rsidR="002E2290" w:rsidRDefault="00C47FB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58" w:type="dxa"/>
            <w:vAlign w:val="center"/>
          </w:tcPr>
          <w:p w:rsidR="002E2290" w:rsidRDefault="00C47FB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Сведения о новизне</w:t>
            </w:r>
          </w:p>
          <w:p w:rsidR="002E2290" w:rsidRDefault="002E229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Поставляемая продукция должна быть новой (не бывшей в эксплуатации, не допускается поставка выставочных образцов), свободной от третьих лиц и работоспособной.</w:t>
            </w:r>
          </w:p>
          <w:p w:rsidR="002E2290" w:rsidRDefault="00C47F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Дата выпуска: Не ранее 2026 года.</w:t>
            </w:r>
          </w:p>
        </w:tc>
        <w:tc>
          <w:tcPr>
            <w:tcW w:w="2693" w:type="dxa"/>
          </w:tcPr>
          <w:p w:rsidR="002E2290" w:rsidRDefault="00C4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118" w:type="dxa"/>
          </w:tcPr>
          <w:p w:rsidR="002E2290" w:rsidRDefault="002E229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2E2290" w:rsidRDefault="002E2290">
            <w:pPr>
              <w:widowControl w:val="0"/>
              <w:rPr>
                <w:sz w:val="24"/>
                <w:szCs w:val="24"/>
              </w:rPr>
            </w:pPr>
          </w:p>
        </w:tc>
      </w:tr>
      <w:tr w:rsidR="002E2290">
        <w:tc>
          <w:tcPr>
            <w:tcW w:w="849" w:type="dxa"/>
            <w:vAlign w:val="center"/>
          </w:tcPr>
          <w:p w:rsidR="002E2290" w:rsidRDefault="002E22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58" w:type="dxa"/>
            <w:vAlign w:val="center"/>
          </w:tcPr>
          <w:p w:rsidR="002E2290" w:rsidRDefault="00C47FB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Условия </w:t>
            </w:r>
            <w:r>
              <w:rPr>
                <w:i/>
                <w:iCs/>
                <w:sz w:val="24"/>
                <w:szCs w:val="24"/>
              </w:rPr>
              <w:t>поставки эквивалентной продукции</w:t>
            </w:r>
          </w:p>
          <w:p w:rsidR="002E2290" w:rsidRDefault="002E229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2E2290" w:rsidRDefault="00C47FB0">
            <w:pPr>
              <w:pStyle w:val="aff0"/>
              <w:widowControl w:val="0"/>
              <w:numPr>
                <w:ilvl w:val="0"/>
                <w:numId w:val="12"/>
              </w:numPr>
              <w:ind w:left="35" w:firstLine="325"/>
              <w:rPr>
                <w:i/>
                <w:iCs/>
              </w:rPr>
            </w:pPr>
            <w:r>
              <w:rPr>
                <w:i/>
                <w:iCs/>
              </w:rPr>
              <w:t>Участник должен принять во внимание, что ссылка на марку (тип) продукции, носит описательный, а не обязательный характер. В случае если Участником предлагаются эквиваленты требуемого Заказчиком оборудования или его составн</w:t>
            </w:r>
            <w:r>
              <w:rPr>
                <w:i/>
                <w:iCs/>
              </w:rPr>
              <w:t>ых частей, в составе своего предложения он должен в обязательном порядке предоставить подробное техническое описание предлагаемого к поставке эквивалента. Отсутствие в составе технико-коммерческого предложения подробного технического описания эквивалента п</w:t>
            </w:r>
            <w:r>
              <w:rPr>
                <w:i/>
                <w:iCs/>
              </w:rPr>
              <w:t>родукции может являться причиной отклонения предложения Участника.</w:t>
            </w:r>
          </w:p>
          <w:p w:rsidR="002E2290" w:rsidRDefault="00C47FB0">
            <w:pPr>
              <w:pStyle w:val="aff0"/>
              <w:widowControl w:val="0"/>
              <w:numPr>
                <w:ilvl w:val="0"/>
                <w:numId w:val="12"/>
              </w:numPr>
              <w:ind w:left="35" w:firstLine="325"/>
              <w:rPr>
                <w:i/>
                <w:iCs/>
              </w:rPr>
            </w:pPr>
            <w:r>
              <w:rPr>
                <w:i/>
                <w:iCs/>
              </w:rPr>
              <w:t>Эквивалентная продукция - это продукция, которое по техническим и функциональным характеристикам не уступают характеристикам, заявленным в закупочной документации, в том числе по гарантийны</w:t>
            </w:r>
            <w:r>
              <w:rPr>
                <w:i/>
                <w:iCs/>
              </w:rPr>
              <w:t>м срокам и срокам эксплуатации.</w:t>
            </w:r>
          </w:p>
        </w:tc>
        <w:tc>
          <w:tcPr>
            <w:tcW w:w="2693" w:type="dxa"/>
          </w:tcPr>
          <w:p w:rsidR="002E2290" w:rsidRDefault="002E229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E2290" w:rsidRDefault="00C47FB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Предоставление Участником подтверждающей информации и подробного технического описания предлагаемого к поставке эквивалента</w:t>
            </w:r>
          </w:p>
        </w:tc>
        <w:tc>
          <w:tcPr>
            <w:tcW w:w="2013" w:type="dxa"/>
          </w:tcPr>
          <w:p w:rsidR="002E2290" w:rsidRDefault="002E229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2E2290" w:rsidRDefault="002E2290">
      <w:pPr>
        <w:sectPr w:rsidR="002E2290">
          <w:headerReference w:type="default" r:id="rId13"/>
          <w:headerReference w:type="first" r:id="rId14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2E2290" w:rsidRDefault="00C47FB0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6" w:name="_Toc53393312"/>
      <w:bookmarkStart w:id="27" w:name="_Toc124165075"/>
      <w:bookmarkStart w:id="28" w:name="_Toc51339699"/>
      <w:bookmarkStart w:id="29" w:name="_Toc46743519"/>
      <w:r>
        <w:rPr>
          <w:lang w:val="ru-RU"/>
        </w:rPr>
        <w:t>Требования к документации по ценообразованию</w:t>
      </w:r>
      <w:bookmarkEnd w:id="26"/>
      <w:r>
        <w:rPr>
          <w:lang w:val="ru-RU"/>
        </w:rPr>
        <w:t xml:space="preserve"> на этапе закупки</w:t>
      </w:r>
      <w:bookmarkEnd w:id="27"/>
    </w:p>
    <w:p w:rsidR="002E2290" w:rsidRDefault="002E2290">
      <w:pPr>
        <w:pStyle w:val="1"/>
        <w:keepLines/>
        <w:tabs>
          <w:tab w:val="clear" w:pos="0"/>
        </w:tabs>
        <w:ind w:left="357" w:firstLine="0"/>
        <w:rPr>
          <w:iCs/>
        </w:rPr>
      </w:pPr>
    </w:p>
    <w:p w:rsidR="002E2290" w:rsidRDefault="00C47FB0">
      <w:pPr>
        <w:numPr>
          <w:ilvl w:val="1"/>
          <w:numId w:val="10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0" w:name="_Hlk88325985"/>
      <w:r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0"/>
      <w:r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:rsidR="002E2290" w:rsidRDefault="00C47FB0">
      <w:pPr>
        <w:numPr>
          <w:ilvl w:val="1"/>
          <w:numId w:val="10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1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1"/>
      <w:r>
        <w:rPr>
          <w:bCs/>
          <w:i/>
          <w:iCs/>
          <w:sz w:val="24"/>
          <w:szCs w:val="24"/>
          <w:lang w:eastAsia="x-none"/>
        </w:rPr>
        <w:t xml:space="preserve"> в сост</w:t>
      </w:r>
      <w:r>
        <w:rPr>
          <w:bCs/>
          <w:i/>
          <w:iCs/>
          <w:sz w:val="24"/>
          <w:szCs w:val="24"/>
          <w:lang w:eastAsia="x-none"/>
        </w:rPr>
        <w:t>ав заявки не включаются.</w:t>
      </w:r>
      <w:bookmarkEnd w:id="28"/>
      <w:bookmarkEnd w:id="29"/>
    </w:p>
    <w:p w:rsidR="002E2290" w:rsidRDefault="002E2290">
      <w:pPr>
        <w:spacing w:before="40" w:after="120"/>
        <w:ind w:right="-28"/>
        <w:jc w:val="both"/>
        <w:rPr>
          <w:rStyle w:val="aff1"/>
          <w:rFonts w:eastAsiaTheme="minorHAnsi"/>
          <w:b w:val="0"/>
          <w:iCs/>
          <w:sz w:val="22"/>
          <w:szCs w:val="22"/>
        </w:rPr>
      </w:pPr>
    </w:p>
    <w:p w:rsidR="002E2290" w:rsidRDefault="002E2290">
      <w:pPr>
        <w:spacing w:before="40" w:after="120"/>
        <w:ind w:right="-28"/>
        <w:jc w:val="both"/>
        <w:rPr>
          <w:rStyle w:val="aff1"/>
          <w:rFonts w:eastAsiaTheme="minorHAnsi"/>
          <w:b w:val="0"/>
          <w:iCs/>
          <w:sz w:val="22"/>
          <w:szCs w:val="22"/>
        </w:rPr>
      </w:pPr>
    </w:p>
    <w:p w:rsidR="002E2290" w:rsidRDefault="002E2290">
      <w:pPr>
        <w:spacing w:before="40" w:after="120"/>
        <w:ind w:right="-28"/>
        <w:jc w:val="both"/>
        <w:rPr>
          <w:rStyle w:val="aff1"/>
          <w:rFonts w:eastAsiaTheme="minorHAnsi"/>
          <w:b w:val="0"/>
          <w:iCs/>
          <w:sz w:val="22"/>
          <w:szCs w:val="22"/>
        </w:rPr>
      </w:pPr>
    </w:p>
    <w:p w:rsidR="002E2290" w:rsidRDefault="002E2290">
      <w:pPr>
        <w:spacing w:before="40" w:after="120"/>
        <w:ind w:right="-28"/>
        <w:jc w:val="both"/>
        <w:rPr>
          <w:rStyle w:val="aff1"/>
          <w:rFonts w:eastAsiaTheme="minorHAnsi"/>
          <w:b w:val="0"/>
          <w:iCs/>
          <w:sz w:val="22"/>
          <w:szCs w:val="22"/>
        </w:rPr>
      </w:pPr>
    </w:p>
    <w:p w:rsidR="002E2290" w:rsidRDefault="002E2290">
      <w:pPr>
        <w:spacing w:before="40" w:after="120"/>
        <w:ind w:right="-28"/>
        <w:jc w:val="center"/>
      </w:pPr>
    </w:p>
    <w:p w:rsidR="002E2290" w:rsidRDefault="002E2290">
      <w:pPr>
        <w:spacing w:before="40" w:after="120"/>
        <w:ind w:right="-28"/>
        <w:jc w:val="center"/>
      </w:pPr>
    </w:p>
    <w:p w:rsidR="002E2290" w:rsidRDefault="002E2290">
      <w:pPr>
        <w:spacing w:before="40" w:after="120"/>
        <w:ind w:right="-28"/>
        <w:jc w:val="center"/>
        <w:rPr>
          <w:i/>
        </w:rPr>
      </w:pPr>
    </w:p>
    <w:p w:rsidR="002E2290" w:rsidRDefault="002E2290">
      <w:pPr>
        <w:spacing w:before="40" w:after="120"/>
        <w:ind w:right="-28"/>
        <w:jc w:val="both"/>
        <w:rPr>
          <w:rStyle w:val="aff1"/>
          <w:rFonts w:eastAsiaTheme="minorHAnsi"/>
          <w:b w:val="0"/>
          <w:iCs/>
          <w:sz w:val="22"/>
          <w:szCs w:val="22"/>
        </w:rPr>
      </w:pPr>
    </w:p>
    <w:p w:rsidR="002E2290" w:rsidRDefault="002E2290">
      <w:pPr>
        <w:spacing w:before="40" w:after="120"/>
        <w:ind w:right="-28"/>
        <w:jc w:val="both"/>
        <w:rPr>
          <w:rStyle w:val="aff1"/>
          <w:rFonts w:eastAsiaTheme="minorHAnsi"/>
          <w:b w:val="0"/>
          <w:iCs/>
          <w:sz w:val="22"/>
          <w:szCs w:val="22"/>
        </w:rPr>
      </w:pPr>
    </w:p>
    <w:p w:rsidR="002E2290" w:rsidRDefault="002E2290">
      <w:pPr>
        <w:spacing w:before="40" w:after="120"/>
        <w:ind w:right="-28"/>
        <w:jc w:val="both"/>
        <w:rPr>
          <w:rStyle w:val="aff1"/>
          <w:rFonts w:eastAsiaTheme="minorHAnsi"/>
          <w:b w:val="0"/>
          <w:iCs/>
          <w:sz w:val="22"/>
          <w:szCs w:val="22"/>
        </w:rPr>
      </w:pPr>
    </w:p>
    <w:p w:rsidR="002E2290" w:rsidRDefault="002E2290">
      <w:pPr>
        <w:spacing w:before="40" w:after="120"/>
        <w:ind w:right="-28"/>
        <w:jc w:val="both"/>
        <w:rPr>
          <w:rStyle w:val="aff1"/>
          <w:rFonts w:eastAsiaTheme="minorHAnsi"/>
          <w:b w:val="0"/>
          <w:iCs/>
          <w:sz w:val="22"/>
          <w:szCs w:val="22"/>
        </w:rPr>
      </w:pPr>
    </w:p>
    <w:p w:rsidR="002E2290" w:rsidRDefault="002E2290">
      <w:pPr>
        <w:spacing w:before="40" w:after="120"/>
        <w:ind w:right="-28"/>
        <w:jc w:val="both"/>
        <w:rPr>
          <w:rStyle w:val="aff1"/>
          <w:rFonts w:eastAsiaTheme="minorHAnsi"/>
          <w:b w:val="0"/>
          <w:iCs/>
          <w:sz w:val="22"/>
          <w:szCs w:val="22"/>
        </w:rPr>
      </w:pPr>
    </w:p>
    <w:p w:rsidR="002E2290" w:rsidRDefault="002E2290">
      <w:pPr>
        <w:spacing w:before="40" w:after="120"/>
        <w:ind w:right="-28"/>
        <w:jc w:val="both"/>
        <w:rPr>
          <w:rStyle w:val="aff1"/>
          <w:rFonts w:eastAsiaTheme="minorHAnsi"/>
          <w:b w:val="0"/>
          <w:iCs/>
          <w:sz w:val="22"/>
          <w:szCs w:val="22"/>
        </w:rPr>
      </w:pPr>
    </w:p>
    <w:sectPr w:rsidR="002E2290">
      <w:headerReference w:type="default" r:id="rId15"/>
      <w:headerReference w:type="first" r:id="rId16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7FB0">
      <w:r>
        <w:separator/>
      </w:r>
    </w:p>
  </w:endnote>
  <w:endnote w:type="continuationSeparator" w:id="0">
    <w:p w:rsidR="00000000" w:rsidRDefault="00C4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7FB0">
      <w:r>
        <w:separator/>
      </w:r>
    </w:p>
  </w:footnote>
  <w:footnote w:type="continuationSeparator" w:id="0">
    <w:p w:rsidR="00000000" w:rsidRDefault="00C47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90" w:rsidRDefault="00C47FB0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2290" w:rsidRDefault="00C47FB0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E2290" w:rsidRDefault="00C47FB0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90" w:rsidRDefault="00C47FB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90" w:rsidRDefault="002E2290">
    <w:pPr>
      <w:pStyle w:val="aff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90" w:rsidRDefault="002E229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90" w:rsidRDefault="002E229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90" w:rsidRDefault="00C47FB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90" w:rsidRDefault="002E2290">
    <w:pPr>
      <w:pStyle w:val="aff5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90" w:rsidRDefault="00C47FB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90" w:rsidRDefault="002E2290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C2107"/>
    <w:multiLevelType w:val="multilevel"/>
    <w:tmpl w:val="7C1012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9C677F2"/>
    <w:multiLevelType w:val="multilevel"/>
    <w:tmpl w:val="A7C0F59E"/>
    <w:lvl w:ilvl="0">
      <w:start w:val="1"/>
      <w:numFmt w:val="decimal"/>
      <w:pStyle w:val="ListBul2"/>
      <w:lvlText w:val="%1."/>
      <w:lvlJc w:val="left"/>
      <w:pPr>
        <w:tabs>
          <w:tab w:val="num" w:pos="0"/>
        </w:tabs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22AD7AD8"/>
    <w:multiLevelType w:val="multilevel"/>
    <w:tmpl w:val="014C27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E73DD4"/>
    <w:multiLevelType w:val="multilevel"/>
    <w:tmpl w:val="3A66C04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1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64525E5"/>
    <w:multiLevelType w:val="multilevel"/>
    <w:tmpl w:val="075EFA7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560B3588"/>
    <w:multiLevelType w:val="multilevel"/>
    <w:tmpl w:val="DF507CD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57DB41CF"/>
    <w:multiLevelType w:val="multilevel"/>
    <w:tmpl w:val="EA429852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5AB3577E"/>
    <w:multiLevelType w:val="multilevel"/>
    <w:tmpl w:val="8BF601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B993500"/>
    <w:multiLevelType w:val="multilevel"/>
    <w:tmpl w:val="2316765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012E28"/>
    <w:multiLevelType w:val="multilevel"/>
    <w:tmpl w:val="DFBE324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0" w15:restartNumberingAfterBreak="0">
    <w:nsid w:val="6BF159CA"/>
    <w:multiLevelType w:val="multilevel"/>
    <w:tmpl w:val="EBA24B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CF70B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76FB5A0C"/>
    <w:multiLevelType w:val="multilevel"/>
    <w:tmpl w:val="7B90DE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12"/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290"/>
    <w:rsid w:val="002E2290"/>
    <w:rsid w:val="00C4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30E12-66F6-49CF-909F-C1022318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customStyle="1" w:styleId="affd">
    <w:name w:val="Заголовок"/>
    <w:basedOn w:val="a3"/>
    <w:next w:val="afe"/>
    <w:qFormat/>
    <w:pPr>
      <w:keepNext/>
      <w:spacing w:before="240" w:after="120"/>
    </w:pPr>
    <w:rPr>
      <w:rFonts w:ascii="Liberation Sans" w:eastAsia="Tahoma" w:hAnsi="Liberation Sans" w:cs="Lohit Devanagari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Lohit Devanagari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ListBul2">
    <w:name w:val="ListBul2"/>
    <w:basedOn w:val="a3"/>
    <w:qFormat/>
    <w:rsid w:val="001467A7"/>
    <w:pPr>
      <w:numPr>
        <w:numId w:val="9"/>
      </w:numPr>
      <w:tabs>
        <w:tab w:val="left" w:pos="567"/>
      </w:tabs>
      <w:jc w:val="both"/>
    </w:pPr>
    <w:rPr>
      <w:sz w:val="22"/>
      <w:szCs w:val="24"/>
    </w:rPr>
  </w:style>
  <w:style w:type="paragraph" w:customStyle="1" w:styleId="Default">
    <w:name w:val="Default"/>
    <w:qFormat/>
    <w:rsid w:val="00752894"/>
    <w:rPr>
      <w:color w:val="000000"/>
      <w:sz w:val="24"/>
      <w:szCs w:val="24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caption11">
    <w:name w:val="caption1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DA969-30F2-406D-8285-EDD9A922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14</Pages>
  <Words>2021</Words>
  <Characters>11521</Characters>
  <Application>Microsoft Office Word</Application>
  <DocSecurity>0</DocSecurity>
  <Lines>96</Lines>
  <Paragraphs>27</Paragraphs>
  <ScaleCrop>false</ScaleCrop>
  <Company>Microsoft</Company>
  <LinksUpToDate>false</LinksUpToDate>
  <CharactersWithSpaces>13515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Михайлов Павел Александрович</cp:lastModifiedBy>
  <cp:revision>59</cp:revision>
  <cp:lastPrinted>2023-07-20T06:23:00Z</cp:lastPrinted>
  <dcterms:created xsi:type="dcterms:W3CDTF">2024-02-13T05:07:00Z</dcterms:created>
  <dcterms:modified xsi:type="dcterms:W3CDTF">2026-02-05T06:24:00Z</dcterms:modified>
  <dc:language>ru-RU</dc:language>
</cp:coreProperties>
</file>