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</w:rPr>
        <w:t>«</w:t>
      </w:r>
      <w:r>
        <w:rPr>
          <w:b/>
        </w:rPr>
        <w:t xml:space="preserve">Автоперевозка </w:t>
      </w:r>
      <w:r>
        <w:rPr>
          <w:b/>
        </w:rPr>
        <w:t>инертных материалов</w:t>
      </w:r>
      <w:r>
        <w:rPr>
          <w:b/>
          <w:color w:val="000000"/>
        </w:rPr>
        <w:t xml:space="preserve"> </w:t>
      </w:r>
      <w:r>
        <w:rPr>
          <w:b/>
        </w:rPr>
        <w:t xml:space="preserve">по маршруту </w:t>
      </w:r>
      <w:r>
        <w:rPr>
          <w:b/>
        </w:rPr>
        <w:t>п.Тикси</w:t>
      </w:r>
      <w:r>
        <w:rPr>
          <w:b/>
        </w:rPr>
        <w:t xml:space="preserve"> — с.</w:t>
      </w:r>
      <w:r>
        <w:rPr>
          <w:b/>
        </w:rPr>
        <w:t>Таймылыр для нужд Булунских ЭС АО «Сахаэнерго»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</w:t>
      </w:r>
      <w:bookmarkStart w:id="0" w:name="_Toc152756605"/>
      <w:r>
        <w:rPr>
          <w:lang w:val="ru-RU"/>
        </w:rPr>
        <w:t>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52756606"/>
      <w:r>
        <w:rPr/>
        <w:t>Обозначения и сокращения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85"/>
        <w:gridCol w:w="8046"/>
      </w:tblGrid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(населенный пункт)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Поселок (населенный пункт)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</w:t>
            </w:r>
          </w:p>
        </w:tc>
        <w:tc>
          <w:tcPr>
            <w:tcW w:w="8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lang w:val="x-none" w:eastAsia="x-none"/>
              </w:rPr>
            </w:pPr>
            <w:r>
              <w:rPr>
                <w:sz w:val="24"/>
                <w:szCs w:val="24"/>
                <w:lang w:eastAsia="x-none"/>
              </w:rPr>
              <w:t>Производственная база АО «Сахаэнерго»,</w:t>
            </w:r>
            <w:r>
              <w:rPr>
                <w:sz w:val="24"/>
                <w:szCs w:val="24"/>
                <w:lang w:val="x-none" w:eastAsia="x-none"/>
              </w:rPr>
              <w:t xml:space="preserve"> ул.Беринга 42.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52756607"/>
      <w:r>
        <w:rPr/>
        <w:t>Наименование закупаемой продукции</w:t>
      </w:r>
      <w:bookmarkEnd w:id="3"/>
    </w:p>
    <w:p>
      <w:pPr>
        <w:pStyle w:val="Heading4"/>
        <w:numPr>
          <w:ilvl w:val="0"/>
          <w:numId w:val="0"/>
        </w:numPr>
        <w:ind w:left="0" w:hanging="0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Автоперевозка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инертных материалов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по маршруту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п.Тикси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 — с.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Таймылыр для нужд Булунских ЭС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.</w:t>
      </w:r>
      <w:bookmarkStart w:id="4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52756608"/>
      <w:r>
        <w:rPr/>
        <w:t xml:space="preserve">Цель </w:t>
      </w:r>
      <w:bookmarkEnd w:id="4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jc w:val="both"/>
        <w:rPr>
          <w:sz w:val="24"/>
          <w:lang w:val="x-none" w:eastAsia="x-none"/>
        </w:rPr>
      </w:pPr>
      <w:r>
        <w:rPr>
          <w:sz w:val="24"/>
          <w:lang w:eastAsia="x-none"/>
        </w:rPr>
        <w:t xml:space="preserve">Выполнение перевозки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инертных материалов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по маршруту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п.Тикси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 — с.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Таймылыр для нужд Булунских ЭС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.</w:t>
      </w:r>
      <w:r>
        <w:rPr>
          <w:sz w:val="24"/>
          <w:lang w:eastAsia="x-none"/>
        </w:rPr>
        <w:t xml:space="preserve"> Перевозка осуществляется согласно заявки отправителя.</w:t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52756609"/>
      <w:bookmarkStart w:id="8" w:name="_Toc46743510"/>
      <w:bookmarkStart w:id="9" w:name="_Toc50125126"/>
      <w:bookmarkEnd w:id="8"/>
      <w:bookmarkEnd w:id="9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10" w:name="_Toc15275661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  <w:lang w:eastAsia="x-none"/>
        </w:rPr>
      </w:pPr>
      <w:bookmarkStart w:id="11" w:name="_Toc152756611"/>
      <w:bookmarkStart w:id="12" w:name="_Toc51339695"/>
      <w:r>
        <w:rPr>
          <w:rFonts w:eastAsia="Calibri"/>
          <w:b/>
          <w:sz w:val="24"/>
          <w:szCs w:val="24"/>
          <w:lang w:eastAsia="x-none"/>
        </w:rPr>
        <w:t xml:space="preserve">Таблица 1. Перечень </w:t>
      </w:r>
      <w:bookmarkEnd w:id="12"/>
      <w:r>
        <w:rPr>
          <w:rFonts w:eastAsia="Calibri"/>
          <w:b/>
          <w:sz w:val="24"/>
          <w:szCs w:val="24"/>
          <w:lang w:eastAsia="x-none"/>
        </w:rPr>
        <w:t>и объем оказываемых услуг. Требования к срокам оказания услуг</w:t>
      </w:r>
      <w:bookmarkEnd w:id="11"/>
    </w:p>
    <w:tbl>
      <w:tblPr>
        <w:tblW w:w="100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"/>
        <w:gridCol w:w="2039"/>
        <w:gridCol w:w="1478"/>
        <w:gridCol w:w="1290"/>
        <w:gridCol w:w="1755"/>
        <w:gridCol w:w="1507"/>
        <w:gridCol w:w="1493"/>
      </w:tblGrid>
      <w:tr>
        <w:trPr/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км.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пункта доставки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доставки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доставки</w:t>
            </w:r>
          </w:p>
        </w:tc>
      </w:tr>
      <w:tr>
        <w:trPr/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инертных материалов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по маршруту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п.Тикси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 — с.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Таймылыр для нужд Булунских ЭС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с.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Таймылыр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Булунские ЭС АО «Сахаэнерго»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момента заключения договора согласно заявки отправителя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20.04.202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3" w:name="_Toc152756612"/>
      <w:bookmarkStart w:id="14" w:name="_Toc53395937"/>
      <w:bookmarkStart w:id="15" w:name="_Toc53393312"/>
      <w:bookmarkStart w:id="16" w:name="_Toc5012513111"/>
      <w:bookmarkStart w:id="17" w:name="_Toc51339699"/>
      <w:bookmarkStart w:id="18" w:name="_Toc46743519"/>
      <w:bookmarkStart w:id="19" w:name="_Toc4674351011"/>
      <w:bookmarkStart w:id="20" w:name="_Toc5012512611"/>
      <w:bookmarkStart w:id="21" w:name="_Toc501251311"/>
      <w:bookmarkEnd w:id="16"/>
      <w:bookmarkEnd w:id="17"/>
      <w:bookmarkEnd w:id="18"/>
      <w:bookmarkEnd w:id="19"/>
      <w:bookmarkEnd w:id="20"/>
      <w:bookmarkEnd w:id="21"/>
      <w:r>
        <w:rPr/>
        <w:t xml:space="preserve">Требования к </w:t>
      </w:r>
      <w:r>
        <w:rPr>
          <w:lang w:val="ru-RU"/>
        </w:rPr>
        <w:t>У</w:t>
      </w:r>
      <w:r>
        <w:rPr/>
        <w:t>частник</w:t>
      </w:r>
      <w:bookmarkEnd w:id="14"/>
      <w:bookmarkEnd w:id="15"/>
      <w:r>
        <w:rPr/>
        <w:t>ам закупки</w:t>
      </w:r>
      <w:bookmarkEnd w:id="13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ind w:left="357" w:hanging="357"/>
        <w:jc w:val="both"/>
        <w:rPr/>
      </w:pPr>
      <w:r>
        <w:rPr/>
        <w:t xml:space="preserve">3.1 </w:t>
      </w:r>
      <w:r>
        <w:rPr>
          <w:sz w:val="24"/>
          <w:szCs w:val="24"/>
        </w:rPr>
        <w:t>Наличие транспортн</w:t>
      </w:r>
      <w:r>
        <w:rPr>
          <w:sz w:val="24"/>
          <w:szCs w:val="24"/>
        </w:rPr>
        <w:t>ых</w:t>
      </w:r>
      <w:r>
        <w:rPr>
          <w:sz w:val="24"/>
          <w:szCs w:val="24"/>
        </w:rPr>
        <w:t xml:space="preserve"> средств с учетом выполнения перевозки по сезонным автомобильным дорогам Республики Саха (Якутия). Необходимое наличие техники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единиц, тягач с ППР, длиной борта не менее 12м., с повышенной проходимостью (шасси 6х6), с суммарной грузоподъемностью </w:t>
      </w:r>
      <w:r>
        <w:rPr>
          <w:sz w:val="24"/>
          <w:szCs w:val="24"/>
        </w:rPr>
        <w:t>139</w:t>
      </w:r>
      <w:r>
        <w:rPr>
          <w:sz w:val="24"/>
          <w:szCs w:val="24"/>
        </w:rPr>
        <w:t>тн. (нетто). Транспортные средства должны принадлежать Участнику на праве собственности, аренды или ином законном праве владения, с учетом допустимых масс.</w:t>
      </w:r>
    </w:p>
    <w:p>
      <w:pPr>
        <w:pStyle w:val="ListParagraph"/>
        <w:numPr>
          <w:ilvl w:val="0"/>
          <w:numId w:val="3"/>
        </w:numPr>
        <w:shd w:val="clear" w:color="auto" w:fill="FFFFFF"/>
        <w:ind w:left="284" w:hanging="0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Характеристика перевозимого груза</w:t>
      </w:r>
      <w:r>
        <w:rPr>
          <w:color w:val="000000"/>
          <w:sz w:val="28"/>
          <w:szCs w:val="28"/>
        </w:rPr>
        <w:t>:</w:t>
      </w:r>
    </w:p>
    <w:p>
      <w:pPr>
        <w:pStyle w:val="ListParagraph"/>
        <w:numPr>
          <w:ilvl w:val="1"/>
          <w:numId w:val="3"/>
        </w:numPr>
        <w:shd w:val="clear" w:color="auto" w:fill="FFFFFF"/>
        <w:ind w:left="1134" w:hanging="567"/>
        <w:jc w:val="both"/>
        <w:textAlignment w:val="baseline"/>
        <w:rPr/>
      </w:pPr>
      <w:r>
        <w:rPr>
          <w:color w:val="000000"/>
        </w:rPr>
        <w:t>Инертные материалы, в мешках.</w:t>
      </w:r>
    </w:p>
    <w:p>
      <w:pPr>
        <w:pStyle w:val="ListParagraph"/>
        <w:shd w:val="clear" w:color="auto" w:fill="FFFFFF"/>
        <w:ind w:left="567" w:hanging="0"/>
        <w:textAlignment w:val="baseline"/>
        <w:rPr>
          <w:color w:val="000000"/>
        </w:rPr>
      </w:pPr>
      <w:r>
        <w:rPr>
          <w:color w:val="000000"/>
        </w:rPr>
        <w:t xml:space="preserve">4.2.    Общий вес груза </w:t>
      </w:r>
      <w:r>
        <w:rPr>
          <w:color w:val="000000"/>
        </w:rPr>
        <w:t>139,00</w:t>
      </w:r>
      <w:r>
        <w:rPr>
          <w:color w:val="000000"/>
        </w:rPr>
        <w:t>тн.</w:t>
      </w:r>
    </w:p>
    <w:p>
      <w:pPr>
        <w:pStyle w:val="ListParagraph"/>
        <w:shd w:val="clear" w:color="auto" w:fill="FFFFFF"/>
        <w:ind w:left="567" w:hanging="0"/>
        <w:textAlignment w:val="baseline"/>
        <w:rPr/>
      </w:pPr>
      <w:r>
        <w:rPr/>
      </w:r>
    </w:p>
    <w:p>
      <w:pPr>
        <w:pStyle w:val="Normal"/>
        <w:shd w:val="clear" w:color="auto" w:fill="FFFFFF"/>
        <w:ind w:firstLine="283"/>
        <w:jc w:val="both"/>
        <w:textAlignment w:val="baseline"/>
        <w:rPr/>
      </w:pPr>
      <w:r>
        <w:rPr>
          <w:b/>
          <w:bCs/>
          <w:color w:val="000000"/>
        </w:rPr>
        <w:t>5.</w:t>
        <w:tab/>
        <w:t>Требования к Исполнителю оказания услуг:</w:t>
      </w:r>
    </w:p>
    <w:p>
      <w:pPr>
        <w:pStyle w:val="Normal"/>
        <w:tabs>
          <w:tab w:val="clear" w:pos="708"/>
          <w:tab w:val="left" w:pos="567" w:leader="none"/>
        </w:tabs>
        <w:snapToGrid w:val="false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bCs/>
          <w:sz w:val="24"/>
          <w:szCs w:val="24"/>
        </w:rPr>
        <w:tab/>
      </w:r>
      <w:r>
        <w:rPr>
          <w:sz w:val="24"/>
          <w:szCs w:val="24"/>
          <w:lang w:eastAsia="en-US"/>
        </w:rPr>
        <w:t>Подача автомашин под погрузку по заявке «Отправителя»;</w:t>
      </w:r>
    </w:p>
    <w:p>
      <w:pPr>
        <w:pStyle w:val="Normal"/>
        <w:tabs>
          <w:tab w:val="clear" w:pos="708"/>
          <w:tab w:val="left" w:pos="1134" w:leader="none"/>
        </w:tabs>
        <w:snapToGrid w:val="false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bCs/>
          <w:sz w:val="24"/>
          <w:szCs w:val="24"/>
        </w:rPr>
        <w:t>2.    Автотранспорт должен быть в исправном техническом состоянии, соответствующий всем установленным для него техническим требованиям, своевременного прохождения технического осмотра с оформлением всех установленных документов;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1134" w:hanging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5.3.</w:t>
        <w:tab/>
      </w:r>
      <w:r>
        <w:rPr>
          <w:rFonts w:eastAsia="Calibri" w:eastAsiaTheme="minorHAnsi"/>
          <w:sz w:val="24"/>
          <w:szCs w:val="24"/>
          <w:lang w:eastAsia="en-US"/>
        </w:rPr>
        <w:t xml:space="preserve">Перевозка крупногабаритных грузов должна осуществляться в соответствии с «Инструкцией по перевозке крупногабаритных и тяжеловесных грузов автомобильным транспортом по дорогам Российской Федерации» (утв. Минтрансом России 27.05.1996) (ред. От 24.07.2012); </w:t>
      </w:r>
    </w:p>
    <w:p>
      <w:pPr>
        <w:pStyle w:val="Normal"/>
        <w:spacing w:before="0" w:after="0"/>
        <w:ind w:left="1134" w:hanging="567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5.4.</w:t>
        <w:tab/>
        <w:t>Для перевозки негабаритных, тяжеловесных грузов и на период закрытия дорог оформлять пропуски, разрешения, согласования на право проезда и перевозки по закрытым и платным дорогам, а также предоставление при необходимости машины сопровождения производиться за счет Перевозчика;</w:t>
      </w:r>
    </w:p>
    <w:p>
      <w:pPr>
        <w:pStyle w:val="Normal"/>
        <w:spacing w:before="0" w:after="0"/>
        <w:ind w:left="1134" w:hanging="567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5.5.</w:t>
        <w:tab/>
        <w:t>Возможность корректировки маршрута и графика движения автотранспорта в связи с изменениями в производственном цикле;</w:t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5.6.</w:t>
        <w:tab/>
      </w:r>
      <w:r>
        <w:rPr>
          <w:sz w:val="24"/>
          <w:szCs w:val="24"/>
        </w:rPr>
        <w:t>Срок принятия заявки на перевозку грузов и ее рассмотрения не должен превышать 48 часов (от подачи заявки Заказчиком);</w:t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5.7.</w:t>
        <w:tab/>
        <w:t>Исполнитель организует подачу автотранспорта в пункт погрузки на дату и в часы, указанные в заявке;</w:t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5.8.</w:t>
        <w:tab/>
        <w:t>Исполнитель обязан сообщить Заказчику не позднее 14:00 часов дня, текущего дня загрузки, информацию о государственных номерах автомобилей фамилиях водителей, что подтверждается Исполнителем посредством отправки Заказчику факсимильной связью заявки, скрепленной печатью Исполнителя. С этого момента заявка считается принятой к исполнению;</w:t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5.9.</w:t>
        <w:tab/>
        <w:t>В случае отказа (срыва) от подтвержденной Исполнителем заявки на перевозку Исполнитель выплачивает неустойку согласно условиям Договора;</w:t>
      </w:r>
    </w:p>
    <w:p>
      <w:pPr>
        <w:pStyle w:val="Normal"/>
        <w:shd w:val="clear" w:color="auto" w:fill="FFFFFF"/>
        <w:ind w:left="1134" w:hanging="567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5.10.</w:t>
      </w: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Обеспечение своевременными средствами связи для контроля за работой техники и перевозкой грузов, с предоставлением ежедневных сводок по движению транспорта на электронную почту;</w:t>
      </w:r>
    </w:p>
    <w:p>
      <w:pPr>
        <w:pStyle w:val="Normal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5.11.</w:t>
        <w:tab/>
        <w:t xml:space="preserve">Исполнитель ежесуточно (не позднее 10:00 часов) предоставляет Заказчику и его Представителям информацию о фактах передвижения, погрузки (выгрузки) всех транспортов, </w:t>
      </w:r>
      <w:r>
        <w:rPr>
          <w:bCs/>
          <w:sz w:val="24"/>
          <w:szCs w:val="24"/>
        </w:rPr>
        <w:t xml:space="preserve">на электронную почту – mail@sakhaenergo.ru копию, </w:t>
      </w:r>
      <w:hyperlink r:id="rId7">
        <w:r>
          <w:rPr>
            <w:rStyle w:val="Hyperlink"/>
            <w:bCs/>
            <w:sz w:val="24"/>
            <w:szCs w:val="24"/>
          </w:rPr>
          <w:t>nka@</w:t>
        </w:r>
        <w:r>
          <w:rPr>
            <w:rStyle w:val="Hyperlink"/>
            <w:bCs/>
            <w:sz w:val="24"/>
            <w:szCs w:val="24"/>
          </w:rPr>
          <w:t>rushydro</w:t>
        </w:r>
        <w:r>
          <w:rPr>
            <w:rStyle w:val="Hyperlink"/>
            <w:bCs/>
            <w:sz w:val="24"/>
            <w:szCs w:val="24"/>
          </w:rPr>
          <w:t>.ru</w:t>
        </w:r>
      </w:hyperlink>
      <w:hyperlink r:id="rId8">
        <w:r>
          <w:rPr>
            <w:bCs/>
            <w:sz w:val="24"/>
            <w:szCs w:val="24"/>
          </w:rPr>
          <w:t xml:space="preserve">, </w:t>
        </w:r>
      </w:hyperlink>
      <w:r>
        <w:rPr>
          <w:bCs/>
          <w:sz w:val="24"/>
          <w:szCs w:val="24"/>
        </w:rPr>
        <w:t>molorovvv@rushydro.ru</w:t>
      </w:r>
      <w:r>
        <w:rPr>
          <w:bCs/>
          <w:sz w:val="24"/>
          <w:szCs w:val="24"/>
        </w:rPr>
        <w:t xml:space="preserve"> или факсимильной связи (4112) 49-72-49;</w:t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5.12.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перевозки.</w:t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left="1134" w:hanging="567"/>
        <w:jc w:val="both"/>
        <w:textAlignment w:val="baseline"/>
        <w:rPr/>
      </w:pPr>
      <w:r>
        <w:rPr>
          <w:b/>
          <w:color w:val="000000"/>
        </w:rPr>
        <w:t>6.</w:t>
      </w:r>
      <w:r>
        <w:rPr>
          <w:color w:val="000000"/>
        </w:rPr>
        <w:t xml:space="preserve">         </w:t>
      </w:r>
      <w:r>
        <w:rPr>
          <w:b/>
          <w:bCs/>
          <w:color w:val="000000"/>
        </w:rPr>
        <w:t>Требования к безопасности при оказании услуги:</w:t>
      </w:r>
    </w:p>
    <w:p>
      <w:pPr>
        <w:pStyle w:val="Normal"/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       Заказчик определяет тип и количество транспортных средств, необходимых для </w:t>
        <w:tab/>
        <w:tab/>
        <w:t>выполнения заявок;</w:t>
      </w:r>
    </w:p>
    <w:p>
      <w:pPr>
        <w:pStyle w:val="Normal"/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6.2.       Исполнитель своевременно обеспечивает в соответствии с заявками «Заказчика», </w:t>
        <w:tab/>
        <w:t>подачу под погрузку автотранспортных средств;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/>
      </w:pPr>
      <w:r>
        <w:rPr>
          <w:color w:val="000000"/>
        </w:rPr>
        <w:t>6.3.</w:t>
        <w:tab/>
        <w:t>Исполнитель осуществляет контроль (силами водителя): за процессом погрузки (выгрузки), внешнего состояния упаковки, порядка погрузки (выгрузки), распределения осевых нагрузок, надежности крепления и правильности размещения груза;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>
          <w:color w:val="000000"/>
        </w:rPr>
      </w:pPr>
      <w:r>
        <w:rPr>
          <w:color w:val="000000"/>
        </w:rPr>
        <w:t>6.4.</w:t>
        <w:tab/>
        <w:t>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транспортом.</w:t>
      </w:r>
    </w:p>
    <w:p>
      <w:pPr>
        <w:pStyle w:val="ListParagraph"/>
        <w:widowControl/>
        <w:shd w:val="clear" w:color="auto" w:fill="FFFFFF"/>
        <w:suppressAutoHyphens w:val="true"/>
        <w:bidi w:val="0"/>
        <w:spacing w:before="0" w:after="0"/>
        <w:ind w:left="567" w:right="0" w:hanging="0"/>
        <w:contextualSpacing/>
        <w:jc w:val="both"/>
        <w:textAlignment w:val="baseline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567"/>
        <w:jc w:val="both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гарантийному сроку и (или) объему предоставления гарантий качества услуги: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/>
      </w:pPr>
      <w:r>
        <w:rPr>
          <w:color w:val="000000"/>
        </w:rPr>
        <w:t>7.1.</w:t>
        <w:tab/>
        <w:t>Исполнитель отвечает за сохранность груза с момента принятия груза к перевозке от Заказчика до момента сдачи груза грузополучателю;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/>
      </w:pPr>
      <w:r>
        <w:rPr>
          <w:color w:val="000000"/>
        </w:rPr>
        <w:t>7.2.</w:t>
        <w:tab/>
        <w:t>Исполнитель несет полную материальную ответственность за сохранность/порчу/утрату грузов во время перевозки согласно договору;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/>
      </w:pPr>
      <w:r>
        <w:rPr>
          <w:color w:val="000000"/>
        </w:rPr>
        <w:t>7.3.</w:t>
        <w:tab/>
        <w:t>Стоимость утраченных или поврежденных грузов определяется на основании отгрузочных документов (товарно-транспортной накладной);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/>
      </w:pPr>
      <w:r>
        <w:rPr>
          <w:color w:val="000000"/>
        </w:rPr>
        <w:t>7.4.</w:t>
        <w:tab/>
        <w:t>Исполнитель обязан обеспечить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не обеспечение его сохранности с указанием причин возникновения;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/>
      </w:pPr>
      <w:r>
        <w:rPr>
          <w:color w:val="000000"/>
        </w:rPr>
        <w:t>7.5.</w:t>
        <w:tab/>
        <w:t>Исполнитель обязан обеспечить возможность оперативной замены транспортного средства другим в случае неисправности или дорожно-транспортного происшествия;</w:t>
      </w:r>
    </w:p>
    <w:p>
      <w:pPr>
        <w:pStyle w:val="ListParagraph"/>
        <w:shd w:val="clear" w:color="auto" w:fill="FFFFFF"/>
        <w:ind w:left="567" w:hanging="0"/>
        <w:jc w:val="both"/>
        <w:textAlignment w:val="baseline"/>
        <w:rPr>
          <w:bCs/>
          <w:i/>
          <w:i/>
          <w:shd w:fill="FFFF99" w:val="clear"/>
        </w:rPr>
      </w:pPr>
      <w:r>
        <w:rPr>
          <w:rFonts w:eastAsia="Times New Roman"/>
          <w:color w:val="000000"/>
        </w:rPr>
        <w:t>7.6.</w:t>
        <w:tab/>
        <w:t>А также иные требования, предусмотренные действующим законодательством РФ.</w:t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69B95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69B95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9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54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4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1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14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4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40e39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mailto:nka@rushydro.ru" TargetMode="External"/><Relationship Id="rId8" Type="http://schemas.openxmlformats.org/officeDocument/2006/relationships/hyperlink" Target="" TargetMode="Externa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4369-230C-4348-9F53-D0520DB7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AlterOffice/2025.3.0.0$Linux_X86_64 LibreOffice_project/4ba31b6a4271509a884f95065d0a726e9cb2bdbb</Application>
  <AppVersion>15.0000</AppVersion>
  <Pages>6</Pages>
  <Words>741</Words>
  <Characters>5254</Characters>
  <CharactersWithSpaces>5947</CharactersWithSpaces>
  <Paragraphs>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2023-12-06T00:15:00Z</dcterms:created>
  <dc:creator>Быстров Олег Геннадьевич</dc:creator>
  <dc:description/>
  <dc:language>ru-RU</dc:language>
  <cp:lastModifiedBy>molorovvv@sed.local</cp:lastModifiedBy>
  <dcterms:modified xsi:type="dcterms:W3CDTF">2026-06-23T11:00:12Z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