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4"/>
          <w:szCs w:val="26"/>
        </w:rPr>
      </w:pPr>
      <w:r>
        <w:rPr>
          <w:rFonts w:eastAsia="Calibri"/>
          <w:b/>
          <w:sz w:val="24"/>
          <w:szCs w:val="26"/>
        </w:rPr>
        <w:t xml:space="preserve">Технические требования</w:t>
      </w:r>
      <w:r>
        <w:rPr>
          <w:rFonts w:eastAsia="Calibri"/>
          <w:b/>
          <w:sz w:val="24"/>
          <w:szCs w:val="26"/>
        </w:rPr>
        <w:t xml:space="preserve"> на поставку МТР</w:t>
      </w:r>
      <w:r>
        <w:rPr>
          <w:rFonts w:eastAsia="Calibri"/>
          <w:b/>
          <w:sz w:val="24"/>
          <w:szCs w:val="26"/>
        </w:rPr>
      </w:r>
      <w:r>
        <w:rPr>
          <w:rFonts w:eastAsia="Calibri"/>
          <w:b/>
          <w:sz w:val="24"/>
          <w:szCs w:val="26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ОКПД2 28.22.14.151 Поставка самоходного крана на гусеничном ходу для нужд АО «Сахаэнерго»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 w:val="true"/>
        <w:keepLines w:val="true"/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СОДЕРЖАНИЕ</w:t>
      </w:r>
      <w:r>
        <w:rPr>
          <w:b/>
        </w:rPr>
      </w:r>
      <w:r>
        <w:rPr>
          <w:b/>
        </w:rPr>
      </w:r>
    </w:p>
    <w:p>
      <w:pPr>
        <w:pStyle w:val="973"/>
        <w:pBdr/>
        <w:tabs>
          <w:tab w:val="left" w:leader="none" w:pos="56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tooltip="#_Toc126239283" w:anchor="_Toc126239283" w:history="1">
        <w:r>
          <w:rPr>
            <w:rStyle w:val="975"/>
          </w:rPr>
          <w:t xml:space="preserve">1.</w:t>
        </w:r>
        <w:r>
          <w:rPr>
            <w:rFonts w:asciiTheme="minorHAnsi" w:hAnsiTheme="minorHAnsi" w:eastAsiaTheme="minorEastAsia" w:cstheme="minorBidi"/>
            <w:b w:val="0"/>
            <w:bCs w:val="0"/>
          </w:rPr>
          <w:tab/>
        </w:r>
        <w:r>
          <w:rPr>
            <w:rStyle w:val="975"/>
          </w:rPr>
          <w:t xml:space="preserve">Общие сведения</w:t>
        </w:r>
        <w:r>
          <w:tab/>
        </w:r>
        <w:r>
          <w:fldChar w:fldCharType="begin"/>
        </w:r>
        <w:r>
          <w:instrText xml:space="preserve"> PAGEREF _Toc126239283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986"/>
        <w:pBdr/>
        <w:tabs>
          <w:tab w:val="left" w:leader="none" w:pos="112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84" w:anchor="_Toc126239284" w:history="1">
        <w:r>
          <w:rPr>
            <w:rStyle w:val="975"/>
            <w:iCs/>
            <w:sz w:val="24"/>
            <w:szCs w:val="24"/>
          </w:rPr>
          <w:t xml:space="preserve">1.1.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75"/>
            <w:sz w:val="24"/>
            <w:szCs w:val="24"/>
          </w:rPr>
          <w:t xml:space="preserve">Обозначения и сокращения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_Toc126239284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86"/>
        <w:pBdr/>
        <w:tabs>
          <w:tab w:val="left" w:leader="none" w:pos="112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85" w:anchor="_Toc126239285" w:history="1">
        <w:r>
          <w:rPr>
            <w:rStyle w:val="975"/>
            <w:iCs/>
            <w:sz w:val="24"/>
            <w:szCs w:val="24"/>
          </w:rPr>
          <w:t xml:space="preserve">1.2.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75"/>
            <w:sz w:val="24"/>
            <w:szCs w:val="24"/>
          </w:rPr>
          <w:t xml:space="preserve">Наименование закупаемой продукции 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_Toc126239285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86"/>
        <w:pBdr/>
        <w:tabs>
          <w:tab w:val="left" w:leader="none" w:pos="112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86" w:anchor="_Toc126239286" w:history="1">
        <w:r>
          <w:rPr>
            <w:rStyle w:val="975"/>
            <w:iCs/>
            <w:sz w:val="24"/>
            <w:szCs w:val="24"/>
          </w:rPr>
          <w:t xml:space="preserve">1.3.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75"/>
            <w:sz w:val="24"/>
            <w:szCs w:val="24"/>
          </w:rPr>
          <w:t xml:space="preserve">Цель использования закупаемой продукции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_Toc126239286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73"/>
        <w:pBdr/>
        <w:tabs>
          <w:tab w:val="left" w:leader="none" w:pos="56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/>
      <w:hyperlink w:tooltip="#_Toc126239287" w:anchor="_Toc126239287" w:history="1">
        <w:r>
          <w:rPr>
            <w:rStyle w:val="975"/>
          </w:rPr>
          <w:t xml:space="preserve">2.</w:t>
        </w:r>
        <w:r>
          <w:rPr>
            <w:rFonts w:asciiTheme="minorHAnsi" w:hAnsiTheme="minorHAnsi" w:eastAsiaTheme="minorEastAsia" w:cstheme="minorBidi"/>
            <w:b w:val="0"/>
            <w:bCs w:val="0"/>
          </w:rPr>
          <w:tab/>
        </w:r>
        <w:r>
          <w:rPr>
            <w:rStyle w:val="975"/>
          </w:rPr>
          <w:t xml:space="preserve">Требования к продукции</w:t>
        </w:r>
        <w:r>
          <w:tab/>
        </w:r>
        <w:r>
          <w:fldChar w:fldCharType="begin"/>
        </w:r>
        <w:r>
          <w:instrText xml:space="preserve"> PAGEREF _Toc126239287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986"/>
        <w:pBdr/>
        <w:tabs>
          <w:tab w:val="left" w:leader="none" w:pos="112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88" w:anchor="_Toc126239288" w:history="1">
        <w:r>
          <w:rPr>
            <w:rStyle w:val="975"/>
            <w:iCs/>
            <w:sz w:val="24"/>
            <w:szCs w:val="24"/>
          </w:rPr>
          <w:t xml:space="preserve">2.1.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75"/>
            <w:sz w:val="24"/>
            <w:szCs w:val="24"/>
          </w:rPr>
          <w:t xml:space="preserve">Требования к объемам и срокам поставки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_Toc126239288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74"/>
        <w:pBdr/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89" w:anchor="_Toc126239289" w:history="1">
        <w:r>
          <w:rPr>
            <w:rStyle w:val="975"/>
            <w:sz w:val="24"/>
            <w:szCs w:val="24"/>
          </w:rPr>
          <w:t xml:space="preserve">2.1.1.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75"/>
            <w:sz w:val="24"/>
            <w:szCs w:val="24"/>
          </w:rPr>
          <w:t xml:space="preserve">Перечень и объем закупаемой продукции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_Toc126239289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73"/>
        <w:pBdr/>
        <w:tabs>
          <w:tab w:val="right" w:leader="dot" w:pos="10194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/>
      <w:hyperlink w:tooltip="#_Toc126239290" w:anchor="_Toc126239290" w:history="1">
        <w:r>
          <w:rPr>
            <w:rStyle w:val="975"/>
          </w:rPr>
          <w:t xml:space="preserve">Таблица 1.1 Перечень и объем закупаемой продукции</w:t>
        </w:r>
        <w:r>
          <w:tab/>
        </w:r>
        <w:r>
          <w:fldChar w:fldCharType="begin"/>
        </w:r>
        <w:r>
          <w:instrText xml:space="preserve"> PAGEREF _Toc126239290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974"/>
        <w:pBdr/>
        <w:spacing/>
        <w:ind/>
        <w:rPr>
          <w:sz w:val="24"/>
          <w:szCs w:val="24"/>
        </w:rPr>
      </w:pPr>
      <w:r/>
      <w:hyperlink w:tooltip="#_Toc126239291" w:anchor="_Toc126239291" w:history="1">
        <w:r>
          <w:rPr>
            <w:rStyle w:val="975"/>
            <w:sz w:val="24"/>
            <w:szCs w:val="24"/>
          </w:rPr>
          <w:t xml:space="preserve">2.1.2.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75"/>
            <w:sz w:val="24"/>
            <w:szCs w:val="24"/>
          </w:rPr>
          <w:t xml:space="preserve">Требования к срокам поставки продукции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_Toc126239291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4"/>
        <w:pBdr/>
        <w:spacing/>
        <w:ind w:left="0"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92" w:anchor="_Toc126239292" w:history="1">
        <w:r>
          <w:rPr>
            <w:rStyle w:val="975"/>
            <w:b/>
            <w:sz w:val="24"/>
            <w:szCs w:val="24"/>
          </w:rPr>
          <w:t xml:space="preserve">Таблица 2.1 Требования по срокам поставки продукции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_Toc126239292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86"/>
        <w:pBdr/>
        <w:tabs>
          <w:tab w:val="left" w:leader="none" w:pos="112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93" w:anchor="_Toc126239293" w:history="1">
        <w:r>
          <w:rPr>
            <w:rStyle w:val="975"/>
            <w:iCs/>
            <w:sz w:val="24"/>
            <w:szCs w:val="24"/>
          </w:rPr>
          <w:t xml:space="preserve">2.2.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75"/>
            <w:sz w:val="24"/>
            <w:szCs w:val="24"/>
          </w:rPr>
          <w:t xml:space="preserve">Требования к качеству продукции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 xml:space="preserve">4</w:t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73"/>
        <w:pBdr/>
        <w:tabs>
          <w:tab w:val="right" w:leader="dot" w:pos="10194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/>
      <w:hyperlink w:tooltip="#_Toc126239294" w:anchor="_Toc126239294" w:history="1">
        <w:r>
          <w:rPr>
            <w:rStyle w:val="975"/>
          </w:rPr>
          <w:t xml:space="preserve">Таблица 3. Требования к продукции</w:t>
        </w:r>
        <w:r>
          <w:tab/>
        </w:r>
        <w:r>
          <w:t xml:space="preserve">4</w:t>
        </w:r>
      </w:hyperlink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973"/>
        <w:pBdr/>
        <w:tabs>
          <w:tab w:val="left" w:leader="none" w:pos="560"/>
          <w:tab w:val="right" w:leader="dot" w:pos="10194"/>
        </w:tabs>
        <w:spacing/>
        <w:ind/>
        <w:rPr/>
      </w:pPr>
      <w:r/>
      <w:hyperlink w:tooltip="#_Toc126239297" w:anchor="_Toc126239297" w:history="1">
        <w:r>
          <w:rPr>
            <w:rStyle w:val="975"/>
          </w:rPr>
          <w:t xml:space="preserve">3.</w:t>
        </w:r>
        <w:r>
          <w:rPr>
            <w:rFonts w:asciiTheme="minorHAnsi" w:hAnsiTheme="minorHAnsi" w:eastAsiaTheme="minorEastAsia" w:cstheme="minorBidi"/>
            <w:b w:val="0"/>
            <w:bCs w:val="0"/>
          </w:rPr>
          <w:tab/>
        </w:r>
        <w:r>
          <w:t xml:space="preserve">Требования к документации по ценообразованию на этапе закупки</w:t>
        </w:r>
        <w:r>
          <w:tab/>
        </w:r>
        <w:r>
          <w:t xml:space="preserve">8</w:t>
        </w:r>
      </w:hyperlink>
      <w:r>
        <w:fldChar w:fldCharType="end"/>
      </w:r>
      <w:r/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 w:clear="all"/>
      </w: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</w:p>
    <w:p>
      <w:pPr>
        <w:pStyle w:val="939"/>
        <w:pBdr/>
        <w:spacing/>
        <w:ind/>
        <w:jc w:val="center"/>
        <w:rPr>
          <w:caps/>
        </w:rPr>
      </w:pPr>
      <w:r/>
      <w:bookmarkStart w:id="0" w:name="_Toc51339692"/>
      <w:r/>
      <w:bookmarkStart w:id="1" w:name="_Toc75446566"/>
      <w:r/>
      <w:bookmarkStart w:id="2" w:name="_Toc124170484"/>
      <w:r/>
      <w:bookmarkStart w:id="3" w:name="_Toc126239283"/>
      <w:r>
        <w:t xml:space="preserve">Общие сведения</w:t>
      </w:r>
      <w:bookmarkEnd w:id="0"/>
      <w:r/>
      <w:bookmarkEnd w:id="1"/>
      <w:r/>
      <w:bookmarkEnd w:id="2"/>
      <w:r/>
      <w:bookmarkEnd w:id="3"/>
      <w:r>
        <w:rPr>
          <w:caps/>
        </w:rPr>
      </w:r>
      <w:r>
        <w:rPr>
          <w:caps/>
        </w:rPr>
      </w:r>
    </w:p>
    <w:p>
      <w:pPr>
        <w:pStyle w:val="942"/>
        <w:pBdr/>
        <w:spacing/>
        <w:ind w:firstLine="135"/>
        <w:rPr>
          <w:sz w:val="24"/>
          <w:szCs w:val="24"/>
        </w:rPr>
      </w:pPr>
      <w:r/>
      <w:bookmarkStart w:id="4" w:name="_Toc46743505"/>
      <w:r/>
      <w:bookmarkStart w:id="5" w:name="_Toc75446567"/>
      <w:r/>
      <w:bookmarkStart w:id="6" w:name="_Toc126239284"/>
      <w:r>
        <w:rPr>
          <w:sz w:val="24"/>
          <w:szCs w:val="24"/>
        </w:rPr>
        <w:t xml:space="preserve">Обозначения и сокращения</w:t>
      </w:r>
      <w:bookmarkEnd w:id="4"/>
      <w:r/>
      <w:bookmarkEnd w:id="5"/>
      <w:r/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3"/>
        <w:gridCol w:w="8731"/>
      </w:tblGrid>
      <w:tr>
        <w:trPr>
          <w:cantSplit/>
          <w:jc w:val="center"/>
        </w:trPr>
        <w:tc>
          <w:tcPr>
            <w:tcBorders/>
            <w:tcW w:w="434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after="120" w:before="120"/>
              <w:ind/>
              <w:jc w:val="both"/>
              <w:rPr>
                <w:rStyle w:val="1036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ТТ</w:t>
            </w:r>
            <w:r>
              <w:rPr>
                <w:rStyle w:val="1036"/>
                <w:b w:val="0"/>
                <w:bCs/>
                <w:iCs/>
                <w:sz w:val="24"/>
                <w:szCs w:val="24"/>
              </w:rPr>
            </w:r>
            <w:r>
              <w:rPr>
                <w:rStyle w:val="1036"/>
                <w:b w:val="0"/>
                <w:bCs/>
                <w:iCs/>
                <w:sz w:val="24"/>
                <w:szCs w:val="24"/>
              </w:rPr>
            </w:r>
          </w:p>
        </w:tc>
        <w:tc>
          <w:tcPr>
            <w:tcBorders/>
            <w:tcW w:w="8780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after="120" w:before="120"/>
              <w:ind/>
              <w:jc w:val="both"/>
              <w:rPr>
                <w:rStyle w:val="103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технические требования</w:t>
            </w:r>
            <w:r>
              <w:rPr>
                <w:rStyle w:val="1036"/>
                <w:b w:val="0"/>
                <w:bCs/>
                <w:i w:val="0"/>
                <w:iCs/>
                <w:sz w:val="24"/>
                <w:szCs w:val="24"/>
              </w:rPr>
            </w:r>
            <w:r>
              <w:rPr>
                <w:rStyle w:val="1036"/>
                <w:b w:val="0"/>
                <w:bCs/>
                <w:i w:val="0"/>
                <w:iCs/>
                <w:sz w:val="24"/>
                <w:szCs w:val="24"/>
              </w:rPr>
            </w:r>
          </w:p>
        </w:tc>
      </w:tr>
    </w:tbl>
    <w:p>
      <w:pPr>
        <w:pStyle w:val="942"/>
        <w:pBdr/>
        <w:spacing/>
        <w:ind w:right="565" w:firstLine="135"/>
        <w:rPr/>
      </w:pPr>
      <w:r/>
      <w:bookmarkStart w:id="7" w:name="_Toc46743506"/>
      <w:r/>
      <w:bookmarkStart w:id="8" w:name="_Toc75446568"/>
      <w:r/>
      <w:bookmarkStart w:id="9" w:name="_Toc126239285"/>
      <w:r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 xml:space="preserve">закупаемой продукции</w:t>
      </w:r>
      <w:bookmarkEnd w:id="7"/>
      <w:r/>
      <w:bookmarkEnd w:id="8"/>
      <w:r>
        <w:rPr>
          <w:sz w:val="24"/>
          <w:szCs w:val="24"/>
        </w:rPr>
        <w:t xml:space="preserve"> </w:t>
      </w:r>
      <w:r>
        <w:rPr>
          <w:b w:val="0"/>
          <w:i/>
          <w:sz w:val="24"/>
          <w:szCs w:val="24"/>
          <w:lang w:val="ru-RU"/>
        </w:rPr>
        <w:t xml:space="preserve">О</w:t>
      </w:r>
      <w:r>
        <w:rPr>
          <w:b w:val="0"/>
          <w:i/>
          <w:sz w:val="24"/>
          <w:szCs w:val="24"/>
          <w:lang w:val="ru-RU"/>
        </w:rPr>
        <w:t xml:space="preserve">КПД2 28.22.14.151 Поставка самоходного крана на гусеничном ходу для нужд АО «Сахаэнерго».</w:t>
      </w:r>
      <w:r>
        <w:rPr>
          <w:b w:val="0"/>
          <w:i/>
          <w:sz w:val="24"/>
          <w:szCs w:val="24"/>
          <w:lang w:val="ru-RU"/>
        </w:rPr>
      </w:r>
      <w:bookmarkStart w:id="10" w:name="_Toc46743507"/>
      <w:r/>
      <w:bookmarkStart w:id="11" w:name="_Toc126239286"/>
      <w:r/>
      <w:bookmarkStart w:id="12" w:name="_Toc75446569"/>
      <w:r/>
      <w:bookmarkEnd w:id="9"/>
      <w:r>
        <w:rPr>
          <w:b w:val="0"/>
          <w:i/>
          <w:sz w:val="24"/>
          <w:szCs w:val="24"/>
          <w:lang w:val="ru-RU"/>
        </w:rPr>
      </w:r>
      <w:r/>
    </w:p>
    <w:p>
      <w:pPr>
        <w:pStyle w:val="942"/>
        <w:pBdr/>
        <w:spacing/>
        <w:ind w:right="565" w:firstLine="135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Цель использования закупаемой продукции</w:t>
      </w:r>
      <w:r>
        <w:rPr>
          <w:i/>
          <w:sz w:val="24"/>
          <w:szCs w:val="24"/>
          <w:lang w:val="ru-RU"/>
        </w:rPr>
        <w:t xml:space="preserve">: </w:t>
      </w:r>
      <w:r>
        <w:rPr>
          <w:b w:val="0"/>
          <w:i/>
          <w:sz w:val="24"/>
          <w:szCs w:val="24"/>
          <w:lang w:val="ru-RU"/>
        </w:rPr>
        <w:t xml:space="preserve">Для проведения грузоподъемных работ, для нужд АО «Сахаэнерго».</w:t>
      </w:r>
      <w:r>
        <w:rPr>
          <w:i/>
          <w:sz w:val="24"/>
          <w:szCs w:val="24"/>
          <w:lang w:val="ru-RU"/>
        </w:rPr>
      </w:r>
      <w:r>
        <w:rPr>
          <w:i/>
          <w:sz w:val="24"/>
          <w:szCs w:val="24"/>
          <w:lang w:val="ru-RU"/>
        </w:rPr>
      </w:r>
    </w:p>
    <w:p>
      <w:pPr>
        <w:pStyle w:val="942"/>
        <w:pBdr/>
        <w:spacing/>
        <w:ind w:right="565" w:firstLine="135"/>
        <w:rPr>
          <w:sz w:val="24"/>
          <w:szCs w:val="24"/>
        </w:rPr>
      </w:pPr>
      <w:r>
        <w:rPr>
          <w:i/>
          <w:sz w:val="24"/>
          <w:szCs w:val="24"/>
          <w:lang w:val="ru-RU"/>
        </w:rPr>
        <w:t xml:space="preserve">Иные</w:t>
      </w:r>
      <w:r>
        <w:rPr>
          <w:b w:val="0"/>
          <w:sz w:val="24"/>
          <w:szCs w:val="24"/>
          <w:lang w:val="ru-RU"/>
        </w:rPr>
        <w:t xml:space="preserve"> </w:t>
      </w:r>
      <w:bookmarkEnd w:id="10"/>
      <w:r/>
      <w:bookmarkEnd w:id="11"/>
      <w:r>
        <w:rPr>
          <w:sz w:val="24"/>
          <w:szCs w:val="24"/>
        </w:rPr>
        <w:t xml:space="preserve">требования и сведения общего характера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tabs>
          <w:tab w:val="left" w:leader="none" w:pos="426"/>
        </w:tabs>
        <w:spacing w:after="120" w:before="120"/>
        <w:ind w:right="565" w:left="567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1.</w:t>
      </w:r>
      <w:r>
        <w:rPr>
          <w:rFonts w:eastAsia="Calibri"/>
          <w:i/>
          <w:sz w:val="24"/>
          <w:szCs w:val="24"/>
        </w:rPr>
        <w:t xml:space="preserve">4.1.</w:t>
      </w:r>
      <w:r>
        <w:rPr>
          <w:rFonts w:eastAsia="Calibri"/>
          <w:i/>
          <w:sz w:val="24"/>
          <w:szCs w:val="24"/>
        </w:rPr>
        <w:tab/>
        <w:t xml:space="preserve"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</w:t>
      </w:r>
      <w:r>
        <w:rPr>
          <w:rFonts w:eastAsia="Calibri"/>
          <w:i/>
          <w:sz w:val="24"/>
          <w:szCs w:val="24"/>
        </w:rPr>
        <w:t xml:space="preserve">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ТТ. </w:t>
      </w:r>
      <w:r>
        <w:rPr>
          <w:rFonts w:eastAsia="Calibri"/>
          <w:i/>
          <w:sz w:val="24"/>
          <w:szCs w:val="24"/>
        </w:rPr>
      </w:r>
      <w:r>
        <w:rPr>
          <w:rFonts w:eastAsia="Calibri"/>
          <w:i/>
          <w:sz w:val="24"/>
          <w:szCs w:val="24"/>
        </w:rPr>
      </w:r>
    </w:p>
    <w:p>
      <w:pPr>
        <w:widowControl w:val="false"/>
        <w:pBdr/>
        <w:tabs>
          <w:tab w:val="left" w:leader="none" w:pos="426"/>
        </w:tabs>
        <w:spacing w:after="120" w:before="120"/>
        <w:ind w:right="565" w:left="567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1.4.</w:t>
      </w:r>
      <w:r>
        <w:rPr>
          <w:rFonts w:eastAsia="Calibri"/>
          <w:i/>
          <w:sz w:val="24"/>
          <w:szCs w:val="24"/>
        </w:rPr>
        <w:t xml:space="preserve">2</w:t>
      </w:r>
      <w:r>
        <w:rPr>
          <w:rFonts w:eastAsia="Calibri"/>
          <w:i/>
          <w:sz w:val="24"/>
          <w:szCs w:val="24"/>
        </w:rPr>
        <w:t xml:space="preserve">.</w:t>
      </w:r>
      <w:r>
        <w:rPr>
          <w:rFonts w:eastAsia="Calibri"/>
          <w:i/>
          <w:sz w:val="24"/>
          <w:szCs w:val="24"/>
        </w:rPr>
        <w:tab/>
        <w:t xml:space="preserve"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  <w:r>
        <w:rPr>
          <w:rFonts w:eastAsia="Calibri"/>
          <w:i/>
          <w:sz w:val="24"/>
          <w:szCs w:val="24"/>
        </w:rPr>
      </w:r>
      <w:r>
        <w:rPr>
          <w:rFonts w:eastAsia="Calibri"/>
          <w:i/>
          <w:sz w:val="24"/>
          <w:szCs w:val="24"/>
        </w:rPr>
      </w:r>
    </w:p>
    <w:p>
      <w:pPr>
        <w:pStyle w:val="939"/>
        <w:pBdr/>
        <w:spacing/>
        <w:ind/>
        <w:jc w:val="center"/>
        <w:rPr>
          <w:caps/>
          <w:sz w:val="24"/>
          <w:szCs w:val="24"/>
          <w:lang w:val="ru-RU"/>
        </w:rPr>
      </w:pPr>
      <w:r/>
      <w:bookmarkStart w:id="13" w:name="_Toc51339693"/>
      <w:r/>
      <w:bookmarkStart w:id="14" w:name="_Toc75446573"/>
      <w:r/>
      <w:bookmarkStart w:id="15" w:name="_Toc124170485"/>
      <w:r/>
      <w:bookmarkStart w:id="16" w:name="_Toc126239287"/>
      <w:r/>
      <w:bookmarkStart w:id="17" w:name="_Toc50125126"/>
      <w:r/>
      <w:bookmarkStart w:id="18" w:name="_Toc46743510"/>
      <w:r/>
      <w:bookmarkEnd w:id="12"/>
      <w:r>
        <w:rPr>
          <w:sz w:val="24"/>
          <w:szCs w:val="24"/>
        </w:rPr>
        <w:t xml:space="preserve">Требования к продукции</w:t>
      </w:r>
      <w:bookmarkEnd w:id="13"/>
      <w:r/>
      <w:bookmarkEnd w:id="14"/>
      <w:r/>
      <w:bookmarkEnd w:id="15"/>
      <w:r/>
      <w:bookmarkEnd w:id="16"/>
      <w:r>
        <w:rPr>
          <w:caps/>
          <w:sz w:val="24"/>
          <w:szCs w:val="24"/>
          <w:lang w:val="ru-RU"/>
        </w:rPr>
      </w:r>
      <w:r>
        <w:rPr>
          <w:caps/>
          <w:sz w:val="24"/>
          <w:szCs w:val="24"/>
          <w:lang w:val="ru-RU"/>
        </w:rPr>
      </w:r>
    </w:p>
    <w:p>
      <w:pPr>
        <w:pStyle w:val="942"/>
        <w:pBdr/>
        <w:spacing/>
        <w:ind w:firstLine="135"/>
        <w:rPr>
          <w:sz w:val="24"/>
          <w:szCs w:val="24"/>
        </w:rPr>
      </w:pPr>
      <w:r/>
      <w:bookmarkStart w:id="19" w:name="_Toc75446574"/>
      <w:r/>
      <w:bookmarkStart w:id="20" w:name="_Toc126239288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 xml:space="preserve">поставки</w:t>
      </w:r>
      <w:bookmarkEnd w:id="19"/>
      <w:r/>
      <w:bookmarkEnd w:id="2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/>
        <w:spacing/>
        <w:ind w:firstLine="141"/>
        <w:rPr>
          <w:sz w:val="24"/>
          <w:szCs w:val="24"/>
        </w:rPr>
      </w:pPr>
      <w:r/>
      <w:bookmarkStart w:id="21" w:name="_Toc75446575"/>
      <w:r/>
      <w:bookmarkStart w:id="22" w:name="_Toc124170486"/>
      <w:r/>
      <w:bookmarkStart w:id="23" w:name="_Toc126239289"/>
      <w:r>
        <w:rPr>
          <w:sz w:val="24"/>
          <w:szCs w:val="24"/>
        </w:rPr>
        <w:t xml:space="preserve">Перечень и объем закупаемой продукции</w:t>
      </w:r>
      <w:bookmarkEnd w:id="21"/>
      <w:r/>
      <w:bookmarkEnd w:id="22"/>
      <w:r/>
      <w:bookmarkEnd w:id="23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9"/>
        <w:numPr>
          <w:ilvl w:val="0"/>
          <w:numId w:val="0"/>
        </w:numPr>
        <w:pBdr/>
        <w:spacing/>
        <w:ind w:firstLine="567"/>
        <w:rPr>
          <w:b w:val="0"/>
          <w:sz w:val="24"/>
          <w:szCs w:val="24"/>
        </w:rPr>
      </w:pPr>
      <w:r/>
      <w:bookmarkStart w:id="24" w:name="_Toc51339695"/>
      <w:r/>
      <w:bookmarkStart w:id="25" w:name="_Toc75446576"/>
      <w:r/>
      <w:bookmarkStart w:id="26" w:name="_Toc124170487"/>
      <w:r/>
      <w:bookmarkStart w:id="27" w:name="_Toc126239290"/>
      <w:r>
        <w:rPr>
          <w:b w:val="0"/>
          <w:sz w:val="24"/>
          <w:szCs w:val="24"/>
        </w:rPr>
        <w:t xml:space="preserve">Таблица </w:t>
      </w:r>
      <w:r>
        <w:rPr>
          <w:b w:val="0"/>
          <w:sz w:val="24"/>
          <w:szCs w:val="24"/>
        </w:rPr>
        <w:t xml:space="preserve">1</w:t>
      </w:r>
      <w:r>
        <w:rPr>
          <w:b w:val="0"/>
          <w:sz w:val="24"/>
          <w:szCs w:val="24"/>
        </w:rPr>
        <w:t xml:space="preserve">.</w:t>
      </w:r>
      <w:r>
        <w:rPr>
          <w:b w:val="0"/>
          <w:sz w:val="24"/>
          <w:szCs w:val="24"/>
        </w:rPr>
        <w:t xml:space="preserve">1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Перечень </w:t>
      </w:r>
      <w:bookmarkEnd w:id="24"/>
      <w:r>
        <w:rPr>
          <w:b w:val="0"/>
          <w:sz w:val="24"/>
          <w:szCs w:val="24"/>
        </w:rPr>
        <w:t xml:space="preserve">и объем закупаемой продукции</w:t>
      </w:r>
      <w:bookmarkEnd w:id="25"/>
      <w:r/>
      <w:bookmarkEnd w:id="26"/>
      <w:r/>
      <w:bookmarkEnd w:id="27"/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tbl>
      <w:tblPr>
        <w:tblW w:w="9251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0"/>
        <w:gridCol w:w="5944"/>
        <w:gridCol w:w="1154"/>
        <w:gridCol w:w="1012"/>
      </w:tblGrid>
      <w:tr>
        <w:trPr>
          <w:cantSplit/>
          <w:trHeight w:val="2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№ п/п</w: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firstLine="567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Наименование товара</w: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firstLine="4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Ед. изм.</w: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hanging="93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Кол-во</w: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</w:tr>
      <w:tr>
        <w:trPr>
          <w:cantSplit/>
          <w:trHeight w:val="2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left="-1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cantSplit/>
          <w:trHeight w:val="4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Кран стреловой самоходный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pStyle w:val="941"/>
        <w:pBdr/>
        <w:spacing/>
        <w:ind w:firstLine="141"/>
        <w:rPr>
          <w:sz w:val="24"/>
          <w:szCs w:val="24"/>
        </w:rPr>
      </w:pPr>
      <w:r/>
      <w:bookmarkStart w:id="28" w:name="_Toc51339696"/>
      <w:r/>
      <w:bookmarkStart w:id="29" w:name="_Toc124170488"/>
      <w:r/>
      <w:bookmarkStart w:id="30" w:name="_Toc126239291"/>
      <w:r/>
      <w:bookmarkStart w:id="31" w:name="_Toc75446578"/>
      <w:r>
        <w:rPr>
          <w:sz w:val="24"/>
          <w:szCs w:val="24"/>
        </w:rPr>
        <w:t xml:space="preserve">Требования </w:t>
      </w:r>
      <w:bookmarkEnd w:id="28"/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срокам поставки продукции</w:t>
      </w:r>
      <w:bookmarkEnd w:id="29"/>
      <w:r/>
      <w:bookmarkEnd w:id="30"/>
      <w:r>
        <w:rPr>
          <w:sz w:val="24"/>
          <w:szCs w:val="24"/>
        </w:rPr>
        <w:t xml:space="preserve"> </w:t>
      </w:r>
      <w:bookmarkStart w:id="32" w:name="_Toc50125127"/>
      <w:r/>
      <w:bookmarkStart w:id="33" w:name="_Toc51339697"/>
      <w:r/>
      <w:bookmarkStart w:id="34" w:name="_Toc75446579"/>
      <w:r/>
      <w:bookmarkEnd w:id="17"/>
      <w:r/>
      <w:bookmarkEnd w:id="31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0"/>
          <w:numId w:val="0"/>
        </w:numPr>
        <w:pBdr/>
        <w:spacing/>
        <w:ind w:firstLine="567"/>
        <w:rPr>
          <w:b w:val="0"/>
          <w:sz w:val="24"/>
          <w:szCs w:val="24"/>
        </w:rPr>
      </w:pPr>
      <w:r/>
      <w:bookmarkStart w:id="35" w:name="_Toc124170489"/>
      <w:r/>
      <w:bookmarkStart w:id="36" w:name="_Toc126239292"/>
      <w:r>
        <w:rPr>
          <w:b w:val="0"/>
          <w:sz w:val="24"/>
          <w:szCs w:val="24"/>
        </w:rPr>
        <w:t xml:space="preserve">Таблица </w:t>
      </w:r>
      <w:r>
        <w:rPr>
          <w:b w:val="0"/>
          <w:sz w:val="24"/>
          <w:szCs w:val="24"/>
        </w:rPr>
        <w:t xml:space="preserve">2</w:t>
      </w:r>
      <w:r>
        <w:rPr>
          <w:b w:val="0"/>
          <w:sz w:val="24"/>
          <w:szCs w:val="24"/>
        </w:rPr>
        <w:t xml:space="preserve">.</w:t>
      </w:r>
      <w:r>
        <w:rPr>
          <w:b w:val="0"/>
          <w:sz w:val="24"/>
          <w:szCs w:val="24"/>
        </w:rPr>
        <w:t xml:space="preserve">1</w:t>
      </w:r>
      <w:r>
        <w:rPr>
          <w:b w:val="0"/>
          <w:sz w:val="24"/>
          <w:szCs w:val="24"/>
        </w:rPr>
        <w:t xml:space="preserve"> </w:t>
      </w:r>
      <w:bookmarkStart w:id="37" w:name="_Hlk50465284"/>
      <w:r>
        <w:rPr>
          <w:b w:val="0"/>
          <w:sz w:val="24"/>
          <w:szCs w:val="24"/>
        </w:rPr>
        <w:t xml:space="preserve">Требования по срокам </w:t>
      </w:r>
      <w:bookmarkEnd w:id="32"/>
      <w:r/>
      <w:bookmarkEnd w:id="33"/>
      <w:r/>
      <w:bookmarkEnd w:id="37"/>
      <w:r>
        <w:rPr>
          <w:b w:val="0"/>
          <w:sz w:val="24"/>
          <w:szCs w:val="24"/>
        </w:rPr>
        <w:t xml:space="preserve">поставки продукции</w:t>
      </w:r>
      <w:bookmarkEnd w:id="34"/>
      <w:r/>
      <w:bookmarkEnd w:id="35"/>
      <w:r/>
      <w:bookmarkEnd w:id="36"/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tbl>
      <w:tblPr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126"/>
        <w:gridCol w:w="1985"/>
      </w:tblGrid>
      <w:tr>
        <w:trPr>
          <w:jc w:val="center"/>
        </w:trPr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продукции / партии продукции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началу срока поставки продукции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окончанию срока поставки продукции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034"/>
              <w:keepNext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1034"/>
              <w:keepNext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ОКПД2 28.22.14.151 Поставка самоходного крана на гусеничном ходу для нужд АО «Сахаэнерго»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30 календарных дней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даты</w:t>
            </w:r>
            <w:r>
              <w:rPr>
                <w:sz w:val="24"/>
                <w:szCs w:val="24"/>
              </w:rPr>
              <w:t xml:space="preserve"> заключения Договора</w:t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9"/>
        <w:numPr>
          <w:ilvl w:val="0"/>
          <w:numId w:val="0"/>
        </w:numPr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Bdr/>
        <w:spacing/>
        <w:ind/>
        <w:jc w:val="both"/>
        <w:rPr>
          <w:b/>
          <w:bCs/>
          <w:i/>
          <w:iCs/>
          <w:sz w:val="20"/>
          <w:szCs w:val="20"/>
          <w:highlight w:val="yellow"/>
        </w:rPr>
        <w:sectPr>
          <w:footerReference w:type="default" r:id="rId12"/>
          <w:footerReference w:type="first" r:id="rId13"/>
          <w:footnotePr/>
          <w:endnotePr/>
          <w:type w:val="nextPage"/>
          <w:pgSz w:h="16838" w:orient="portrait" w:w="11906"/>
          <w:pgMar w:top="567" w:right="851" w:bottom="992" w:left="851" w:header="680" w:footer="737" w:gutter="0"/>
          <w:cols w:num="1" w:sep="0" w:space="708" w:equalWidth="1"/>
          <w:titlePg/>
        </w:sectPr>
      </w:pPr>
      <w:r>
        <w:rPr>
          <w:b/>
          <w:bCs/>
          <w:i/>
          <w:iCs/>
          <w:sz w:val="20"/>
          <w:szCs w:val="20"/>
          <w:highlight w:val="yellow"/>
        </w:rPr>
      </w:r>
      <w:r>
        <w:rPr>
          <w:b/>
          <w:bCs/>
          <w:i/>
          <w:iCs/>
          <w:sz w:val="20"/>
          <w:szCs w:val="20"/>
          <w:highlight w:val="yellow"/>
        </w:rPr>
      </w:r>
      <w:r>
        <w:rPr>
          <w:b/>
          <w:bCs/>
          <w:i/>
          <w:iCs/>
          <w:sz w:val="20"/>
          <w:szCs w:val="20"/>
          <w:highlight w:val="yellow"/>
        </w:rPr>
      </w:r>
    </w:p>
    <w:p>
      <w:pPr>
        <w:pStyle w:val="942"/>
        <w:pBdr/>
        <w:spacing/>
        <w:ind/>
        <w:rPr>
          <w:sz w:val="24"/>
          <w:szCs w:val="24"/>
        </w:rPr>
      </w:pPr>
      <w:r/>
      <w:bookmarkStart w:id="38" w:name="_Toc46743511"/>
      <w:r/>
      <w:bookmarkStart w:id="39" w:name="_Toc75446581"/>
      <w:r/>
      <w:bookmarkStart w:id="40" w:name="_Toc126239293"/>
      <w:r/>
      <w:bookmarkStart w:id="41" w:name="_Toc75446582"/>
      <w:r/>
      <w:bookmarkStart w:id="42" w:name="_Toc124170490"/>
      <w:r/>
      <w:bookmarkStart w:id="43" w:name="_Toc126239294"/>
      <w:r>
        <w:rPr>
          <w:sz w:val="24"/>
          <w:szCs w:val="24"/>
        </w:rPr>
        <w:t xml:space="preserve">Требования к </w:t>
      </w:r>
      <w:bookmarkEnd w:id="38"/>
      <w:r>
        <w:rPr>
          <w:sz w:val="24"/>
          <w:szCs w:val="24"/>
        </w:rPr>
        <w:t xml:space="preserve">качеству продукции</w:t>
      </w:r>
      <w:bookmarkEnd w:id="39"/>
      <w:r/>
      <w:bookmarkEnd w:id="4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bCs/>
          <w:i/>
          <w:iCs/>
          <w:sz w:val="24"/>
          <w:szCs w:val="20"/>
        </w:rPr>
      </w:pPr>
      <w:r>
        <w:rPr>
          <w:sz w:val="24"/>
        </w:rPr>
        <w:t xml:space="preserve">Таблица 3. Требования к продукции</w:t>
      </w:r>
      <w:bookmarkEnd w:id="41"/>
      <w:r/>
      <w:bookmarkEnd w:id="42"/>
      <w:r/>
      <w:bookmarkEnd w:id="43"/>
      <w:r>
        <w:rPr>
          <w:bCs/>
          <w:i/>
          <w:iCs/>
          <w:sz w:val="24"/>
          <w:szCs w:val="20"/>
        </w:rPr>
      </w:r>
      <w:r>
        <w:rPr>
          <w:bCs/>
          <w:i/>
          <w:iCs/>
          <w:sz w:val="24"/>
          <w:szCs w:val="20"/>
        </w:rPr>
      </w:r>
    </w:p>
    <w:p>
      <w:pPr>
        <w:pBdr/>
        <w:spacing/>
        <w:ind/>
        <w:rPr>
          <w:sz w:val="24"/>
          <w:szCs w:val="24"/>
        </w:rPr>
      </w:pPr>
      <w:r>
        <w:rPr>
          <w:b/>
          <w:bCs/>
          <w:i/>
          <w:iCs/>
          <w:sz w:val="24"/>
          <w:szCs w:val="20"/>
        </w:rPr>
        <w:t xml:space="preserve">Наименование продукции</w:t>
      </w:r>
      <w:r>
        <w:rPr>
          <w:b/>
          <w:bCs/>
          <w:iCs/>
          <w:sz w:val="24"/>
          <w:szCs w:val="20"/>
        </w:rPr>
        <w:t xml:space="preserve">: </w:t>
      </w:r>
      <w:r>
        <w:rPr>
          <w:sz w:val="24"/>
          <w:szCs w:val="24"/>
        </w:rPr>
        <w:t xml:space="preserve">ОКПД2 28.22.14.151 Поставка самоходного крана на гусеничном ходу для нужд АО «Сахаэнерго»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063"/>
        <w:tblpPr w:horzAnchor="text" w:tblpXSpec="left" w:vertAnchor="text" w:tblpY="1" w:leftFromText="180" w:topFromText="0" w:rightFromText="180" w:bottomFromText="0"/>
        <w:tblW w:w="15120" w:type="dxa"/>
        <w:tblBorders/>
        <w:tblLook w:val="04A0" w:firstRow="1" w:lastRow="0" w:firstColumn="1" w:lastColumn="0" w:noHBand="0" w:noVBand="1"/>
      </w:tblPr>
      <w:tblGrid>
        <w:gridCol w:w="988"/>
        <w:gridCol w:w="2019"/>
        <w:gridCol w:w="5786"/>
        <w:gridCol w:w="1790"/>
        <w:gridCol w:w="2414"/>
        <w:gridCol w:w="212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Наименование параметра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Требование заказчика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Способ подтверждения участником соответствия требованиям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Предложение участника по характеристикам и параметрам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Согласие с требованием/ указание характеристик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60" w:before="60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5"/>
              </w:numPr>
              <w:pBdr/>
              <w:spacing w:after="60" w:before="60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Требования к техническим и функциональным характеристикам (включая гарантируемые показатели)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-//-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-//-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-//-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1"/>
                <w:numId w:val="15"/>
              </w:numPr>
              <w:pBdr/>
              <w:spacing w:after="60" w:before="60"/>
              <w:ind w:firstLine="142" w:lef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  <w:t xml:space="preserve">Самоходный кран на гусеничном ходу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6"/>
              </w:numPr>
              <w:pBdr/>
              <w:spacing w:after="60" w:before="60"/>
              <w:ind w:right="-104" w:hanging="567" w:left="5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Марка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КС-59713-14Т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Указание характеристик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6"/>
              </w:numPr>
              <w:pBdr/>
              <w:spacing w:after="60" w:before="60"/>
              <w:ind w:right="-104" w:hanging="567" w:left="5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Область применения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Проведение грузоподъемных работ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6"/>
              </w:numPr>
              <w:pBdr/>
              <w:spacing w:after="60" w:before="60"/>
              <w:ind w:right="-104" w:hanging="567" w:left="5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Год выпуска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  <w:highlight w:val="none"/>
              </w:rPr>
              <w:t xml:space="preserve">Продукция должна быть, не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  <w:highlight w:val="none"/>
              </w:rPr>
              <w:t xml:space="preserve">ранее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  <w:highlight w:val="none"/>
              </w:rPr>
              <w:t xml:space="preserve">2017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  <w:highlight w:val="none"/>
              </w:rPr>
              <w:t xml:space="preserve">года изготовления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6"/>
              </w:numPr>
              <w:pBdr/>
              <w:spacing w:after="60" w:before="60"/>
              <w:ind w:right="-104" w:hanging="567" w:left="5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Иное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На всю продукцию должно быть установлено оборудование согласно ТТ непосредственно заводом изготовителем или в авторизованном сервисном центре, что должно быть подтверждено заказ-нарядом (предоставляет при поставке Продукции).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6"/>
              </w:numPr>
              <w:pBdr/>
              <w:spacing w:after="60" w:before="60"/>
              <w:ind w:right="-104" w:hanging="567" w:left="5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  <w:t xml:space="preserve">Технические характеристики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pBdr/>
              <w:spacing w:after="60" w:before="60"/>
              <w:ind w:right="-104"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Колесная формула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гусеничное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pBdr/>
              <w:spacing w:after="60" w:before="60"/>
              <w:ind w:right="-104"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Полная масса, кг. 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е более 31 000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6"/>
              </w:numPr>
              <w:pBdr/>
              <w:spacing w:after="60" w:before="60"/>
              <w:ind w:hanging="567" w:left="5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  <w:t xml:space="preserve">Двигатель: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7"/>
              </w:numPr>
              <w:pBdr/>
              <w:spacing w:after="60" w:before="60"/>
              <w:ind w:hanging="7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двигателя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изельный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7"/>
              </w:numPr>
              <w:pBdr/>
              <w:spacing w:after="60" w:before="60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Ма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ксимальная 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мощность,кВт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л.с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е менее 130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6"/>
              </w:numPr>
              <w:pBdr/>
              <w:spacing/>
              <w:ind w:hanging="7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Крановая установка Галичанин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1.1.7.1.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Крановая установка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Галичанин 25т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1.1.7.2.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Аутригеры (опоры)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епереворотные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, гидравлическое раздвижение, 4 шт.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1.1.7.3.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Грузоподъемность,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тн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е менее 24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1.1.7.4.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Максимальный вылет стрелы, м.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е менее 20,0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1.1.7.5.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Максимальная высота подъема крюка, м.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е менее 22,0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1.1.7.6.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Способ управления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идравлический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1.1.7.7.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Угол поворота, град.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360 неограниченно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5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Требования к доставке,  маркировке, упаковке, транспортировке, перемещению, условиям хранения, приемке и испытаниям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1"/>
                <w:numId w:val="15"/>
              </w:numPr>
              <w:pBdr/>
              <w:spacing/>
              <w:ind w:firstLine="0" w:left="3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Место поставки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Продукция должна быть доставлена Поставщиком по адресу: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689450, Чукотский АО, г. </w:t>
            </w:r>
            <w:r/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Билибино ул. Геологов д.1.</w:t>
            </w:r>
            <w:r/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1030"/>
              <w:keepNext w:val="false"/>
              <w:pBdr/>
              <w:spacing w:after="0" w:before="0"/>
              <w:ind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1"/>
                <w:numId w:val="15"/>
              </w:numPr>
              <w:pBdr/>
              <w:spacing/>
              <w:ind w:firstLine="0" w:left="3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Выполнение предпродажной подготовки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Проверка уровней масел, охлаждающей и эксплуатационных жидкостей в агрегатах, узлах и системах, проверка системы питания на герметичн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ость, контроль содержания вредных веществ в отработавших газах, проверка креплений оборудования и приборов системы питания, протяжка креплений всех узлов и механизмов, подтверждение выполнения работ по гарантийному и предпродажному обслуживанию поставляемо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й Продукции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на любом авторизованном техническом центре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5"/>
              </w:numPr>
              <w:pBdr/>
              <w:spacing w:after="60" w:before="60"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before="60"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Требования к гарантиям, гарантийному и послегарантийному обслуживанию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-//-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-//-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-//-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1"/>
                <w:numId w:val="15"/>
              </w:numPr>
              <w:pBdr/>
              <w:spacing w:after="60" w:before="60"/>
              <w:ind w:firstLine="142" w:left="-1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Гарантийный срок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widowControl w:val="false"/>
              <w:pBdr/>
              <w:spacing/>
              <w:ind w:left="-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Гарантийный срок на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Продукцию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составляет 12 месяцев и начинает течь с даты подписания Сторонами накладной ТОРГ-12(УПД) или 2 000 м/ч, в зависимости от того какое из условий наступит раньше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 w:left="-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Продлевается на период, когда Покупатель не мог пользоваться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Продукцией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из-за обнаруженных в не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недостатков, при условии, что Поставщик был извещен Покупателем об обнаружении недостатков в письменной форме в срок, предусмотренный Договором.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40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1030"/>
              <w:keepNext w:val="false"/>
              <w:pBdr/>
              <w:spacing/>
              <w:ind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1"/>
                <w:numId w:val="15"/>
              </w:numPr>
              <w:pBdr/>
              <w:spacing w:after="60" w:before="60"/>
              <w:ind w:firstLine="142" w:left="-1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Гарантийные обязательства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widowControl w:val="false"/>
              <w:pBdr/>
              <w:spacing/>
              <w:ind w:left="-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Распространяются в полном объеме на поставляем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ую Продукцию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, на все составляющие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её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части (комплектующие изделия), а также на запасные части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40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1030"/>
              <w:keepNext w:val="false"/>
              <w:pBdr/>
              <w:spacing/>
              <w:ind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1"/>
                <w:numId w:val="15"/>
              </w:numPr>
              <w:pBdr/>
              <w:spacing w:after="60" w:before="60"/>
              <w:ind w:firstLine="142" w:left="-1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Гарантийные обязательства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widowControl w:val="false"/>
              <w:pBdr/>
              <w:spacing/>
              <w:ind w:left="-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Поставщик бесплатно осуществляет гарантийные обязательства в отношении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Продукции 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комплектующих изделий в течение гарантийного срока, в том числе гарантийное обслуживание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, ремонт, восстановление, замену, если не докажет, что дефекты возникли в результа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те нарушения Покупателем правил эксплуатации Продукции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или условий е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ё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хранения. Исполнение гарантийных обязательств осуществляется как по местонахождению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Покупателя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(Получателя), так и по месту нахождения Участника закупки (Победитель закупки). В случаях, когда гарантийные обязательства осуществляются по местонахождению Поставщика,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доставка Продукции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и комплектующих изделий к месту гарантийного обслуживания, ремонта, замены и обратно осуществляется за счет Поставщика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40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1030"/>
              <w:keepNext w:val="false"/>
              <w:pBdr/>
              <w:spacing/>
              <w:ind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0"/>
                <w:numId w:val="15"/>
              </w:numPr>
              <w:pBdr/>
              <w:spacing w:after="60" w:before="60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Требования к комплектации и документам, поставляемым вместе с продукцией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60" w:before="60"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-//-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60" w:before="60"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-//-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60" w:before="60"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-//-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textDirection w:val="lrTb"/>
            <w:noWrap w:val="false"/>
          </w:tcPr>
          <w:p>
            <w:pPr>
              <w:pStyle w:val="1005"/>
              <w:numPr>
                <w:ilvl w:val="1"/>
                <w:numId w:val="15"/>
              </w:numPr>
              <w:pBdr/>
              <w:spacing w:after="60" w:before="60"/>
              <w:ind w:firstLine="142" w:lef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Документы, передаваемые вместе с продукцией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Поставщик обязан передать Покупателю оригиналы следующих документов: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- паспорт самоходной машины;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- технический паспорт (паспорт производителя) на каждую единицу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 (при наличии у производителя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- сертификат соответствия или декларация о соответствии в соответствии с действующим законодательством Российской Федерации;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- руководство по эксплуатации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- паспорта и сертификаты на дополнительное оборудование;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- договор купли-продажи, для постановки на учет в Гостехнадзор в 3 (трех) экземплярах;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- 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ГУ-27);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- счет;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- счет-фактуру (при наличии);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- товарная накладная (УПД) в 2 (двух) экз.;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- акт-приема передачи ТС в 2 (двух) экз.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Bdr/>
        <w:spacing/>
        <w:ind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Bdr/>
        <w:spacing w:after="40"/>
        <w:ind w:right="397"/>
        <w:jc w:val="both"/>
        <w:rPr>
          <w:i/>
          <w:iCs/>
          <w:sz w:val="22"/>
          <w:szCs w:val="22"/>
        </w:rPr>
      </w:pPr>
      <w:r/>
      <w:bookmarkStart w:id="44" w:name="_Toc53393312"/>
      <w:r/>
      <w:bookmarkStart w:id="45" w:name="_Toc75446583"/>
      <w:r/>
      <w:bookmarkStart w:id="46" w:name="_Toc46743519"/>
      <w:r/>
      <w:bookmarkStart w:id="47" w:name="_Toc51339699"/>
      <w:r>
        <w:rPr>
          <w:i/>
          <w:iCs/>
          <w:sz w:val="22"/>
          <w:szCs w:val="22"/>
        </w:rPr>
        <w:t xml:space="preserve">* Указанные в настоящем ТТ ссылки на ТУ, марку (тип) продукции носят описательный, а не обязательный характер. </w:t>
      </w:r>
      <w:r>
        <w:rPr>
          <w:i/>
          <w:iCs/>
          <w:sz w:val="22"/>
          <w:szCs w:val="22"/>
        </w:rPr>
      </w:r>
      <w:r>
        <w:rPr>
          <w:i/>
          <w:iCs/>
          <w:sz w:val="22"/>
          <w:szCs w:val="22"/>
        </w:rPr>
      </w:r>
    </w:p>
    <w:p>
      <w:pPr>
        <w:pBdr/>
        <w:spacing/>
        <w:ind/>
        <w:rPr>
          <w:b/>
          <w:bCs/>
          <w:i/>
          <w:iCs/>
          <w:sz w:val="22"/>
          <w:szCs w:val="22"/>
        </w:rPr>
        <w:sectPr>
          <w:footnotePr/>
          <w:endnotePr/>
          <w:type w:val="nextPage"/>
          <w:pgSz w:h="11906" w:orient="landscape" w:w="16838"/>
          <w:pgMar w:top="851" w:right="567" w:bottom="851" w:left="992" w:header="680" w:footer="737" w:gutter="0"/>
          <w:cols w:num="1" w:sep="0" w:space="708" w:equalWidth="1"/>
          <w:titlePg/>
        </w:sectPr>
      </w:pPr>
      <w:r>
        <w:rPr>
          <w:b/>
          <w:bCs/>
          <w:i/>
          <w:iCs/>
          <w:sz w:val="22"/>
          <w:szCs w:val="22"/>
        </w:rPr>
      </w:r>
      <w:r>
        <w:rPr>
          <w:b/>
          <w:bCs/>
          <w:i/>
          <w:iCs/>
          <w:sz w:val="22"/>
          <w:szCs w:val="22"/>
        </w:rPr>
      </w:r>
      <w:r>
        <w:rPr>
          <w:b/>
          <w:bCs/>
          <w:i/>
          <w:iCs/>
          <w:sz w:val="22"/>
          <w:szCs w:val="22"/>
        </w:rPr>
      </w:r>
    </w:p>
    <w:p>
      <w:pPr>
        <w:pStyle w:val="939"/>
        <w:keepLines w:val="true"/>
        <w:pBdr/>
        <w:spacing/>
        <w:ind w:firstLine="0" w:left="0"/>
        <w:jc w:val="center"/>
        <w:rPr>
          <w:lang w:val="ru-RU"/>
        </w:rPr>
      </w:pPr>
      <w:r>
        <w:rPr>
          <w:lang w:val="ru-RU"/>
        </w:rPr>
        <w:t xml:space="preserve">Требования к документации по ценообразованию на этапе закупки</w:t>
      </w:r>
      <w:bookmarkEnd w:id="44"/>
      <w:r/>
      <w:bookmarkEnd w:id="45"/>
      <w:r/>
      <w:bookmarkEnd w:id="46"/>
      <w:r/>
      <w:bookmarkEnd w:id="47"/>
      <w:r>
        <w:rPr>
          <w:lang w:val="ru-RU"/>
        </w:rPr>
      </w:r>
      <w:r>
        <w:rPr>
          <w:lang w:val="ru-RU"/>
        </w:rPr>
      </w:r>
    </w:p>
    <w:p>
      <w:pPr>
        <w:pStyle w:val="939"/>
        <w:keepLines w:val="true"/>
        <w:numPr>
          <w:ilvl w:val="0"/>
          <w:numId w:val="0"/>
        </w:numPr>
        <w:pBdr/>
        <w:spacing/>
        <w:ind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Цена на поставляемую Продукцию должна быть указана с учетом затрат на страхование, транспортировку до места поставки указанного в ТТ, с учетом скидки с максимальной цены перепродажи и расшифровкой стоимости дополнительного</w:t>
      </w:r>
      <w:r>
        <w:rPr>
          <w:b w:val="0"/>
          <w:iCs/>
          <w:sz w:val="24"/>
          <w:szCs w:val="24"/>
        </w:rPr>
        <w:t xml:space="preserve"> оборудования предлагаемой комплектации, уплату налогов, таможенных пошлин, сборов и других обязательных платежей, при этом сумма НДС (в случае его уплаты) выделяется отдельно и не входит в итоговую стоимость заявки Участника, являющегося плательщиком НДС.</w:t>
      </w:r>
      <w:r>
        <w:rPr>
          <w:b w:val="0"/>
          <w:iCs/>
          <w:sz w:val="24"/>
          <w:szCs w:val="24"/>
        </w:rPr>
      </w:r>
      <w:r>
        <w:rPr>
          <w:b w:val="0"/>
          <w:iCs/>
          <w:sz w:val="24"/>
          <w:szCs w:val="24"/>
        </w:rPr>
      </w:r>
    </w:p>
    <w:p>
      <w:pPr>
        <w:pStyle w:val="939"/>
        <w:keepLines w:val="true"/>
        <w:numPr>
          <w:ilvl w:val="0"/>
          <w:numId w:val="0"/>
        </w:numPr>
        <w:pBdr/>
        <w:spacing/>
        <w:ind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</w:r>
      <w:r>
        <w:rPr>
          <w:b w:val="0"/>
          <w:iCs/>
          <w:sz w:val="24"/>
          <w:szCs w:val="24"/>
        </w:rPr>
        <w:t xml:space="preserve">Соответствие установленному требованию подтверждается путем представления участником закупки Коммерческого предложения.</w:t>
      </w:r>
      <w:r>
        <w:rPr>
          <w:b w:val="0"/>
          <w:iCs/>
          <w:sz w:val="24"/>
          <w:szCs w:val="24"/>
        </w:rPr>
      </w:r>
      <w:r>
        <w:rPr>
          <w:b w:val="0"/>
          <w:iCs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1906" w:orient="landscape" w:w="16838"/>
      <w:pgMar w:top="1134" w:right="1134" w:bottom="851" w:left="992" w:header="680" w:footer="73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Garamond">
    <w:panose1 w:val="02020603050405020304"/>
  </w:font>
  <w:font w:name="Tahoma">
    <w:panose1 w:val="020B0604030504040204"/>
  </w:font>
  <w:font w:name="Verdana">
    <w:panose1 w:val="020B0604030504040204"/>
  </w:font>
  <w:font w:name="Calibri Light (Заголовки)">
    <w:panose1 w:val="020F0502020204030204"/>
  </w:font>
  <w:font w:name="Cambria">
    <w:panose1 w:val="020408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01758704"/>
      <w:docPartObj>
        <w:docPartGallery w:val="Page Numbers (Bottom of Page)"/>
        <w:docPartUnique w:val="true"/>
      </w:docPartObj>
      <w:rPr/>
    </w:sdtPr>
    <w:sdtContent>
      <w:p>
        <w:pPr>
          <w:pStyle w:val="963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96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244717"/>
      <w:docPartObj>
        <w:docPartGallery w:val="Page Numbers (Bottom of Page)"/>
        <w:docPartUnique w:val="true"/>
      </w:docPartObj>
      <w:rPr/>
    </w:sdtPr>
    <w:sdtContent>
      <w:p>
        <w:pPr>
          <w:pStyle w:val="963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framePr w:hAnchor="margin" w:vAnchor="text" w:wrap="around" w:xAlign="center" w:y="1"/>
      <w:pBdr/>
      <w:spacing/>
      <w:ind/>
      <w:rPr>
        <w:rStyle w:val="1028"/>
      </w:rPr>
    </w:pPr>
    <w:r>
      <w:rPr>
        <w:rStyle w:val="1028"/>
      </w:rPr>
      <w:fldChar w:fldCharType="begin"/>
    </w:r>
    <w:r>
      <w:rPr>
        <w:rStyle w:val="1028"/>
      </w:rPr>
      <w:instrText xml:space="preserve">PAGE  </w:instrText>
    </w:r>
    <w:r>
      <w:rPr>
        <w:rStyle w:val="1028"/>
      </w:rPr>
      <w:fldChar w:fldCharType="end"/>
    </w:r>
    <w:r>
      <w:rPr>
        <w:rStyle w:val="1028"/>
      </w:rPr>
    </w:r>
    <w:r>
      <w:rPr>
        <w:rStyle w:val="1028"/>
      </w:rPr>
    </w:r>
  </w:p>
  <w:p>
    <w:pPr>
      <w:pStyle w:val="96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1.3.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432" w:left="432"/>
      </w:pPr>
      <w:rPr>
        <w:b/>
        <w:bCs w:val="0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1144"/>
      </w:pPr>
      <w:rPr>
        <w:b/>
        <w:bCs/>
        <w:sz w:val="22"/>
        <w:szCs w:val="22"/>
      </w:rPr>
      <w:start w:val="1"/>
      <w:suff w:val="tab"/>
    </w:lvl>
    <w:lvl w:ilvl="2">
      <w:isLgl w:val="false"/>
      <w:lvlJc w:val="left"/>
      <w:lvlText w:val="1.2.3%3"/>
      <w:numFmt w:val="decimal"/>
      <w:pPr>
        <w:pBdr/>
        <w:spacing/>
        <w:ind w:hanging="720" w:left="720"/>
      </w:pPr>
      <w:rPr>
        <w:rFonts w:hint="default"/>
        <w:sz w:val="20"/>
        <w:szCs w:val="2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russianLower"/>
      <w:pPr>
        <w:pBdr/>
        <w:spacing/>
        <w:ind w:hanging="567" w:left="1985"/>
      </w:pPr>
      <w:pStyle w:val="1039"/>
      <w:rPr>
        <w:rFonts w:hint="default"/>
      </w:rPr>
      <w:start w:val="1"/>
      <w:suff w:val="tab"/>
    </w:lvl>
    <w:lvl w:ilvl="4">
      <w:isLgl w:val="false"/>
      <w:lvlJc w:val="left"/>
      <w:lvlText w:val="–"/>
      <w:numFmt w:val="bullet"/>
      <w:pPr>
        <w:pBdr/>
        <w:spacing/>
        <w:ind w:hanging="567" w:left="2268"/>
      </w:pPr>
      <w:pStyle w:val="1040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Restart w:val="3"/>
      <w:lvlText/>
      <w:numFmt w:val="none"/>
      <w:pPr>
        <w:pBdr/>
        <w:spacing/>
        <w:ind w:firstLine="0" w:left="1134"/>
      </w:pPr>
      <w:pStyle w:val="1043"/>
      <w:rPr>
        <w:rFonts w:hint="default"/>
      </w:rPr>
      <w:start w:val="1"/>
      <w:suff w:val="nothing"/>
    </w:lvl>
    <w:lvl w:ilvl="6">
      <w:isLgl w:val="false"/>
      <w:lvlJc w:val="left"/>
      <w:lvlRestart w:val="4"/>
      <w:lvlText/>
      <w:numFmt w:val="none"/>
      <w:pPr>
        <w:pBdr/>
        <w:spacing/>
        <w:ind w:firstLine="0" w:left="1701"/>
      </w:pPr>
      <w:pStyle w:val="1041"/>
      <w:rPr>
        <w:rFonts w:hint="default"/>
      </w:rPr>
      <w:start w:val="1"/>
      <w:suff w:val="nothing"/>
    </w:lvl>
    <w:lvl w:ilvl="7">
      <w:isLgl w:val="false"/>
      <w:lvlJc w:val="left"/>
      <w:lvlRestart w:val="3"/>
      <w:lvlText/>
      <w:numFmt w:val="none"/>
      <w:pPr>
        <w:pBdr/>
        <w:spacing/>
        <w:ind w:firstLine="0" w:left="0"/>
      </w:pPr>
      <w:pStyle w:val="1042"/>
      <w:rPr>
        <w:rFonts w:hint="default"/>
      </w:rPr>
      <w:start w:val="1"/>
      <w:suff w:val="nothing"/>
    </w:lvl>
    <w:lvl w:ilvl="8">
      <w:isLgl w:val="false"/>
      <w:lvlJc w:val="left"/>
      <w:lvlRestart w:val="3"/>
      <w:lvlText/>
      <w:numFmt w:val="none"/>
      <w:pPr>
        <w:pBdr/>
        <w:spacing/>
        <w:ind w:firstLine="0" w:left="1134"/>
      </w:pPr>
      <w:rPr>
        <w:rFonts w:hint="default"/>
      </w:rPr>
      <w:start w:val="1"/>
      <w:suff w:val="nothing"/>
    </w:lvl>
  </w:abstractNum>
  <w:abstractNum w:abstractNumId="3">
    <w:lvl w:ilvl="0">
      <w:isLgl w:val="false"/>
      <w:lvlJc w:val="left"/>
      <w:lvlText w:val="1.2.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52"/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57"/>
        </w:tabs>
        <w:spacing/>
        <w:ind w:firstLine="0" w:left="0"/>
      </w:pPr>
      <w:pStyle w:val="953"/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360"/>
      </w:pPr>
      <w:pStyle w:val="939"/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432"/>
      </w:pPr>
      <w:pStyle w:val="942"/>
      <w:rPr>
        <w:rFonts w:hint="default"/>
        <w:b/>
        <w:bCs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pStyle w:val="941"/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6">
    <w:styleLink w:val="1033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1033"/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52"/>
      </w:pPr>
      <w:rPr>
        <w:rFonts w:hint="default" w:ascii="Times New Roman" w:hAnsi="Times New Roman"/>
        <w:sz w:val="28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8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8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9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9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6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10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80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1.%1"/>
      <w:numFmt w:val="decimal"/>
      <w:pPr>
        <w:pBdr/>
        <w:spacing/>
        <w:ind w:hanging="360" w:left="1429"/>
      </w:pPr>
      <w:pStyle w:val="1051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tabs>
          <w:tab w:val="num" w:leader="none" w:pos="-207"/>
        </w:tabs>
        <w:spacing/>
        <w:ind w:hanging="360" w:left="-207"/>
      </w:pPr>
      <w:pStyle w:val="1020"/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513"/>
        </w:tabs>
        <w:spacing/>
        <w:ind w:hanging="360" w:left="513"/>
      </w:pPr>
      <w:pStyle w:val="1021"/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233"/>
        </w:tabs>
        <w:spacing/>
        <w:ind w:hanging="360" w:left="1233"/>
      </w:pPr>
      <w:pStyle w:val="1019"/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953"/>
        </w:tabs>
        <w:spacing/>
        <w:ind w:hanging="360" w:left="195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673"/>
        </w:tabs>
        <w:spacing/>
        <w:ind w:hanging="360" w:left="2673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393"/>
        </w:tabs>
        <w:spacing/>
        <w:ind w:hanging="360" w:left="339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113"/>
        </w:tabs>
        <w:spacing/>
        <w:ind w:hanging="360" w:left="411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833"/>
        </w:tabs>
        <w:spacing/>
        <w:ind w:hanging="360" w:left="4833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553"/>
        </w:tabs>
        <w:spacing/>
        <w:ind w:hanging="360" w:left="5553"/>
      </w:pPr>
      <w:rPr>
        <w:rFonts w:hint="default" w:ascii="Wingdings" w:hAnsi="Wingdings"/>
      </w:rPr>
      <w:start w:val="1"/>
      <w:suff w:val="tab"/>
    </w:lvl>
  </w:abstractNum>
  <w:abstractNum w:abstractNumId="10">
    <w:styleLink w:val="1029"/>
    <w:lvl w:ilvl="0">
      <w:isLgl w:val="false"/>
      <w:lvlJc w:val="left"/>
      <w:lvlText w:val="%1."/>
      <w:numFmt w:val="decimal"/>
      <w:pPr>
        <w:pBdr/>
        <w:spacing/>
        <w:ind w:hanging="360" w:left="360"/>
      </w:pPr>
      <w:pStyle w:val="1029"/>
      <w:rPr>
        <w:rFonts w:hint="default"/>
      </w:rPr>
      <w:start w:val="3"/>
      <w:suff w:val="tab"/>
    </w:lvl>
    <w:lvl w:ilvl="1">
      <w:isLgl w:val="false"/>
      <w:lvlJc w:val="left"/>
      <w:lvlText w:val="3.%2."/>
      <w:numFmt w:val="decimal"/>
      <w:pPr>
        <w:pBdr/>
        <w:spacing/>
        <w:ind w:hanging="432" w:left="792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1.2.31.%1"/>
      <w:numFmt w:val="decimal"/>
      <w:pPr>
        <w:pBdr/>
        <w:spacing/>
        <w:ind w:hanging="360" w:left="74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05"/>
      </w:pPr>
      <w:rPr/>
      <w:start w:val="1"/>
      <w:suff w:val="tab"/>
    </w:lvl>
  </w:abstractNum>
  <w:abstractNum w:abstractNumId="12">
    <w:lvl w:ilvl="0">
      <w:isLgl w:val="false"/>
      <w:lvlJc w:val="left"/>
      <w:lvlText w:val="1.1.%1"/>
      <w:numFmt w:val="decimal"/>
      <w:pPr>
        <w:pBdr/>
        <w:spacing/>
        <w:ind w:hanging="360" w:left="7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09"/>
      </w:pPr>
      <w:rPr/>
      <w:start w:val="1"/>
      <w:suff w:val="tab"/>
    </w:lvl>
  </w:abstractNum>
  <w:abstractNum w:abstractNumId="13">
    <w:lvl w:ilvl="0">
      <w:isLgl w:val="false"/>
      <w:lvlJc w:val="left"/>
      <w:lvlText w:val="3.%1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"/>
      <w:numFmt w:val="decimal"/>
      <w:pPr>
        <w:pBdr/>
        <w:spacing/>
        <w:ind w:hanging="432" w:left="432"/>
      </w:pPr>
      <w:rPr>
        <w:b/>
        <w:bCs w:val="0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1144"/>
      </w:pPr>
      <w:rPr>
        <w:b/>
        <w:bCs/>
        <w:sz w:val="22"/>
        <w:szCs w:val="22"/>
      </w:rPr>
      <w:start w:val="1"/>
      <w:suff w:val="tab"/>
    </w:lvl>
    <w:lvl w:ilvl="2">
      <w:isLgl w:val="false"/>
      <w:lvlJc w:val="left"/>
      <w:lvlText w:val="1.2.3%3"/>
      <w:numFmt w:val="decimal"/>
      <w:pPr>
        <w:pBdr/>
        <w:spacing/>
        <w:ind w:hanging="720" w:left="720"/>
      </w:pPr>
      <w:rPr>
        <w:rFonts w:hint="default"/>
        <w:sz w:val="20"/>
        <w:szCs w:val="2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tab"/>
    </w:lvl>
  </w:abstractNum>
  <w:abstractNum w:abstractNumId="15">
    <w:lvl w:ilvl="0">
      <w:isLgl w:val="false"/>
      <w:lvlJc w:val="left"/>
      <w:lvlText w:val="1.1.%1"/>
      <w:numFmt w:val="decimal"/>
      <w:pPr>
        <w:pBdr/>
        <w:spacing/>
        <w:ind w:hanging="360" w:left="749"/>
      </w:pPr>
      <w:rPr>
        <w:rFonts w:hint="default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09"/>
      </w:pPr>
      <w:rPr/>
      <w:start w:val="1"/>
      <w:suff w:val="tab"/>
    </w:lvl>
  </w:abstractNum>
  <w:abstractNum w:abstractNumId="16">
    <w:lvl w:ilvl="0">
      <w:isLgl w:val="false"/>
      <w:lvlJc w:val="left"/>
      <w:lvlText w:val="1.1.6.%1."/>
      <w:numFmt w:val="decimal"/>
      <w:pPr>
        <w:pBdr/>
        <w:spacing/>
        <w:ind w:hanging="360" w:left="7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1.1.11.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1.1.12.%1."/>
      <w:numFmt w:val="decimal"/>
      <w:pPr>
        <w:pBdr/>
        <w:spacing/>
        <w:ind w:hanging="360" w:left="14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29"/>
      </w:pPr>
      <w:rPr/>
      <w:start w:val="1"/>
      <w:suff w:val="tab"/>
    </w:lvl>
  </w:abstractNum>
  <w:abstractNum w:abstractNumId="19">
    <w:lvl w:ilvl="0">
      <w:isLgl w:val="false"/>
      <w:lvlJc w:val="left"/>
      <w:lvlText w:val="1.1.13.%1"/>
      <w:numFmt w:val="decimal"/>
      <w:pPr>
        <w:pBdr/>
        <w:spacing/>
        <w:ind w:hanging="360" w:left="742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1.1.14.%1"/>
      <w:numFmt w:val="decimal"/>
      <w:pPr>
        <w:pBdr/>
        <w:spacing/>
        <w:ind w:hanging="360" w:left="1469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29"/>
      </w:pPr>
      <w:rPr/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13"/>
  </w:num>
  <w:num w:numId="13">
    <w:abstractNumId w:val="12"/>
  </w:num>
  <w:num w:numId="14">
    <w:abstractNumId w:val="0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3">
    <w:name w:val="Table Grid Light"/>
    <w:basedOn w:val="9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1"/>
    <w:basedOn w:val="9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2"/>
    <w:basedOn w:val="9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1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2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3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4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5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6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1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2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3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4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5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6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1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2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3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4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5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6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>
    <w:name w:val="Heading 1 Char"/>
    <w:basedOn w:val="948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9">
    <w:name w:val="Heading 2 Char"/>
    <w:basedOn w:val="948"/>
    <w:link w:val="9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0">
    <w:name w:val="Heading 3 Char"/>
    <w:basedOn w:val="948"/>
    <w:link w:val="9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1">
    <w:name w:val="Heading 4 Char"/>
    <w:basedOn w:val="948"/>
    <w:link w:val="9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2">
    <w:name w:val="Heading 5 Char"/>
    <w:basedOn w:val="948"/>
    <w:link w:val="9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3">
    <w:name w:val="Heading 6 Char"/>
    <w:basedOn w:val="948"/>
    <w:link w:val="9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4">
    <w:name w:val="Heading 7 Char"/>
    <w:basedOn w:val="948"/>
    <w:link w:val="9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5">
    <w:name w:val="Heading 8 Char"/>
    <w:basedOn w:val="948"/>
    <w:link w:val="9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6">
    <w:name w:val="Heading 9 Char"/>
    <w:basedOn w:val="948"/>
    <w:link w:val="9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7">
    <w:name w:val="Title"/>
    <w:basedOn w:val="938"/>
    <w:next w:val="938"/>
    <w:link w:val="92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8">
    <w:name w:val="Title Char"/>
    <w:basedOn w:val="948"/>
    <w:link w:val="9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29">
    <w:name w:val="Subtitle Char"/>
    <w:basedOn w:val="948"/>
    <w:link w:val="100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0">
    <w:name w:val="Quote Char"/>
    <w:basedOn w:val="948"/>
    <w:link w:val="10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1">
    <w:name w:val="Intense Quote Char"/>
    <w:basedOn w:val="948"/>
    <w:link w:val="100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Header Char"/>
    <w:basedOn w:val="948"/>
    <w:link w:val="960"/>
    <w:uiPriority w:val="99"/>
    <w:pPr>
      <w:pBdr/>
      <w:spacing/>
      <w:ind/>
    </w:pPr>
  </w:style>
  <w:style w:type="character" w:styleId="933">
    <w:name w:val="Footer Char"/>
    <w:basedOn w:val="948"/>
    <w:link w:val="963"/>
    <w:uiPriority w:val="99"/>
    <w:pPr>
      <w:pBdr/>
      <w:spacing/>
      <w:ind/>
    </w:pPr>
  </w:style>
  <w:style w:type="character" w:styleId="934">
    <w:name w:val="Footnote Text Char"/>
    <w:basedOn w:val="948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935">
    <w:name w:val="Endnote Text Char"/>
    <w:basedOn w:val="948"/>
    <w:link w:val="1048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llowedHyperlink"/>
    <w:basedOn w:val="9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7">
    <w:name w:val="table of figures"/>
    <w:basedOn w:val="938"/>
    <w:next w:val="938"/>
    <w:uiPriority w:val="99"/>
    <w:unhideWhenUsed/>
    <w:pPr>
      <w:pBdr/>
      <w:spacing w:after="0" w:afterAutospacing="0"/>
      <w:ind/>
    </w:pPr>
  </w:style>
  <w:style w:type="paragraph" w:styleId="938" w:default="1">
    <w:name w:val="Normal"/>
    <w:qFormat/>
    <w:pPr>
      <w:pBdr/>
      <w:spacing/>
      <w:ind/>
    </w:pPr>
    <w:rPr>
      <w:sz w:val="28"/>
      <w:szCs w:val="28"/>
    </w:rPr>
  </w:style>
  <w:style w:type="paragraph" w:styleId="939">
    <w:name w:val="Heading 1"/>
    <w:basedOn w:val="941"/>
    <w:next w:val="938"/>
    <w:link w:val="992"/>
    <w:qFormat/>
    <w:pPr>
      <w:numPr>
        <w:ilvl w:val="0"/>
      </w:numPr>
      <w:pBdr/>
      <w:spacing/>
      <w:ind/>
      <w:outlineLvl w:val="0"/>
    </w:pPr>
    <w:rPr>
      <w:sz w:val="28"/>
      <w:szCs w:val="28"/>
    </w:rPr>
  </w:style>
  <w:style w:type="paragraph" w:styleId="940">
    <w:name w:val="Heading 2"/>
    <w:basedOn w:val="942"/>
    <w:next w:val="938"/>
    <w:link w:val="994"/>
    <w:qFormat/>
    <w:pPr>
      <w:pBdr/>
      <w:spacing/>
      <w:ind/>
      <w:outlineLvl w:val="1"/>
    </w:pPr>
  </w:style>
  <w:style w:type="paragraph" w:styleId="941">
    <w:name w:val="Heading 3"/>
    <w:basedOn w:val="938"/>
    <w:next w:val="938"/>
    <w:link w:val="995"/>
    <w:qFormat/>
    <w:pPr>
      <w:keepNext w:val="true"/>
      <w:numPr>
        <w:ilvl w:val="2"/>
        <w:numId w:val="4"/>
      </w:numPr>
      <w:pBdr/>
      <w:spacing w:after="60" w:before="120"/>
      <w:ind w:hanging="426" w:left="426"/>
      <w:outlineLvl w:val="2"/>
    </w:pPr>
    <w:rPr>
      <w:rFonts w:eastAsia="Calibri"/>
      <w:b/>
      <w:sz w:val="20"/>
      <w:szCs w:val="20"/>
    </w:rPr>
  </w:style>
  <w:style w:type="paragraph" w:styleId="942">
    <w:name w:val="Heading 4"/>
    <w:basedOn w:val="941"/>
    <w:next w:val="938"/>
    <w:link w:val="996"/>
    <w:qFormat/>
    <w:pPr>
      <w:numPr>
        <w:ilvl w:val="1"/>
      </w:numPr>
      <w:pBdr/>
      <w:spacing/>
      <w:ind/>
      <w:outlineLvl w:val="3"/>
    </w:pPr>
    <w:rPr>
      <w:bCs/>
    </w:rPr>
  </w:style>
  <w:style w:type="paragraph" w:styleId="943">
    <w:name w:val="Heading 5"/>
    <w:basedOn w:val="938"/>
    <w:next w:val="938"/>
    <w:link w:val="997"/>
    <w:uiPriority w:val="9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44">
    <w:name w:val="Heading 6"/>
    <w:basedOn w:val="938"/>
    <w:next w:val="938"/>
    <w:link w:val="989"/>
    <w:uiPriority w:val="9"/>
    <w:qFormat/>
    <w:pPr>
      <w:keepNext w:val="true"/>
      <w:keepLines w:val="true"/>
      <w:pBdr/>
      <w:spacing w:before="200"/>
      <w:ind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945">
    <w:name w:val="Heading 7"/>
    <w:basedOn w:val="938"/>
    <w:next w:val="938"/>
    <w:link w:val="990"/>
    <w:uiPriority w:val="9"/>
    <w:qFormat/>
    <w:pPr>
      <w:keepNext w:val="true"/>
      <w:keepLines w:val="true"/>
      <w:pBdr/>
      <w:spacing w:before="200"/>
      <w:ind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946">
    <w:name w:val="Heading 8"/>
    <w:basedOn w:val="938"/>
    <w:next w:val="938"/>
    <w:link w:val="991"/>
    <w:uiPriority w:val="9"/>
    <w:qFormat/>
    <w:pPr>
      <w:keepNext w:val="true"/>
      <w:keepLines w:val="true"/>
      <w:pBdr/>
      <w:spacing w:before="200"/>
      <w:ind/>
      <w:outlineLvl w:val="7"/>
    </w:pPr>
    <w:rPr>
      <w:rFonts w:ascii="Cambria" w:hAnsi="Cambria"/>
      <w:color w:val="4f81bd"/>
      <w:sz w:val="20"/>
      <w:szCs w:val="20"/>
    </w:rPr>
  </w:style>
  <w:style w:type="paragraph" w:styleId="947">
    <w:name w:val="Heading 9"/>
    <w:basedOn w:val="938"/>
    <w:next w:val="938"/>
    <w:link w:val="998"/>
    <w:uiPriority w:val="9"/>
    <w:qFormat/>
    <w:pPr>
      <w:pBdr/>
      <w:spacing w:after="60" w:before="240"/>
      <w:ind/>
      <w:outlineLvl w:val="8"/>
    </w:pPr>
    <w:rPr>
      <w:rFonts w:ascii="Arial" w:hAnsi="Arial"/>
      <w:sz w:val="22"/>
      <w:szCs w:val="22"/>
    </w:rPr>
  </w:style>
  <w:style w:type="character" w:styleId="948" w:default="1">
    <w:name w:val="Default Paragraph Font"/>
    <w:uiPriority w:val="1"/>
    <w:semiHidden/>
    <w:unhideWhenUsed/>
    <w:pPr>
      <w:pBdr/>
      <w:spacing/>
      <w:ind/>
    </w:pPr>
  </w:style>
  <w:style w:type="table" w:styleId="9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0" w:default="1">
    <w:name w:val="No List"/>
    <w:uiPriority w:val="99"/>
    <w:semiHidden/>
    <w:unhideWhenUsed/>
    <w:pPr>
      <w:pBdr/>
      <w:spacing/>
      <w:ind/>
    </w:pPr>
  </w:style>
  <w:style w:type="paragraph" w:styleId="951" w:customStyle="1">
    <w:name w:val="Название раздела инструкции"/>
    <w:basedOn w:val="938"/>
    <w:pPr>
      <w:pBdr/>
      <w:spacing/>
      <w:ind/>
      <w:jc w:val="center"/>
    </w:pPr>
    <w:rPr>
      <w:b/>
    </w:rPr>
  </w:style>
  <w:style w:type="paragraph" w:styleId="952" w:customStyle="1">
    <w:name w:val="Раздел положения"/>
    <w:basedOn w:val="938"/>
    <w:pPr>
      <w:numPr>
        <w:numId w:val="1"/>
      </w:numPr>
      <w:pBdr/>
      <w:spacing w:after="80" w:before="80"/>
      <w:ind/>
      <w:jc w:val="center"/>
    </w:pPr>
    <w:rPr>
      <w:b/>
      <w:sz w:val="32"/>
      <w:szCs w:val="32"/>
    </w:rPr>
  </w:style>
  <w:style w:type="paragraph" w:styleId="953" w:customStyle="1">
    <w:name w:val="Подраздел раздела положения"/>
    <w:basedOn w:val="938"/>
    <w:pPr>
      <w:numPr>
        <w:ilvl w:val="1"/>
        <w:numId w:val="1"/>
      </w:numPr>
      <w:pBdr/>
      <w:spacing w:after="80" w:before="80"/>
      <w:ind/>
      <w:jc w:val="both"/>
    </w:pPr>
  </w:style>
  <w:style w:type="paragraph" w:styleId="954">
    <w:name w:val="footnote text"/>
    <w:basedOn w:val="938"/>
    <w:link w:val="1028"/>
    <w:uiPriority w:val="99"/>
    <w:pPr>
      <w:pBdr/>
      <w:spacing/>
      <w:ind/>
    </w:pPr>
    <w:rPr>
      <w:sz w:val="20"/>
      <w:szCs w:val="20"/>
    </w:rPr>
  </w:style>
  <w:style w:type="character" w:styleId="955">
    <w:name w:val="footnote reference"/>
    <w:pPr>
      <w:pBdr/>
      <w:spacing/>
      <w:ind/>
    </w:pPr>
    <w:rPr>
      <w:vertAlign w:val="superscript"/>
    </w:rPr>
  </w:style>
  <w:style w:type="paragraph" w:styleId="956" w:customStyle="1">
    <w:name w:val="Шапка 1"/>
    <w:basedOn w:val="938"/>
    <w:pPr>
      <w:pBdr>
        <w:bottom w:val="single" w:color="000000" w:sz="24" w:space="1"/>
      </w:pBdr>
      <w:spacing w:after="240"/>
      <w:ind/>
      <w:jc w:val="center"/>
    </w:pPr>
    <w:rPr>
      <w:sz w:val="22"/>
      <w:szCs w:val="22"/>
    </w:rPr>
  </w:style>
  <w:style w:type="paragraph" w:styleId="957" w:customStyle="1">
    <w:name w:val="Шапка 2"/>
    <w:basedOn w:val="938"/>
    <w:pPr>
      <w:pBdr>
        <w:bottom w:val="single" w:color="000000" w:sz="24" w:space="1"/>
      </w:pBdr>
      <w:spacing w:after="120"/>
      <w:ind/>
      <w:jc w:val="center"/>
    </w:pPr>
    <w:rPr>
      <w:b/>
      <w:sz w:val="22"/>
      <w:szCs w:val="22"/>
    </w:rPr>
  </w:style>
  <w:style w:type="paragraph" w:styleId="958" w:customStyle="1">
    <w:name w:val="Шапка 3"/>
    <w:basedOn w:val="938"/>
    <w:pPr>
      <w:pBdr>
        <w:bottom w:val="single" w:color="000000" w:sz="24" w:space="1"/>
      </w:pBdr>
      <w:spacing w:after="360" w:before="240"/>
      <w:ind/>
      <w:jc w:val="center"/>
    </w:pPr>
    <w:rPr>
      <w:b/>
      <w:sz w:val="24"/>
      <w:szCs w:val="24"/>
    </w:rPr>
  </w:style>
  <w:style w:type="paragraph" w:styleId="959" w:customStyle="1">
    <w:name w:val="Название1"/>
    <w:basedOn w:val="938"/>
    <w:link w:val="1001"/>
    <w:uiPriority w:val="10"/>
    <w:qFormat/>
    <w:pPr>
      <w:pBdr/>
      <w:spacing/>
      <w:ind/>
      <w:jc w:val="center"/>
    </w:pPr>
    <w:rPr>
      <w:szCs w:val="20"/>
    </w:rPr>
  </w:style>
  <w:style w:type="paragraph" w:styleId="960">
    <w:name w:val="Header"/>
    <w:basedOn w:val="938"/>
    <w:link w:val="1045"/>
    <w:pPr>
      <w:pBdr/>
      <w:tabs>
        <w:tab w:val="center" w:leader="none" w:pos="4677"/>
        <w:tab w:val="right" w:leader="none" w:pos="9355"/>
      </w:tabs>
      <w:spacing/>
      <w:ind/>
    </w:pPr>
    <w:rPr>
      <w:sz w:val="24"/>
      <w:szCs w:val="24"/>
    </w:rPr>
  </w:style>
  <w:style w:type="paragraph" w:styleId="961">
    <w:name w:val="Body Text Indent"/>
    <w:basedOn w:val="938"/>
    <w:pPr>
      <w:pBdr/>
      <w:spacing/>
      <w:ind w:left="360"/>
    </w:pPr>
    <w:rPr>
      <w:sz w:val="24"/>
      <w:szCs w:val="24"/>
    </w:rPr>
  </w:style>
  <w:style w:type="table" w:styleId="962">
    <w:name w:val="Table Grid"/>
    <w:basedOn w:val="949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3">
    <w:name w:val="Footer"/>
    <w:basedOn w:val="938"/>
    <w:link w:val="1064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64">
    <w:name w:val="Body Text"/>
    <w:basedOn w:val="938"/>
    <w:link w:val="1031"/>
    <w:pPr>
      <w:pBdr/>
      <w:spacing w:after="120"/>
      <w:ind/>
    </w:pPr>
  </w:style>
  <w:style w:type="paragraph" w:styleId="965">
    <w:name w:val="Body Text Indent 2"/>
    <w:basedOn w:val="938"/>
    <w:pPr>
      <w:pBdr/>
      <w:spacing w:after="120" w:line="480" w:lineRule="auto"/>
      <w:ind w:left="283"/>
    </w:pPr>
  </w:style>
  <w:style w:type="paragraph" w:styleId="966">
    <w:name w:val="Body Text 3"/>
    <w:basedOn w:val="938"/>
    <w:pPr>
      <w:pBdr/>
      <w:spacing w:after="120"/>
      <w:ind/>
    </w:pPr>
    <w:rPr>
      <w:sz w:val="16"/>
      <w:szCs w:val="16"/>
    </w:rPr>
  </w:style>
  <w:style w:type="paragraph" w:styleId="967">
    <w:name w:val="Body Text Indent 3"/>
    <w:basedOn w:val="938"/>
    <w:link w:val="1062"/>
    <w:pPr>
      <w:pBdr/>
      <w:spacing w:after="120"/>
      <w:ind w:left="283"/>
    </w:pPr>
    <w:rPr>
      <w:sz w:val="16"/>
      <w:szCs w:val="16"/>
    </w:rPr>
  </w:style>
  <w:style w:type="paragraph" w:styleId="968">
    <w:name w:val="Body Text 2"/>
    <w:basedOn w:val="938"/>
    <w:pPr>
      <w:pBdr/>
      <w:spacing w:after="120" w:line="480" w:lineRule="auto"/>
      <w:ind/>
    </w:pPr>
  </w:style>
  <w:style w:type="paragraph" w:styleId="969">
    <w:name w:val="Block Text"/>
    <w:basedOn w:val="938"/>
    <w:pPr>
      <w:pBdr/>
      <w:spacing/>
      <w:ind w:right="-766" w:left="-567"/>
      <w:jc w:val="center"/>
    </w:pPr>
    <w:rPr>
      <w:b/>
      <w:bCs/>
      <w:sz w:val="24"/>
      <w:szCs w:val="20"/>
    </w:rPr>
  </w:style>
  <w:style w:type="paragraph" w:styleId="970" w:customStyle="1">
    <w:name w:val="Подпункт"/>
    <w:basedOn w:val="938"/>
    <w:link w:val="1026"/>
    <w:pPr>
      <w:pBdr/>
      <w:tabs>
        <w:tab w:val="num" w:leader="none" w:pos="1134"/>
      </w:tabs>
      <w:spacing w:line="360" w:lineRule="auto"/>
      <w:ind w:hanging="1134" w:left="1134"/>
      <w:jc w:val="both"/>
    </w:pPr>
    <w:rPr>
      <w:szCs w:val="20"/>
    </w:rPr>
  </w:style>
  <w:style w:type="paragraph" w:styleId="971" w:customStyle="1">
    <w:name w:val="Пункт2"/>
    <w:basedOn w:val="938"/>
    <w:link w:val="1052"/>
    <w:pPr>
      <w:keepNext w:val="true"/>
      <w:pBdr/>
      <w:tabs>
        <w:tab w:val="num" w:leader="none" w:pos="1134"/>
      </w:tabs>
      <w:spacing w:after="120" w:before="240"/>
      <w:ind w:hanging="1134" w:left="1134"/>
      <w:outlineLvl w:val="2"/>
    </w:pPr>
    <w:rPr>
      <w:b/>
      <w:szCs w:val="20"/>
    </w:rPr>
  </w:style>
  <w:style w:type="character" w:styleId="972">
    <w:name w:val="page number"/>
    <w:basedOn w:val="948"/>
    <w:pPr>
      <w:pBdr/>
      <w:spacing/>
      <w:ind/>
    </w:pPr>
  </w:style>
  <w:style w:type="paragraph" w:styleId="973">
    <w:name w:val="toc 1"/>
    <w:basedOn w:val="938"/>
    <w:next w:val="938"/>
    <w:uiPriority w:val="39"/>
    <w:pPr>
      <w:pBdr/>
      <w:spacing w:before="120"/>
      <w:ind/>
    </w:pPr>
    <w:rPr>
      <w:rFonts w:cs="Calibri Light (Заголовки)"/>
      <w:b/>
      <w:bCs/>
      <w:sz w:val="24"/>
      <w:szCs w:val="24"/>
    </w:rPr>
  </w:style>
  <w:style w:type="paragraph" w:styleId="974">
    <w:name w:val="toc 3"/>
    <w:basedOn w:val="938"/>
    <w:next w:val="938"/>
    <w:uiPriority w:val="39"/>
    <w:pPr>
      <w:pBdr/>
      <w:tabs>
        <w:tab w:val="left" w:leader="none" w:pos="1120"/>
        <w:tab w:val="right" w:leader="dot" w:pos="10194"/>
      </w:tabs>
      <w:spacing/>
      <w:ind w:left="567"/>
    </w:pPr>
    <w:rPr>
      <w:rFonts w:cstheme="minorHAnsi"/>
      <w:sz w:val="20"/>
      <w:szCs w:val="20"/>
    </w:rPr>
  </w:style>
  <w:style w:type="character" w:styleId="975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976" w:customStyle="1">
    <w:name w:val="Раздел регламента"/>
    <w:basedOn w:val="938"/>
    <w:pPr>
      <w:pBdr/>
      <w:spacing/>
      <w:ind/>
    </w:pPr>
  </w:style>
  <w:style w:type="paragraph" w:styleId="977" w:customStyle="1">
    <w:name w:val="Приложение к регламенту"/>
    <w:basedOn w:val="938"/>
    <w:pPr>
      <w:pBdr/>
      <w:spacing/>
      <w:ind/>
      <w:jc w:val="right"/>
    </w:pPr>
  </w:style>
  <w:style w:type="paragraph" w:styleId="978">
    <w:name w:val="toc 2"/>
    <w:basedOn w:val="938"/>
    <w:next w:val="938"/>
    <w:uiPriority w:val="39"/>
    <w:pPr>
      <w:pBdr/>
      <w:spacing w:before="240"/>
      <w:ind/>
    </w:pPr>
    <w:rPr>
      <w:rFonts w:cstheme="minorHAnsi"/>
      <w:b/>
      <w:bCs/>
      <w:sz w:val="20"/>
      <w:szCs w:val="20"/>
    </w:rPr>
  </w:style>
  <w:style w:type="paragraph" w:styleId="979">
    <w:name w:val="Balloon Text"/>
    <w:basedOn w:val="938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80">
    <w:name w:val="annotation reference"/>
    <w:uiPriority w:val="99"/>
    <w:semiHidden/>
    <w:pPr>
      <w:pBdr/>
      <w:spacing/>
      <w:ind/>
    </w:pPr>
    <w:rPr>
      <w:sz w:val="16"/>
      <w:szCs w:val="16"/>
    </w:rPr>
  </w:style>
  <w:style w:type="paragraph" w:styleId="981">
    <w:name w:val="annotation text"/>
    <w:basedOn w:val="938"/>
    <w:link w:val="1046"/>
    <w:semiHidden/>
    <w:pPr>
      <w:pBdr/>
      <w:spacing/>
      <w:ind/>
    </w:pPr>
    <w:rPr>
      <w:sz w:val="20"/>
      <w:szCs w:val="20"/>
    </w:rPr>
  </w:style>
  <w:style w:type="paragraph" w:styleId="982">
    <w:name w:val="annotation subject"/>
    <w:basedOn w:val="981"/>
    <w:next w:val="981"/>
    <w:semiHidden/>
    <w:pPr>
      <w:pBdr/>
      <w:spacing/>
      <w:ind/>
    </w:pPr>
    <w:rPr>
      <w:b/>
      <w:bCs/>
    </w:rPr>
  </w:style>
  <w:style w:type="paragraph" w:styleId="983" w:customStyle="1">
    <w:name w:val="Обычный (веб)1"/>
    <w:basedOn w:val="938"/>
    <w:uiPriority w:val="99"/>
    <w:pPr>
      <w:pBdr/>
      <w:spacing w:after="100" w:afterAutospacing="1" w:before="100" w:beforeAutospacing="1"/>
      <w:ind/>
    </w:pPr>
    <w:rPr>
      <w:rFonts w:hint="eastAsia" w:ascii="Arial Unicode MS" w:hAnsi="Arial Unicode MS" w:eastAsia="Arial Unicode MS" w:cs="Arial Unicode MS"/>
      <w:sz w:val="24"/>
      <w:szCs w:val="24"/>
    </w:rPr>
  </w:style>
  <w:style w:type="paragraph" w:styleId="984">
    <w:name w:val="toc 9"/>
    <w:basedOn w:val="938"/>
    <w:next w:val="938"/>
    <w:semiHidden/>
    <w:pPr>
      <w:pBdr/>
      <w:spacing/>
      <w:ind w:left="1960"/>
    </w:pPr>
    <w:rPr>
      <w:rFonts w:asciiTheme="minorHAnsi" w:hAnsiTheme="minorHAnsi" w:cstheme="minorHAnsi"/>
      <w:sz w:val="20"/>
      <w:szCs w:val="20"/>
    </w:rPr>
  </w:style>
  <w:style w:type="paragraph" w:styleId="985">
    <w:name w:val="toc 5"/>
    <w:basedOn w:val="938"/>
    <w:next w:val="938"/>
    <w:semiHidden/>
    <w:pPr>
      <w:pBdr/>
      <w:spacing/>
      <w:ind w:left="840"/>
    </w:pPr>
    <w:rPr>
      <w:rFonts w:asciiTheme="minorHAnsi" w:hAnsiTheme="minorHAnsi" w:cstheme="minorHAnsi"/>
      <w:sz w:val="20"/>
      <w:szCs w:val="20"/>
    </w:rPr>
  </w:style>
  <w:style w:type="paragraph" w:styleId="986">
    <w:name w:val="toc 4"/>
    <w:basedOn w:val="938"/>
    <w:next w:val="938"/>
    <w:uiPriority w:val="39"/>
    <w:pPr>
      <w:pBdr/>
      <w:spacing/>
      <w:ind w:left="560"/>
    </w:pPr>
    <w:rPr>
      <w:rFonts w:cstheme="minorHAnsi"/>
      <w:sz w:val="20"/>
      <w:szCs w:val="20"/>
    </w:rPr>
  </w:style>
  <w:style w:type="paragraph" w:styleId="987" w:customStyle="1">
    <w:name w:val="Раздел положения 2"/>
    <w:basedOn w:val="938"/>
    <w:pPr>
      <w:pageBreakBefore w:val="true"/>
      <w:pBdr/>
      <w:spacing/>
      <w:ind/>
      <w:jc w:val="both"/>
      <w:outlineLvl w:val="0"/>
    </w:pPr>
    <w:rPr>
      <w:b/>
    </w:rPr>
  </w:style>
  <w:style w:type="character" w:styleId="988">
    <w:name w:val="Strong"/>
    <w:qFormat/>
    <w:pPr>
      <w:pBdr/>
      <w:spacing/>
      <w:ind/>
    </w:pPr>
    <w:rPr>
      <w:b/>
      <w:bCs/>
    </w:rPr>
  </w:style>
  <w:style w:type="character" w:styleId="989" w:customStyle="1">
    <w:name w:val="Заголовок 6 Знак"/>
    <w:link w:val="944"/>
    <w:uiPriority w:val="9"/>
    <w:pPr>
      <w:pBdr/>
      <w:spacing/>
      <w:ind/>
    </w:pPr>
    <w:rPr>
      <w:rFonts w:ascii="Cambria" w:hAnsi="Cambria"/>
      <w:i/>
      <w:iCs/>
      <w:color w:val="243f60"/>
    </w:rPr>
  </w:style>
  <w:style w:type="character" w:styleId="990" w:customStyle="1">
    <w:name w:val="Заголовок 7 Знак"/>
    <w:link w:val="945"/>
    <w:uiPriority w:val="9"/>
    <w:pPr>
      <w:pBdr/>
      <w:spacing/>
      <w:ind/>
    </w:pPr>
    <w:rPr>
      <w:rFonts w:ascii="Cambria" w:hAnsi="Cambria"/>
      <w:i/>
      <w:iCs/>
      <w:color w:val="404040"/>
    </w:rPr>
  </w:style>
  <w:style w:type="character" w:styleId="991" w:customStyle="1">
    <w:name w:val="Заголовок 8 Знак"/>
    <w:link w:val="946"/>
    <w:uiPriority w:val="9"/>
    <w:pPr>
      <w:pBdr/>
      <w:spacing/>
      <w:ind/>
    </w:pPr>
    <w:rPr>
      <w:rFonts w:ascii="Cambria" w:hAnsi="Cambria"/>
      <w:color w:val="4f81bd"/>
    </w:rPr>
  </w:style>
  <w:style w:type="character" w:styleId="992" w:customStyle="1">
    <w:name w:val="Заголовок 1 Знак"/>
    <w:link w:val="939"/>
    <w:pPr>
      <w:pBdr/>
      <w:spacing/>
      <w:ind/>
    </w:pPr>
    <w:rPr>
      <w:rFonts w:eastAsia="Calibri"/>
      <w:b/>
      <w:sz w:val="28"/>
      <w:szCs w:val="28"/>
    </w:rPr>
  </w:style>
  <w:style w:type="paragraph" w:styleId="993" w:customStyle="1">
    <w:name w:val="Знак Знак Знак Знак Знак Знак Знак Знак Знак"/>
    <w:basedOn w:val="938"/>
    <w:pPr>
      <w:pBdr/>
      <w:spacing w:after="16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styleId="994" w:customStyle="1">
    <w:name w:val="Заголовок 2 Знак"/>
    <w:link w:val="940"/>
    <w:pPr>
      <w:pBdr/>
      <w:spacing/>
      <w:ind/>
    </w:pPr>
    <w:rPr>
      <w:rFonts w:eastAsia="Calibri"/>
      <w:b/>
      <w:bCs/>
    </w:rPr>
  </w:style>
  <w:style w:type="character" w:styleId="995" w:customStyle="1">
    <w:name w:val="Заголовок 3 Знак"/>
    <w:link w:val="941"/>
    <w:pPr>
      <w:pBdr/>
      <w:spacing/>
      <w:ind/>
    </w:pPr>
    <w:rPr>
      <w:rFonts w:eastAsia="Calibri"/>
      <w:b/>
    </w:rPr>
  </w:style>
  <w:style w:type="character" w:styleId="996" w:customStyle="1">
    <w:name w:val="Заголовок 4 Знак"/>
    <w:link w:val="942"/>
    <w:pPr>
      <w:pBdr/>
      <w:spacing/>
      <w:ind/>
    </w:pPr>
    <w:rPr>
      <w:rFonts w:eastAsia="Calibri"/>
      <w:b/>
      <w:bCs/>
    </w:rPr>
  </w:style>
  <w:style w:type="character" w:styleId="997" w:customStyle="1">
    <w:name w:val="Заголовок 5 Знак"/>
    <w:link w:val="943"/>
    <w:uiPriority w:val="9"/>
    <w:pPr>
      <w:pBdr/>
      <w:spacing/>
      <w:ind/>
    </w:pPr>
    <w:rPr>
      <w:b/>
      <w:bCs/>
      <w:i/>
      <w:iCs/>
      <w:sz w:val="26"/>
      <w:szCs w:val="26"/>
    </w:rPr>
  </w:style>
  <w:style w:type="character" w:styleId="998" w:customStyle="1">
    <w:name w:val="Заголовок 9 Знак"/>
    <w:link w:val="947"/>
    <w:uiPriority w:val="9"/>
    <w:pPr>
      <w:pBdr/>
      <w:spacing/>
      <w:ind/>
    </w:pPr>
    <w:rPr>
      <w:rFonts w:ascii="Arial" w:hAnsi="Arial" w:cs="Arial"/>
      <w:sz w:val="22"/>
      <w:szCs w:val="22"/>
    </w:rPr>
  </w:style>
  <w:style w:type="paragraph" w:styleId="999">
    <w:name w:val="No Spacing"/>
    <w:basedOn w:val="938"/>
    <w:uiPriority w:val="1"/>
    <w:qFormat/>
    <w:pPr>
      <w:pBdr/>
      <w:spacing w:line="360" w:lineRule="auto"/>
      <w:ind/>
    </w:pPr>
    <w:rPr>
      <w:rFonts w:eastAsia="Calibri"/>
      <w:sz w:val="24"/>
      <w:szCs w:val="24"/>
    </w:rPr>
  </w:style>
  <w:style w:type="paragraph" w:styleId="1000">
    <w:name w:val="Caption"/>
    <w:basedOn w:val="938"/>
    <w:next w:val="938"/>
    <w:uiPriority w:val="35"/>
    <w:qFormat/>
    <w:pPr>
      <w:pBdr/>
      <w:spacing/>
      <w:ind/>
    </w:pPr>
    <w:rPr>
      <w:rFonts w:eastAsia="Calibri"/>
      <w:b/>
      <w:bCs/>
      <w:color w:val="4f81bd"/>
      <w:sz w:val="18"/>
      <w:szCs w:val="18"/>
    </w:rPr>
  </w:style>
  <w:style w:type="character" w:styleId="1001" w:customStyle="1">
    <w:name w:val="Название Знак"/>
    <w:link w:val="959"/>
    <w:uiPriority w:val="10"/>
    <w:pPr>
      <w:pBdr/>
      <w:spacing/>
      <w:ind/>
    </w:pPr>
    <w:rPr>
      <w:sz w:val="28"/>
    </w:rPr>
  </w:style>
  <w:style w:type="paragraph" w:styleId="1002">
    <w:name w:val="Subtitle"/>
    <w:basedOn w:val="938"/>
    <w:next w:val="938"/>
    <w:link w:val="1003"/>
    <w:uiPriority w:val="11"/>
    <w:qFormat/>
    <w:pPr>
      <w:numPr>
        <w:ilvl w:val="1"/>
      </w:numPr>
      <w:pBdr/>
      <w:spacing/>
      <w:ind w:firstLine="709" w:left="1066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1003" w:customStyle="1">
    <w:name w:val="Подзаголовок Знак"/>
    <w:link w:val="1002"/>
    <w:uiPriority w:val="11"/>
    <w:pPr>
      <w:pBdr/>
      <w:spacing/>
      <w:ind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1004">
    <w:name w:val="Emphasis"/>
    <w:uiPriority w:val="20"/>
    <w:qFormat/>
    <w:pPr>
      <w:pBdr/>
      <w:spacing/>
      <w:ind/>
    </w:pPr>
    <w:rPr>
      <w:i/>
      <w:iCs/>
    </w:rPr>
  </w:style>
  <w:style w:type="paragraph" w:styleId="1005">
    <w:name w:val="List Paragraph"/>
    <w:basedOn w:val="938"/>
    <w:link w:val="1035"/>
    <w:uiPriority w:val="34"/>
    <w:qFormat/>
    <w:pPr>
      <w:pBdr/>
      <w:spacing/>
      <w:ind w:left="720"/>
      <w:contextualSpacing w:val="true"/>
    </w:pPr>
    <w:rPr>
      <w:rFonts w:eastAsia="Calibri"/>
      <w:sz w:val="24"/>
      <w:szCs w:val="24"/>
    </w:rPr>
  </w:style>
  <w:style w:type="paragraph" w:styleId="1006">
    <w:name w:val="Quote"/>
    <w:basedOn w:val="938"/>
    <w:next w:val="938"/>
    <w:link w:val="1007"/>
    <w:uiPriority w:val="29"/>
    <w:qFormat/>
    <w:pPr>
      <w:pBdr/>
      <w:spacing/>
      <w:ind/>
    </w:pPr>
    <w:rPr>
      <w:rFonts w:ascii="Calibri" w:hAnsi="Calibri" w:eastAsia="Calibri"/>
      <w:i/>
      <w:iCs/>
      <w:color w:val="000000"/>
      <w:sz w:val="20"/>
      <w:szCs w:val="20"/>
    </w:rPr>
  </w:style>
  <w:style w:type="character" w:styleId="1007" w:customStyle="1">
    <w:name w:val="Цитата 2 Знак"/>
    <w:link w:val="1006"/>
    <w:uiPriority w:val="29"/>
    <w:pPr>
      <w:pBdr/>
      <w:spacing/>
      <w:ind/>
    </w:pPr>
    <w:rPr>
      <w:rFonts w:ascii="Calibri" w:hAnsi="Calibri" w:eastAsia="Calibri"/>
      <w:i/>
      <w:iCs/>
      <w:color w:val="000000"/>
    </w:rPr>
  </w:style>
  <w:style w:type="paragraph" w:styleId="1008">
    <w:name w:val="Intense Quote"/>
    <w:basedOn w:val="938"/>
    <w:next w:val="938"/>
    <w:link w:val="1009"/>
    <w:uiPriority w:val="30"/>
    <w:qFormat/>
    <w:pPr>
      <w:pBdr>
        <w:bottom w:val="single" w:color="4f81bd" w:sz="4" w:space="4"/>
      </w:pBdr>
      <w:spacing w:after="280" w:before="200"/>
      <w:ind w:right="936" w:left="936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character" w:styleId="1009" w:customStyle="1">
    <w:name w:val="Выделенная цитата Знак"/>
    <w:link w:val="1008"/>
    <w:uiPriority w:val="30"/>
    <w:pPr>
      <w:pBdr/>
      <w:spacing/>
      <w:ind/>
    </w:pPr>
    <w:rPr>
      <w:rFonts w:ascii="Calibri" w:hAnsi="Calibri" w:eastAsia="Calibri"/>
      <w:b/>
      <w:bCs/>
      <w:i/>
      <w:iCs/>
      <w:color w:val="4f81bd"/>
    </w:rPr>
  </w:style>
  <w:style w:type="character" w:styleId="1010">
    <w:name w:val="Subtle Emphasis"/>
    <w:uiPriority w:val="19"/>
    <w:qFormat/>
    <w:pPr>
      <w:pBdr/>
      <w:spacing/>
      <w:ind/>
    </w:pPr>
    <w:rPr>
      <w:i/>
      <w:iCs/>
      <w:color w:val="808080"/>
    </w:rPr>
  </w:style>
  <w:style w:type="character" w:styleId="1011">
    <w:name w:val="Intense Emphasis"/>
    <w:uiPriority w:val="21"/>
    <w:qFormat/>
    <w:pPr>
      <w:pBdr/>
      <w:spacing/>
      <w:ind/>
    </w:pPr>
    <w:rPr>
      <w:b/>
      <w:bCs/>
      <w:i/>
      <w:iCs/>
      <w:color w:val="4f81bd"/>
    </w:rPr>
  </w:style>
  <w:style w:type="character" w:styleId="1012">
    <w:name w:val="Subtle Reference"/>
    <w:uiPriority w:val="31"/>
    <w:qFormat/>
    <w:pPr>
      <w:pBdr/>
      <w:spacing/>
      <w:ind/>
    </w:pPr>
    <w:rPr>
      <w:smallCaps/>
      <w:color w:val="c0504d"/>
      <w:u w:val="single"/>
    </w:rPr>
  </w:style>
  <w:style w:type="character" w:styleId="1013">
    <w:name w:val="Intense Reference"/>
    <w:uiPriority w:val="32"/>
    <w:qFormat/>
    <w:pPr>
      <w:pBdr/>
      <w:spacing/>
      <w:ind/>
    </w:pPr>
    <w:rPr>
      <w:b/>
      <w:bCs/>
      <w:smallCaps/>
      <w:color w:val="c0504d"/>
      <w:spacing w:val="5"/>
      <w:u w:val="single"/>
    </w:rPr>
  </w:style>
  <w:style w:type="character" w:styleId="1014">
    <w:name w:val="Book Title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1015">
    <w:name w:val="TOC Heading"/>
    <w:basedOn w:val="939"/>
    <w:next w:val="938"/>
    <w:uiPriority w:val="39"/>
    <w:qFormat/>
    <w:pPr>
      <w:keepLines w:val="true"/>
      <w:pBdr/>
      <w:spacing w:before="480"/>
      <w:ind/>
      <w:outlineLvl w:val="9"/>
    </w:pPr>
    <w:rPr>
      <w:rFonts w:ascii="Cambria" w:hAnsi="Cambria"/>
      <w:bCs/>
      <w:color w:val="365f91"/>
    </w:rPr>
  </w:style>
  <w:style w:type="paragraph" w:styleId="1016">
    <w:name w:val="E-mail Signature"/>
    <w:basedOn w:val="938"/>
    <w:link w:val="1017"/>
    <w:uiPriority w:val="99"/>
    <w:unhideWhenUsed/>
    <w:pPr>
      <w:pBdr/>
      <w:spacing/>
      <w:ind/>
    </w:pPr>
    <w:rPr>
      <w:rFonts w:eastAsia="Calibri"/>
      <w:sz w:val="24"/>
      <w:szCs w:val="24"/>
    </w:rPr>
  </w:style>
  <w:style w:type="character" w:styleId="1017" w:customStyle="1">
    <w:name w:val="Электронная подпись Знак"/>
    <w:link w:val="1016"/>
    <w:uiPriority w:val="99"/>
    <w:pPr>
      <w:pBdr/>
      <w:spacing/>
      <w:ind/>
    </w:pPr>
    <w:rPr>
      <w:rFonts w:eastAsia="Calibri"/>
      <w:sz w:val="24"/>
      <w:szCs w:val="24"/>
    </w:rPr>
  </w:style>
  <w:style w:type="paragraph" w:styleId="1018" w:customStyle="1">
    <w:name w:val="Знак"/>
    <w:basedOn w:val="938"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019" w:customStyle="1">
    <w:name w:val="Нумерованный список ур3"/>
    <w:basedOn w:val="938"/>
    <w:pPr>
      <w:numPr>
        <w:ilvl w:val="2"/>
        <w:numId w:val="2"/>
      </w:numPr>
      <w:pBdr/>
      <w:spacing/>
      <w:ind/>
      <w:jc w:val="both"/>
    </w:pPr>
    <w:rPr>
      <w:rFonts w:ascii="Garamond" w:hAnsi="Garamond"/>
      <w:sz w:val="24"/>
      <w:szCs w:val="20"/>
    </w:rPr>
  </w:style>
  <w:style w:type="paragraph" w:styleId="1020" w:customStyle="1">
    <w:name w:val="Нумерованный список 1"/>
    <w:basedOn w:val="938"/>
    <w:pPr>
      <w:numPr>
        <w:numId w:val="2"/>
      </w:numPr>
      <w:pBdr/>
      <w:spacing w:before="120"/>
      <w:ind/>
      <w:jc w:val="both"/>
    </w:pPr>
    <w:rPr>
      <w:rFonts w:ascii="Garamond" w:hAnsi="Garamond"/>
      <w:sz w:val="24"/>
      <w:szCs w:val="20"/>
    </w:rPr>
  </w:style>
  <w:style w:type="paragraph" w:styleId="1021" w:customStyle="1">
    <w:name w:val="Нумерованный список ур2"/>
    <w:basedOn w:val="938"/>
    <w:pPr>
      <w:numPr>
        <w:ilvl w:val="1"/>
        <w:numId w:val="2"/>
      </w:numPr>
      <w:pBdr/>
      <w:spacing w:before="120"/>
      <w:ind/>
      <w:jc w:val="both"/>
    </w:pPr>
    <w:rPr>
      <w:rFonts w:ascii="Garamond" w:hAnsi="Garamond"/>
      <w:sz w:val="24"/>
      <w:szCs w:val="20"/>
    </w:rPr>
  </w:style>
  <w:style w:type="paragraph" w:styleId="1022">
    <w:name w:val="Revision"/>
    <w:hidden/>
    <w:uiPriority w:val="99"/>
    <w:semiHidden/>
    <w:pPr>
      <w:pBdr/>
      <w:spacing/>
      <w:ind/>
    </w:pPr>
    <w:rPr>
      <w:rFonts w:eastAsia="Calibri"/>
      <w:sz w:val="24"/>
      <w:szCs w:val="24"/>
    </w:rPr>
  </w:style>
  <w:style w:type="paragraph" w:styleId="1023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paragraph" w:styleId="1024" w:customStyle="1">
    <w:name w:val="Знак Знак3 Знак Знак"/>
    <w:basedOn w:val="938"/>
    <w:pPr>
      <w:pBdr/>
      <w:spacing w:after="16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025" w:customStyle="1">
    <w:name w:val="Пункт"/>
    <w:basedOn w:val="938"/>
    <w:pPr>
      <w:widowControl w:val="false"/>
      <w:pBdr/>
      <w:tabs>
        <w:tab w:val="num" w:leader="none" w:pos="1134"/>
      </w:tabs>
      <w:spacing w:before="120" w:line="360" w:lineRule="auto"/>
      <w:ind w:right="800" w:hanging="1134" w:left="1134"/>
      <w:jc w:val="both"/>
    </w:pPr>
    <w:rPr>
      <w:rFonts w:ascii="Arial" w:hAnsi="Arial"/>
      <w:b/>
      <w:i/>
      <w:szCs w:val="20"/>
    </w:rPr>
  </w:style>
  <w:style w:type="character" w:styleId="1026" w:customStyle="1">
    <w:name w:val="Подпункт Знак1"/>
    <w:link w:val="970"/>
    <w:pPr>
      <w:pBdr/>
      <w:spacing/>
      <w:ind/>
    </w:pPr>
    <w:rPr>
      <w:sz w:val="28"/>
    </w:rPr>
  </w:style>
  <w:style w:type="paragraph" w:styleId="1027" w:customStyle="1">
    <w:name w:val="Абзац списка1"/>
    <w:basedOn w:val="938"/>
    <w:pPr>
      <w:pBdr/>
      <w:spacing w:after="200" w:line="276" w:lineRule="auto"/>
      <w:ind w:left="720"/>
      <w:contextualSpacing w:val="true"/>
    </w:pPr>
    <w:rPr>
      <w:rFonts w:ascii="Calibri" w:hAnsi="Calibri"/>
      <w:sz w:val="22"/>
      <w:szCs w:val="22"/>
      <w:lang w:eastAsia="en-US"/>
    </w:rPr>
  </w:style>
  <w:style w:type="character" w:styleId="1028" w:customStyle="1">
    <w:name w:val="Текст сноски Знак"/>
    <w:link w:val="954"/>
    <w:uiPriority w:val="99"/>
    <w:pPr>
      <w:pBdr/>
      <w:spacing/>
      <w:ind/>
    </w:pPr>
  </w:style>
  <w:style w:type="numbering" w:styleId="1029" w:customStyle="1">
    <w:name w:val="Стиль1"/>
    <w:uiPriority w:val="99"/>
    <w:pPr>
      <w:numPr>
        <w:numId w:val="3"/>
      </w:numPr>
      <w:pBdr/>
      <w:spacing/>
      <w:ind/>
    </w:pPr>
  </w:style>
  <w:style w:type="paragraph" w:styleId="1030" w:customStyle="1">
    <w:name w:val="Таблица"/>
    <w:basedOn w:val="938"/>
    <w:qFormat/>
    <w:pPr>
      <w:keepNext w:val="true"/>
      <w:pBdr/>
      <w:spacing w:after="60" w:before="60"/>
      <w:ind/>
      <w:jc w:val="center"/>
    </w:pPr>
    <w:rPr>
      <w:rFonts w:eastAsia="Calibri"/>
      <w:b/>
      <w:sz w:val="24"/>
      <w:szCs w:val="24"/>
    </w:rPr>
  </w:style>
  <w:style w:type="character" w:styleId="1031" w:customStyle="1">
    <w:name w:val="Основной текст Знак"/>
    <w:link w:val="964"/>
    <w:pPr>
      <w:pBdr/>
      <w:spacing/>
      <w:ind/>
    </w:pPr>
    <w:rPr>
      <w:sz w:val="28"/>
      <w:szCs w:val="28"/>
    </w:rPr>
  </w:style>
  <w:style w:type="character" w:styleId="1032" w:customStyle="1">
    <w:name w:val="blk"/>
    <w:pPr>
      <w:pBdr/>
      <w:spacing/>
      <w:ind/>
    </w:pPr>
  </w:style>
  <w:style w:type="numbering" w:styleId="1033" w:customStyle="1">
    <w:name w:val="Стиль2"/>
    <w:uiPriority w:val="99"/>
    <w:pPr>
      <w:numPr>
        <w:numId w:val="5"/>
      </w:numPr>
      <w:pBdr/>
      <w:spacing/>
      <w:ind/>
    </w:pPr>
  </w:style>
  <w:style w:type="paragraph" w:styleId="1034" w:customStyle="1">
    <w:name w:val="Таблица шапка"/>
    <w:basedOn w:val="938"/>
    <w:pPr>
      <w:keepNext w:val="true"/>
      <w:pBdr/>
      <w:spacing w:after="40" w:before="40"/>
      <w:ind w:right="57" w:left="57"/>
    </w:pPr>
    <w:rPr>
      <w:sz w:val="22"/>
      <w:szCs w:val="26"/>
    </w:rPr>
  </w:style>
  <w:style w:type="character" w:styleId="1035" w:customStyle="1">
    <w:name w:val="Абзац списка Знак"/>
    <w:link w:val="1005"/>
    <w:uiPriority w:val="34"/>
    <w:pPr>
      <w:pBdr/>
      <w:spacing/>
      <w:ind/>
    </w:pPr>
    <w:rPr>
      <w:rFonts w:eastAsia="Calibri"/>
      <w:sz w:val="24"/>
      <w:szCs w:val="24"/>
    </w:rPr>
  </w:style>
  <w:style w:type="character" w:styleId="1036" w:customStyle="1">
    <w:name w:val="комментарий"/>
    <w:pPr>
      <w:pBdr/>
      <w:spacing/>
      <w:ind/>
    </w:pPr>
    <w:rPr>
      <w:b/>
      <w:i/>
      <w:shd w:val="clear" w:color="auto" w:fill="ffff99"/>
    </w:rPr>
  </w:style>
  <w:style w:type="paragraph" w:styleId="1037" w:customStyle="1">
    <w:name w:val="Подподпункт"/>
    <w:basedOn w:val="970"/>
    <w:link w:val="1038"/>
    <w:pPr>
      <w:pBdr/>
      <w:tabs>
        <w:tab w:val="clear" w:leader="none" w:pos="1134"/>
        <w:tab w:val="num" w:leader="none" w:pos="5104"/>
      </w:tabs>
      <w:spacing w:before="120" w:line="240" w:lineRule="auto"/>
      <w:ind w:hanging="567" w:left="5104"/>
    </w:pPr>
    <w:rPr>
      <w:sz w:val="26"/>
      <w:szCs w:val="26"/>
      <w:lang w:val="ru-RU" w:eastAsia="ru-RU"/>
    </w:rPr>
  </w:style>
  <w:style w:type="character" w:styleId="1038" w:customStyle="1">
    <w:name w:val="Подподпункт Знак"/>
    <w:link w:val="1037"/>
    <w:pPr>
      <w:pBdr/>
      <w:spacing/>
      <w:ind/>
    </w:pPr>
    <w:rPr>
      <w:sz w:val="26"/>
      <w:szCs w:val="26"/>
    </w:rPr>
  </w:style>
  <w:style w:type="paragraph" w:styleId="1039" w:customStyle="1">
    <w:name w:val="УРОВЕНЬ_(а)"/>
    <w:basedOn w:val="1005"/>
    <w:qFormat/>
    <w:pPr>
      <w:numPr>
        <w:ilvl w:val="3"/>
        <w:numId w:val="6"/>
      </w:numPr>
      <w:pBdr/>
      <w:spacing w:before="120" w:line="360" w:lineRule="exact"/>
      <w:ind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040" w:customStyle="1">
    <w:name w:val="УРОВЕНЬ_-"/>
    <w:basedOn w:val="1005"/>
    <w:qFormat/>
    <w:pPr>
      <w:numPr>
        <w:ilvl w:val="4"/>
        <w:numId w:val="6"/>
      </w:numPr>
      <w:pBdr/>
      <w:spacing w:before="120" w:line="360" w:lineRule="exact"/>
      <w:ind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1041" w:customStyle="1">
    <w:name w:val="УРОВЕНЬ_Абзац_тип2"/>
    <w:basedOn w:val="1005"/>
    <w:qFormat/>
    <w:pPr>
      <w:numPr>
        <w:ilvl w:val="6"/>
        <w:numId w:val="6"/>
      </w:numPr>
      <w:pBdr/>
      <w:spacing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1042" w:customStyle="1">
    <w:name w:val="УРОВЕНЬ_Абзац_тип3"/>
    <w:basedOn w:val="1005"/>
    <w:link w:val="1044"/>
    <w:qFormat/>
    <w:pPr>
      <w:numPr>
        <w:ilvl w:val="7"/>
        <w:numId w:val="6"/>
      </w:numPr>
      <w:pBdr/>
      <w:spacing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1043" w:customStyle="1">
    <w:name w:val="УРОВЕНЬ_Подпись"/>
    <w:basedOn w:val="1005"/>
    <w:qFormat/>
    <w:pPr>
      <w:keepNext w:val="true"/>
      <w:numPr>
        <w:ilvl w:val="5"/>
        <w:numId w:val="6"/>
      </w:numPr>
      <w:pBdr/>
      <w:spacing w:after="120" w:before="120" w:line="360" w:lineRule="exact"/>
      <w:ind/>
      <w:contextualSpacing w:val="false"/>
      <w:jc w:val="right"/>
      <w:outlineLvl w:val="3"/>
    </w:pPr>
    <w:rPr>
      <w:sz w:val="26"/>
      <w:szCs w:val="28"/>
      <w:lang w:eastAsia="en-US"/>
    </w:rPr>
  </w:style>
  <w:style w:type="character" w:styleId="1044" w:customStyle="1">
    <w:name w:val="УРОВЕНЬ_Абзац_тип3 Знак"/>
    <w:link w:val="1042"/>
    <w:pPr>
      <w:pBdr/>
      <w:spacing/>
      <w:ind/>
    </w:pPr>
    <w:rPr>
      <w:rFonts w:eastAsia="Calibri"/>
      <w:sz w:val="26"/>
      <w:szCs w:val="28"/>
      <w:lang w:eastAsia="en-US"/>
    </w:rPr>
  </w:style>
  <w:style w:type="character" w:styleId="1045" w:customStyle="1">
    <w:name w:val="Верхний колонтитул Знак"/>
    <w:link w:val="960"/>
    <w:uiPriority w:val="99"/>
    <w:pPr>
      <w:pBdr/>
      <w:spacing/>
      <w:ind/>
    </w:pPr>
    <w:rPr>
      <w:sz w:val="24"/>
      <w:szCs w:val="24"/>
    </w:rPr>
  </w:style>
  <w:style w:type="character" w:styleId="1046" w:customStyle="1">
    <w:name w:val="Текст примечания Знак"/>
    <w:link w:val="981"/>
    <w:semiHidden/>
    <w:pPr>
      <w:pBdr/>
      <w:spacing/>
      <w:ind/>
    </w:pPr>
  </w:style>
  <w:style w:type="paragraph" w:styleId="1047" w:customStyle="1">
    <w:name w:val="Стиль Заголовок 1 + по ширине"/>
    <w:basedOn w:val="939"/>
    <w:pPr>
      <w:keepLines w:val="true"/>
      <w:numPr>
        <w:numId w:val="0"/>
      </w:numPr>
      <w:pBdr/>
      <w:tabs>
        <w:tab w:val="num" w:leader="none" w:pos="567"/>
      </w:tabs>
      <w:spacing w:after="240" w:before="480"/>
      <w:ind w:hanging="567" w:left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1048">
    <w:name w:val="endnote text"/>
    <w:basedOn w:val="938"/>
    <w:link w:val="1049"/>
    <w:pPr>
      <w:pBdr/>
      <w:spacing/>
      <w:ind/>
    </w:pPr>
    <w:rPr>
      <w:sz w:val="20"/>
      <w:szCs w:val="20"/>
    </w:rPr>
  </w:style>
  <w:style w:type="character" w:styleId="1049" w:customStyle="1">
    <w:name w:val="Текст концевой сноски Знак"/>
    <w:basedOn w:val="948"/>
    <w:link w:val="1048"/>
    <w:pPr>
      <w:pBdr/>
      <w:spacing/>
      <w:ind/>
    </w:pPr>
  </w:style>
  <w:style w:type="character" w:styleId="1050">
    <w:name w:val="endnote reference"/>
    <w:basedOn w:val="948"/>
    <w:pPr>
      <w:pBdr/>
      <w:spacing/>
      <w:ind/>
    </w:pPr>
    <w:rPr>
      <w:vertAlign w:val="superscript"/>
    </w:rPr>
  </w:style>
  <w:style w:type="paragraph" w:styleId="1051" w:customStyle="1">
    <w:name w:val="Заголовок 2 КВВ"/>
    <w:basedOn w:val="938"/>
    <w:qFormat/>
    <w:pPr>
      <w:keepNext w:val="true"/>
      <w:numPr>
        <w:numId w:val="7"/>
      </w:numPr>
      <w:pBdr/>
      <w:spacing w:after="120" w:before="120"/>
      <w:ind/>
      <w:jc w:val="both"/>
      <w:outlineLvl w:val="0"/>
    </w:pPr>
    <w:rPr>
      <w:b/>
      <w:sz w:val="24"/>
      <w:szCs w:val="20"/>
    </w:rPr>
  </w:style>
  <w:style w:type="character" w:styleId="1052" w:customStyle="1">
    <w:name w:val="Пункт2 Знак"/>
    <w:link w:val="971"/>
    <w:pPr>
      <w:pBdr/>
      <w:spacing/>
      <w:ind/>
    </w:pPr>
    <w:rPr>
      <w:b/>
      <w:sz w:val="28"/>
    </w:rPr>
  </w:style>
  <w:style w:type="paragraph" w:styleId="1053" w:customStyle="1">
    <w:name w:val="Таблица текст"/>
    <w:basedOn w:val="938"/>
    <w:pPr>
      <w:pBdr/>
      <w:spacing w:after="40" w:before="40"/>
      <w:ind w:right="57" w:left="57"/>
    </w:pPr>
    <w:rPr>
      <w:sz w:val="24"/>
      <w:szCs w:val="26"/>
    </w:rPr>
  </w:style>
  <w:style w:type="paragraph" w:styleId="1054">
    <w:name w:val="Normal (Web)"/>
    <w:basedOn w:val="938"/>
    <w:uiPriority w:val="99"/>
    <w:unhideWhenUsed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1055" w:customStyle="1">
    <w:name w:val="УРОВЕНЬ_1."/>
    <w:basedOn w:val="1005"/>
    <w:link w:val="1056"/>
    <w:qFormat/>
    <w:pPr>
      <w:keepNext w:val="true"/>
      <w:keepLines w:val="true"/>
      <w:pBdr/>
      <w:spacing w:after="120" w:before="240" w:line="276" w:lineRule="auto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character" w:styleId="1056" w:customStyle="1">
    <w:name w:val="УРОВЕНЬ_1. Знак"/>
    <w:link w:val="1055"/>
    <w:pPr>
      <w:pBdr/>
      <w:spacing/>
      <w:ind/>
    </w:pPr>
    <w:rPr>
      <w:rFonts w:eastAsia="Calibri"/>
      <w:caps/>
      <w:sz w:val="28"/>
      <w:szCs w:val="28"/>
      <w:lang w:eastAsia="en-US"/>
    </w:rPr>
  </w:style>
  <w:style w:type="table" w:styleId="1057" w:customStyle="1">
    <w:name w:val="Сетка таблицы1"/>
    <w:basedOn w:val="949"/>
    <w:next w:val="962"/>
    <w:uiPriority w:val="39"/>
    <w:pPr>
      <w:pBdr/>
      <w:spacing/>
      <w:ind/>
    </w:pPr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8">
    <w:name w:val="toc 6"/>
    <w:basedOn w:val="938"/>
    <w:next w:val="938"/>
    <w:unhideWhenUsed/>
    <w:pPr>
      <w:pBdr/>
      <w:spacing/>
      <w:ind w:left="1120"/>
    </w:pPr>
    <w:rPr>
      <w:rFonts w:asciiTheme="minorHAnsi" w:hAnsiTheme="minorHAnsi" w:cstheme="minorHAnsi"/>
      <w:sz w:val="20"/>
      <w:szCs w:val="20"/>
    </w:rPr>
  </w:style>
  <w:style w:type="paragraph" w:styleId="1059">
    <w:name w:val="toc 7"/>
    <w:basedOn w:val="938"/>
    <w:next w:val="938"/>
    <w:unhideWhenUsed/>
    <w:pPr>
      <w:pBdr/>
      <w:spacing/>
      <w:ind w:left="1400"/>
    </w:pPr>
    <w:rPr>
      <w:rFonts w:asciiTheme="minorHAnsi" w:hAnsiTheme="minorHAnsi" w:cstheme="minorHAnsi"/>
      <w:sz w:val="20"/>
      <w:szCs w:val="20"/>
    </w:rPr>
  </w:style>
  <w:style w:type="paragraph" w:styleId="1060">
    <w:name w:val="toc 8"/>
    <w:basedOn w:val="938"/>
    <w:next w:val="938"/>
    <w:unhideWhenUsed/>
    <w:pPr>
      <w:pBdr/>
      <w:spacing/>
      <w:ind w:left="1680"/>
    </w:pPr>
    <w:rPr>
      <w:rFonts w:asciiTheme="minorHAnsi" w:hAnsiTheme="minorHAnsi" w:cstheme="minorHAnsi"/>
      <w:sz w:val="20"/>
      <w:szCs w:val="20"/>
    </w:rPr>
  </w:style>
  <w:style w:type="character" w:styleId="1061" w:customStyle="1">
    <w:name w:val="Неразрешенное упоминание1"/>
    <w:basedOn w:val="94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62" w:customStyle="1">
    <w:name w:val="Основной текст с отступом 3 Знак"/>
    <w:link w:val="967"/>
    <w:pPr>
      <w:pBdr/>
      <w:spacing/>
      <w:ind/>
    </w:pPr>
    <w:rPr>
      <w:sz w:val="16"/>
      <w:szCs w:val="16"/>
    </w:rPr>
  </w:style>
  <w:style w:type="table" w:styleId="1063" w:customStyle="1">
    <w:name w:val="Table Grid"/>
    <w:pPr>
      <w:pBdr/>
      <w:spacing/>
      <w:ind/>
    </w:pPr>
    <w:rPr>
      <w:rFonts w:ascii="Calibri" w:hAnsi="Calibri"/>
      <w:sz w:val="22"/>
      <w:szCs w:val="22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4" w:customStyle="1">
    <w:name w:val="Нижний колонтитул Знак"/>
    <w:basedOn w:val="948"/>
    <w:link w:val="963"/>
    <w:uiPriority w:val="99"/>
    <w:pPr>
      <w:pBdr/>
      <w:spacing/>
      <w:ind/>
    </w:pPr>
    <w:rPr>
      <w:sz w:val="28"/>
      <w:szCs w:val="28"/>
    </w:rPr>
  </w:style>
  <w:style w:type="character" w:styleId="1065" w:customStyle="1">
    <w:name w:val="Основной текст (5)_"/>
    <w:basedOn w:val="948"/>
    <w:link w:val="1071"/>
    <w:pPr>
      <w:pBdr/>
      <w:spacing/>
      <w:ind/>
    </w:pPr>
    <w:rPr>
      <w:shd w:val="clear" w:color="auto" w:fill="ffffff"/>
    </w:rPr>
  </w:style>
  <w:style w:type="character" w:styleId="1066" w:customStyle="1">
    <w:name w:val="Основной текст (11)_"/>
    <w:basedOn w:val="948"/>
    <w:link w:val="1072"/>
    <w:pPr>
      <w:pBdr/>
      <w:spacing/>
      <w:ind/>
    </w:pPr>
    <w:rPr>
      <w:sz w:val="19"/>
      <w:szCs w:val="19"/>
      <w:shd w:val="clear" w:color="auto" w:fill="ffffff"/>
    </w:rPr>
  </w:style>
  <w:style w:type="character" w:styleId="1067" w:customStyle="1">
    <w:name w:val="Заголовок №2_"/>
    <w:basedOn w:val="948"/>
    <w:link w:val="1073"/>
    <w:pPr>
      <w:pBdr/>
      <w:spacing/>
      <w:ind/>
    </w:pPr>
    <w:rPr>
      <w:sz w:val="26"/>
      <w:szCs w:val="26"/>
      <w:shd w:val="clear" w:color="auto" w:fill="ffffff"/>
    </w:rPr>
  </w:style>
  <w:style w:type="character" w:styleId="1068" w:customStyle="1">
    <w:name w:val="Основной текст (12)_"/>
    <w:basedOn w:val="948"/>
    <w:link w:val="1074"/>
    <w:pPr>
      <w:pBdr/>
      <w:spacing/>
      <w:ind/>
    </w:pPr>
    <w:rPr>
      <w:b/>
      <w:bCs/>
      <w:sz w:val="30"/>
      <w:szCs w:val="30"/>
      <w:shd w:val="clear" w:color="auto" w:fill="ffffff"/>
    </w:rPr>
  </w:style>
  <w:style w:type="character" w:styleId="1069" w:customStyle="1">
    <w:name w:val="Основной текст (13)_"/>
    <w:basedOn w:val="948"/>
    <w:link w:val="1075"/>
    <w:pPr>
      <w:pBdr/>
      <w:spacing/>
      <w:ind/>
    </w:pPr>
    <w:rPr>
      <w:b/>
      <w:bCs/>
      <w:shd w:val="clear" w:color="auto" w:fill="ffffff"/>
    </w:rPr>
  </w:style>
  <w:style w:type="character" w:styleId="1070" w:customStyle="1">
    <w:name w:val="Основной текст (13) + Интервал 1 pt"/>
    <w:basedOn w:val="1069"/>
    <w:pPr>
      <w:pBdr/>
      <w:spacing/>
      <w:ind/>
    </w:pPr>
    <w:rPr>
      <w:b/>
      <w:bCs/>
      <w:color w:val="000000"/>
      <w:spacing w:val="30"/>
      <w:position w:val="0"/>
      <w:shd w:val="clear" w:color="auto" w:fill="ffffff"/>
      <w:lang w:val="ru-RU" w:eastAsia="ru-RU" w:bidi="ru-RU"/>
    </w:rPr>
  </w:style>
  <w:style w:type="paragraph" w:styleId="1071" w:customStyle="1">
    <w:name w:val="Основной текст (5)"/>
    <w:basedOn w:val="938"/>
    <w:link w:val="1065"/>
    <w:pPr>
      <w:widowControl w:val="false"/>
      <w:pBdr/>
      <w:shd w:val="clear" w:color="auto" w:fill="ffffff"/>
      <w:spacing w:after="120" w:before="120" w:line="0" w:lineRule="atLeast"/>
      <w:ind/>
      <w:jc w:val="both"/>
    </w:pPr>
    <w:rPr>
      <w:sz w:val="20"/>
      <w:szCs w:val="20"/>
    </w:rPr>
  </w:style>
  <w:style w:type="paragraph" w:styleId="1072" w:customStyle="1">
    <w:name w:val="Основной текст (11)"/>
    <w:basedOn w:val="938"/>
    <w:link w:val="1066"/>
    <w:pPr>
      <w:widowControl w:val="false"/>
      <w:pBdr/>
      <w:shd w:val="clear" w:color="auto" w:fill="ffffff"/>
      <w:spacing w:after="60" w:line="0" w:lineRule="atLeast"/>
      <w:ind/>
    </w:pPr>
    <w:rPr>
      <w:sz w:val="19"/>
      <w:szCs w:val="19"/>
    </w:rPr>
  </w:style>
  <w:style w:type="paragraph" w:styleId="1073" w:customStyle="1">
    <w:name w:val="Заголовок №2"/>
    <w:basedOn w:val="938"/>
    <w:link w:val="1067"/>
    <w:pPr>
      <w:widowControl w:val="false"/>
      <w:pBdr/>
      <w:shd w:val="clear" w:color="auto" w:fill="ffffff"/>
      <w:spacing w:line="0" w:lineRule="atLeast"/>
      <w:ind/>
      <w:outlineLvl w:val="1"/>
    </w:pPr>
    <w:rPr>
      <w:sz w:val="26"/>
      <w:szCs w:val="26"/>
    </w:rPr>
  </w:style>
  <w:style w:type="paragraph" w:styleId="1074" w:customStyle="1">
    <w:name w:val="Основной текст (12)"/>
    <w:basedOn w:val="938"/>
    <w:link w:val="1068"/>
    <w:pPr>
      <w:widowControl w:val="false"/>
      <w:pBdr/>
      <w:shd w:val="clear" w:color="auto" w:fill="ffffff"/>
      <w:spacing w:after="300" w:before="360" w:line="0" w:lineRule="atLeast"/>
      <w:ind/>
    </w:pPr>
    <w:rPr>
      <w:b/>
      <w:bCs/>
      <w:sz w:val="30"/>
      <w:szCs w:val="30"/>
    </w:rPr>
  </w:style>
  <w:style w:type="paragraph" w:styleId="1075" w:customStyle="1">
    <w:name w:val="Основной текст (13)"/>
    <w:basedOn w:val="938"/>
    <w:link w:val="1069"/>
    <w:pPr>
      <w:widowControl w:val="false"/>
      <w:pBdr/>
      <w:shd w:val="clear" w:color="auto" w:fill="ffffff"/>
      <w:spacing w:after="120" w:before="300" w:line="264" w:lineRule="exact"/>
      <w:ind/>
      <w:jc w:val="center"/>
    </w:pPr>
    <w:rPr>
      <w:b/>
      <w:bCs/>
      <w:sz w:val="20"/>
      <w:szCs w:val="20"/>
    </w:rPr>
  </w:style>
  <w:style w:type="character" w:styleId="1076">
    <w:name w:val="line number"/>
    <w:basedOn w:val="948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C9F2-A26A-4BF5-AB13-2C156511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Microsoft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revision>4</cp:revision>
  <dcterms:created xsi:type="dcterms:W3CDTF">2024-02-08T23:34:00Z</dcterms:created>
  <dcterms:modified xsi:type="dcterms:W3CDTF">2026-06-23T01:49:32Z</dcterms:modified>
</cp:coreProperties>
</file>