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</w:t>
      </w:r>
      <w:r>
        <w:rPr>
          <w:sz w:val="24"/>
          <w:szCs w:val="24"/>
          <w:u w:val="single"/>
        </w:rPr>
        <w:t>М.В. Нешев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b/>
          <w:bCs/>
          <w:sz w:val="24"/>
          <w:szCs w:val="24"/>
        </w:rPr>
        <w:t>ОКПД 2 74.90.19.190 Услуги по разработке проектов организации дорожного движения и оформлению писем принятие мер для оформления специальных разрешений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 для нужд Камчатского филиала АО "ТК РусГидро"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Лот: </w:t>
      </w:r>
      <w:r>
        <w:rPr>
          <w:b/>
          <w:sz w:val="24"/>
          <w:szCs w:val="24"/>
        </w:rPr>
        <w:t>№ 2033-ПРО ДЭК-202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-ТК-КФ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rFonts w:cs="Times New Roman"/>
                <w:iCs/>
                <w:vanish w:val="false"/>
                <w:color w:val="auto"/>
                <w:sz w:val="24"/>
                <w:szCs w:val="24"/>
                <w:u w:val="none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color w:val="auto"/>
                <w:sz w:val="24"/>
                <w:szCs w:val="24"/>
                <w:u w:val="none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rFonts w:cs="Times New Roman"/>
                <w:iCs/>
                <w:vanish w:val="false"/>
                <w:color w:val="auto"/>
                <w:sz w:val="24"/>
                <w:szCs w:val="24"/>
                <w:u w:val="none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color w:val="auto"/>
                <w:sz w:val="24"/>
                <w:szCs w:val="24"/>
                <w:u w:val="none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cs="Times New Roman"/>
              <w:color w:val="auto"/>
              <w:sz w:val="24"/>
              <w:szCs w:val="24"/>
              <w:u w:val="none"/>
            </w:rPr>
          </w:pPr>
          <w:hyperlink w:anchor="_Toc54643697">
            <w:r>
              <w:rPr>
                <w:webHidden/>
                <w:rStyle w:val="Style14"/>
                <w:rFonts w:cs="Times New Roman"/>
                <w:iCs/>
                <w:vanish w:val="false"/>
                <w:color w:val="auto"/>
                <w:sz w:val="24"/>
                <w:szCs w:val="24"/>
                <w:u w:val="none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color w:val="auto"/>
                <w:sz w:val="24"/>
                <w:szCs w:val="24"/>
                <w:u w:val="none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  <w:bookmarkStart w:id="0" w:name="_GoBack"/>
          <w:bookmarkEnd w:id="0"/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cs="Times New Roman"/>
            </w:rPr>
          </w:pPr>
          <w:hyperlink w:anchor="_Toc54643711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  <w:tab/>
          </w:r>
        </w:p>
        <w:p>
          <w:pPr>
            <w:pStyle w:val="Normal"/>
            <w:rPr>
              <w:rFonts w:eastAsia="" w:eastAsiaTheme="minorEastAsia"/>
            </w:rPr>
          </w:pPr>
          <w:r>
            <w:rPr>
              <w:rFonts w:eastAsia="" w:eastAsiaTheme="minorEastAsia"/>
            </w:rPr>
            <w:t xml:space="preserve">4.     </w:t>
          </w:r>
          <w:r>
            <w:rPr>
              <w:rFonts w:eastAsia="" w:eastAsiaTheme="minorEastAsia"/>
              <w:b/>
              <w:sz w:val="24"/>
              <w:szCs w:val="24"/>
            </w:rPr>
            <w:t>Требования к документации по ценообразованию на этапе заключения (исполнения)     договора……………………………………………………………...........................10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1"/>
        </w:numPr>
        <w:jc w:val="center"/>
        <w:rPr>
          <w:b/>
        </w:rPr>
      </w:pPr>
      <w:r>
        <w:rPr>
          <w:b/>
        </w:rPr>
        <w:t>Общие сведения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426" w:hanging="142"/>
        <w:rPr/>
      </w:pPr>
      <w:bookmarkStart w:id="1" w:name="_Toc46743506"/>
      <w:bookmarkStart w:id="2" w:name="_Toc54643696"/>
      <w:r>
        <w:rPr/>
        <w:t>Наименование закупаемой продукции</w:t>
      </w:r>
      <w:bookmarkEnd w:id="1"/>
      <w:bookmarkEnd w:id="2"/>
    </w:p>
    <w:p>
      <w:pPr>
        <w:pStyle w:val="Normal"/>
        <w:keepNext w:val="true"/>
        <w:keepLines/>
        <w:jc w:val="both"/>
        <w:rPr>
          <w:sz w:val="24"/>
          <w:szCs w:val="24"/>
        </w:rPr>
      </w:pPr>
      <w:bookmarkStart w:id="3" w:name="_Toc54643697"/>
      <w:r>
        <w:rPr>
          <w:sz w:val="24"/>
          <w:szCs w:val="24"/>
        </w:rPr>
        <w:t>ОКПД 2 74.90.19.190 Услуги по разработке проектов организации дорожного движения и оформлению писем принятие мер для оформления специальных разрешений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 для нужд Камчатского филиала АО "ТК РусГидро".</w:t>
      </w:r>
    </w:p>
    <w:p>
      <w:pPr>
        <w:pStyle w:val="Heading4"/>
        <w:numPr>
          <w:ilvl w:val="1"/>
          <w:numId w:val="3"/>
        </w:numPr>
        <w:ind w:left="567" w:hanging="291"/>
        <w:rPr/>
      </w:pPr>
      <w:bookmarkStart w:id="4" w:name="_Toc46743507"/>
      <w:r>
        <w:rPr/>
        <w:t xml:space="preserve">Цель </w:t>
      </w:r>
      <w:bookmarkEnd w:id="4"/>
      <w:r>
        <w:rPr/>
        <w:t>оказания услуг</w:t>
      </w:r>
      <w:bookmarkEnd w:id="3"/>
    </w:p>
    <w:p>
      <w:pPr>
        <w:pStyle w:val="Heading4"/>
        <w:numPr>
          <w:ilvl w:val="0"/>
          <w:numId w:val="0"/>
        </w:numPr>
        <w:ind w:left="0" w:firstLine="567"/>
        <w:rPr/>
      </w:pPr>
      <w:r>
        <w:rPr>
          <w:rFonts w:eastAsia="Times New Roman"/>
          <w:b w:val="false"/>
          <w:bCs w:val="false"/>
          <w:lang w:val="ru-RU"/>
        </w:rPr>
        <w:t xml:space="preserve">1.2.1. Обеспечение Камчатского филиала АО «ТК РусГидро» </w:t>
      </w:r>
      <w:r>
        <w:rPr>
          <w:rFonts w:eastAsia="Times New Roman"/>
          <w:b w:val="false"/>
          <w:bCs w:val="false"/>
          <w:lang w:val="ru-RU" w:eastAsia="ru-RU"/>
        </w:rPr>
        <w:t>специальными разрешениями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грузов.</w:t>
      </w:r>
    </w:p>
    <w:p>
      <w:pPr>
        <w:pStyle w:val="Heading4"/>
        <w:numPr>
          <w:ilvl w:val="1"/>
          <w:numId w:val="3"/>
        </w:numPr>
        <w:ind w:left="709" w:firstLine="63"/>
        <w:rPr/>
      </w:pPr>
      <w:bookmarkStart w:id="5" w:name="_Toc54643698"/>
      <w:bookmarkStart w:id="6" w:name="_Toc46743508"/>
      <w:r>
        <w:rPr/>
        <w:t>Существующее положение</w:t>
      </w:r>
      <w:bookmarkEnd w:id="5"/>
      <w:bookmarkEnd w:id="6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7" w:name="_Toc54643699"/>
      <w:r>
        <w:rPr>
          <w:sz w:val="24"/>
          <w:szCs w:val="24"/>
        </w:rPr>
        <w:t>Таблица 1. Перечень объектов заказчика</w:t>
      </w:r>
      <w:bookmarkEnd w:id="7"/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2"/>
        <w:gridCol w:w="2869"/>
        <w:gridCol w:w="2126"/>
        <w:gridCol w:w="2126"/>
        <w:gridCol w:w="1814"/>
      </w:tblGrid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осуществляющие перевозки тяжеловесных и (или) крупногабаритных транспортных средств или грузов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8" w:name="_Toc54643702"/>
            <w:bookmarkStart w:id="9" w:name="_Toc51339693"/>
            <w:r>
              <w:rPr>
                <w:sz w:val="24"/>
                <w:szCs w:val="24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«Центральные электрические сети»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осуществляющие перевозки тяжеловесных и (или) крупногабаритных транспортных средств или грузов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«Камчатский ТЭЦ»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осуществляющие перевозки тяжеловесных и (или) крупногабаритных транспортных средств или грузов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3"/>
        </w:numPr>
        <w:ind w:left="3402" w:firstLine="63"/>
        <w:rPr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ind w:left="567" w:firstLine="63"/>
        <w:rPr/>
      </w:pPr>
      <w:bookmarkStart w:id="1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>
      <w:pPr>
        <w:pStyle w:val="Heading3"/>
        <w:numPr>
          <w:ilvl w:val="2"/>
          <w:numId w:val="3"/>
        </w:numPr>
        <w:ind w:left="0" w:firstLine="63"/>
        <w:rPr/>
      </w:pPr>
      <w:bookmarkStart w:id="11" w:name="_Toc54643704"/>
      <w:r>
        <w:rPr/>
        <w:t>Требования к перечню и объему услуг</w:t>
      </w:r>
      <w:bookmarkEnd w:id="11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2" w:name="_Toc54643705"/>
      <w:bookmarkStart w:id="13" w:name="_Toc51339695"/>
      <w:r>
        <w:rPr>
          <w:sz w:val="24"/>
          <w:szCs w:val="24"/>
        </w:rPr>
        <w:t xml:space="preserve">Таблица 2. Перечень </w:t>
      </w:r>
      <w:bookmarkEnd w:id="13"/>
      <w:r>
        <w:rPr>
          <w:sz w:val="24"/>
          <w:szCs w:val="24"/>
        </w:rPr>
        <w:t>и объем оказываемых услуг</w:t>
      </w:r>
      <w:bookmarkEnd w:id="12"/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40"/>
        <w:gridCol w:w="6077"/>
        <w:gridCol w:w="1411"/>
        <w:gridCol w:w="1618"/>
      </w:tblGrid>
      <w:tr>
        <w:trPr>
          <w:trHeight w:val="30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работ/услуг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Количество*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разработке проектов организации дорожного движения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оформлению писем принятие мер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</w:tr>
    </w:tbl>
    <w:p>
      <w:pPr>
        <w:pStyle w:val="Heading3"/>
        <w:numPr>
          <w:ilvl w:val="0"/>
          <w:numId w:val="0"/>
        </w:numPr>
        <w:ind w:left="63" w:hanging="0"/>
        <w:rPr/>
      </w:pPr>
      <w:r>
        <w:rPr>
          <w:lang w:val="ru-RU"/>
        </w:rPr>
        <w:t>*Количество плановое, может быть изменено в процессе исполнения договора в соответствии с производственными потребностями Заказчика в пределах общей цены договора.</w:t>
      </w:r>
    </w:p>
    <w:p>
      <w:pPr>
        <w:pStyle w:val="Heading3"/>
        <w:numPr>
          <w:ilvl w:val="2"/>
          <w:numId w:val="3"/>
        </w:numPr>
        <w:ind w:left="0" w:firstLine="63"/>
        <w:rPr/>
      </w:pPr>
      <w:r>
        <w:rPr/>
        <w:t>Требования к срокам оказания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14" w:name="_Toc54643707"/>
      <w:bookmarkStart w:id="15" w:name="_Toc51339697"/>
      <w:bookmarkStart w:id="16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7"/>
      <w:r>
        <w:rPr>
          <w:sz w:val="24"/>
          <w:szCs w:val="24"/>
          <w:lang w:val="ru-RU"/>
        </w:rPr>
        <w:t>оказания услуг</w:t>
      </w:r>
      <w:bookmarkEnd w:id="1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3123"/>
        <w:gridCol w:w="2694"/>
        <w:gridCol w:w="3117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разработке проектов организации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оформлению писем принятие мер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3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0" w:firstLine="63"/>
        <w:rPr/>
      </w:pPr>
      <w:bookmarkStart w:id="18" w:name="_Toc54643709"/>
      <w:bookmarkStart w:id="19" w:name="_Toc51339698"/>
      <w:bookmarkStart w:id="20" w:name="_Toc54643708"/>
      <w:bookmarkStart w:id="21" w:name="_Toc46743511"/>
      <w:r>
        <w:rPr/>
        <w:t xml:space="preserve">Требования к </w:t>
      </w:r>
      <w:bookmarkEnd w:id="21"/>
      <w:r>
        <w:rPr>
          <w:lang w:val="ru-RU"/>
        </w:rPr>
        <w:t>качеству услуг</w:t>
      </w:r>
      <w:bookmarkEnd w:id="20"/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19"/>
      <w:r>
        <w:rPr>
          <w:sz w:val="24"/>
          <w:szCs w:val="24"/>
          <w:lang w:val="ru-RU"/>
        </w:rPr>
        <w:t>качеству услуг</w:t>
      </w:r>
      <w:bookmarkEnd w:id="18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</w:t>
      </w:r>
      <w:r>
        <w:rPr>
          <w:sz w:val="24"/>
          <w:szCs w:val="24"/>
        </w:rPr>
        <w:t>позиции 1, 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Таблицы 2):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ОКПД 2 74.90.19.190 </w:t>
      </w:r>
      <w:r>
        <w:rPr>
          <w:sz w:val="24"/>
          <w:szCs w:val="24"/>
        </w:rPr>
        <w:t>Услуги по разработке проектов организации дорожного движения и оформлению писем принятие мер для оформления специальных разрешений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 для нужд Камчатского филиала АО "ТК РусГидро".</w:t>
      </w:r>
    </w:p>
    <w:tbl>
      <w:tblPr>
        <w:tblStyle w:val="af"/>
        <w:tblW w:w="147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7"/>
        <w:gridCol w:w="2309"/>
        <w:gridCol w:w="5465"/>
        <w:gridCol w:w="1845"/>
        <w:gridCol w:w="2220"/>
        <w:gridCol w:w="2267"/>
      </w:tblGrid>
      <w:tr>
        <w:trPr/>
        <w:tc>
          <w:tcPr>
            <w:tcW w:w="6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46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0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4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2"/>
          </w:p>
        </w:tc>
        <w:tc>
          <w:tcPr>
            <w:tcW w:w="23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4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 по разработке проектов организации дорожного движения и оформлению писем принятие мер для оформления специальных разрешений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 для нужд Камчатского филиала АО "ТК РусГидро"</w:t>
            </w:r>
          </w:p>
        </w:tc>
        <w:tc>
          <w:tcPr>
            <w:tcW w:w="5465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Разработка (оформление) проектов организации дорожного движения по маршруту или участку маршрута включат в себя: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Схему и описание маршрута движения;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firstLine="36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Характеристики и параметры транспортных средств, участвующих в движении;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firstLine="36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Необходимость автомобилей прикрытия и их расположение спереди и сзади сопровождаемого транспорта;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firstLine="36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График движения по маршруту с учётом интенсивности дорожного движения;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firstLine="36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Схемы изменения организации дорожного движения и прикрытия автомобилем сопровождения на участках, имеющих ограниченную видимость, и в местах, указанных в графе «Особые условия» специального разрешения на движение по автомобильным дорогам тяжеловесного и (или) крупногабаритного транспортного средства;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firstLine="36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Порядок проезда сложных участков маршрута (поворотов, перекрёстков, сужений проезжей части, участков с выездом на полосу встречного движения) с нанесённой на схему траекторией движения;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firstLine="36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Места осуществления контрольных промеров габаритов искусственных сооружений и коммуникаций в процессе дорожного движения;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firstLine="36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Места остановок и стоянок для отдыха и пропуска попутных (встречных) транспортных средств.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Проект организации дорожного движения должен также содержать информацию о необходимости полного или частичного перекрытия дорожного движения на участках автомобильной дороги.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Объём оказания услуг определяется Заявками Заказчика, направляемыми Исполнителю при возникновении потребности.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65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Стоимость расходных материалов, сборов и пошлин используемых Исполнителем  при оказании услуг, должна быть включена в итоговую стоимость оказания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Заказчик, по электронной почте направляет Исполнителю заявку на оказание услуги с приложением всех данных необходимых Исполнителю для полного и качественного исполнения заявленной услуги.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производится силами и с применением технических ресурсов Исполнителя, допускается привлечение субподрядных организаций, при этом Исполнитель несёт полную ответственность за качество и полноту оказанных субподрядчиком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наличие персонала в необходимом количестве и  квалифицированного для выполнения работ согласно перечня указанного в Приложении 1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39" w:hRule="atLeast"/>
        </w:trPr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 по разработке проектов организации дорожного движения</w:t>
            </w:r>
          </w:p>
        </w:tc>
        <w:tc>
          <w:tcPr>
            <w:tcW w:w="5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услуги является предоставление Заказчику проекта организации дорожного движения для перевозки крупногабаритных и тяжеловесных грузов автомобильным транспортом Заказчика согласованного всеми уполномоченными органами и готового к использованию в качестве приложения к заявлению на оформление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 по оформлению писем принятие мер для оформления специальных разрешений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</w:t>
            </w:r>
          </w:p>
        </w:tc>
        <w:tc>
          <w:tcPr>
            <w:tcW w:w="5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услуги является предоставление Заказчику готового к использованию по назначению и согласованного в утверждённом порядке письма меры.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Оказываемые услуги должны отвечать требованиям законодательства РФ, предъявляемым к услугам соответствующего рода, в том числе требованиям следующих документов: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Приказ Министерства транспорта РФ от 31 октября 2023 г. N 361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firstLine="72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"Об установлении Требований к организации движения по автомобильным дорогам тяжеловесного и (или) крупногабаритного транспортного средства";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Правила обеспечения безопасности перевозок автомобильным транспортом и городским наземным электрическим транспортом утв. приказом Минтранса России от 30 апреля 2021 года № 145;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Технический регламент Таможенного союза «О безопасности колёсных транспортных средств»;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Правила перевозок грузов автомобильным транспортом утв. Постановлением Правительства РФ от 21 декабря 2020 года №2200;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 xml:space="preserve">Постановление Правительства </w:t>
            </w:r>
            <w:r>
              <w:rPr>
                <w:rFonts w:cs="Times New Roman"/>
                <w:kern w:val="0"/>
                <w:lang w:val="ru-RU" w:eastAsia="ru-RU" w:bidi="ar-SA"/>
              </w:rPr>
              <w:t>РФ от 1 декабря 2023 г. N 2060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lang w:val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Постановление Правительства РФ от 17 января 2007 г. №20 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РФ и военной автомобильной инспекции».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Сдача и приёмка оказанных услуг производится на основании подписанного (принятого) Заказчиком Акта приёмки оказанных услуг. Услуга считается оказанной с момента получения Заказчиком результата услуг в соответствии с п. 2.1. настоящих технических требований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2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426" w:hanging="0"/>
        <w:rPr>
          <w:sz w:val="24"/>
          <w:szCs w:val="24"/>
        </w:rPr>
      </w:pPr>
      <w:bookmarkStart w:id="23" w:name="_Toc54643710"/>
      <w:bookmarkStart w:id="24" w:name="_Toc53393312"/>
      <w:bookmarkStart w:id="25" w:name="_Toc53395937"/>
      <w:r>
        <w:rPr>
          <w:sz w:val="24"/>
          <w:szCs w:val="24"/>
        </w:rPr>
        <w:t>Требования к документации по ценообразованию</w:t>
      </w:r>
      <w:bookmarkEnd w:id="24"/>
      <w:bookmarkEnd w:id="25"/>
      <w:r>
        <w:rPr>
          <w:sz w:val="24"/>
          <w:szCs w:val="24"/>
        </w:rPr>
        <w:t xml:space="preserve"> на этапе закупки</w:t>
      </w:r>
      <w:bookmarkEnd w:id="23"/>
    </w:p>
    <w:p>
      <w:pPr>
        <w:pStyle w:val="Heading1"/>
        <w:keepLines/>
        <w:numPr>
          <w:ilvl w:val="0"/>
          <w:numId w:val="0"/>
        </w:numPr>
        <w:ind w:left="0" w:firstLine="709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  <w:lang w:val="ru-RU"/>
        </w:rPr>
        <w:t xml:space="preserve">3.1 </w:t>
      </w:r>
      <w:r>
        <w:rPr>
          <w:b w:val="false"/>
          <w:bCs/>
          <w:sz w:val="24"/>
          <w:szCs w:val="24"/>
        </w:rPr>
        <w:t>Участник закупки в составе заявки должен сформировать и предоставить Коммерческое предложение по предусмотренной Документацией о закупке форме.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Cs/>
        </w:rPr>
      </w:pPr>
      <w:r>
        <w:rPr>
          <w:bCs/>
        </w:rPr>
        <w:tab/>
        <w:tab/>
        <w:t xml:space="preserve">3.2. Коммерческое предложение должно быть предоставлено на </w:t>
      </w:r>
      <w:r>
        <w:rPr>
          <w:color w:val="000000"/>
        </w:rPr>
        <w:t>начальную (максимальную) цену по лоту</w:t>
      </w:r>
      <w:r>
        <w:rPr>
          <w:bCs/>
        </w:rPr>
        <w:t xml:space="preserve">. 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Cs/>
        </w:rPr>
      </w:pPr>
      <w:r>
        <w:rPr>
          <w:lang w:eastAsia="x-none"/>
        </w:rPr>
        <w:tab/>
        <w:tab/>
        <w:t xml:space="preserve">3.3. </w:t>
      </w:r>
      <w:r>
        <w:rPr>
          <w:bCs/>
        </w:rPr>
        <w:t>К Коммерческому предложению Участник закупки должен приложить следующие документы:</w:t>
      </w:r>
    </w:p>
    <w:p>
      <w:pPr>
        <w:pStyle w:val="Heading1"/>
        <w:keepLines/>
        <w:numPr>
          <w:ilvl w:val="0"/>
          <w:numId w:val="10"/>
        </w:numPr>
        <w:suppressAutoHyphens w:val="true"/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numPr>
          <w:ilvl w:val="1"/>
          <w:numId w:val="10"/>
        </w:numPr>
        <w:suppressAutoHyphens w:val="true"/>
        <w:spacing w:before="0" w:after="12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>
      <w:pPr>
        <w:pStyle w:val="Normal"/>
        <w:numPr>
          <w:ilvl w:val="1"/>
          <w:numId w:val="10"/>
        </w:numPr>
        <w:suppressAutoHyphens w:val="true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 (Приложение № 2 к Документации о закупке)».</w:t>
      </w:r>
    </w:p>
    <w:p>
      <w:pPr>
        <w:pStyle w:val="Normal"/>
        <w:suppressAutoHyphens w:val="true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uppressAutoHyphens w:val="true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uppressAutoHyphens w:val="true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Инженер по БДД ГОТ и ТБ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Камчатского филиала АО «ТК РусГидро»                                                            А.В. Краев                               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caps/>
          <w:sz w:val="24"/>
          <w:szCs w:val="24"/>
          <w:lang w:val="x-none" w:eastAsia="x-none"/>
        </w:rPr>
      </w:pPr>
      <w:r>
        <w:rPr>
          <w:rFonts w:eastAsia="Calibri"/>
          <w:b/>
          <w:iCs/>
          <w:caps/>
          <w:sz w:val="24"/>
          <w:szCs w:val="24"/>
          <w:lang w:val="x-none" w:eastAsia="x-none"/>
        </w:rPr>
      </w:r>
    </w:p>
    <w:p>
      <w:pPr>
        <w:pStyle w:val="Normal"/>
        <w:rPr>
          <w:iCs/>
          <w:caps/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127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17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19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866914"/>
    <w:pPr>
      <w:keepNext w:val="true"/>
      <w:numPr>
        <w:ilvl w:val="2"/>
        <w:numId w:val="3"/>
      </w:numPr>
      <w:spacing w:before="120" w:after="60"/>
      <w:ind w:left="0" w:firstLine="63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86691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E2D4-DB5D-44EB-ADAE-6FD90921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Application>AlterOffice/3.4.0.9$Linux_X86_64 LibreOffice_project/b8daf9e823b1a5463a2f48435ddc2e8696e7d4fc</Application>
  <AppVersion>15.0000</AppVersion>
  <Pages>10</Pages>
  <Words>1461</Words>
  <Characters>10059</Characters>
  <CharactersWithSpaces>11535</CharactersWithSpaces>
  <Paragraphs>231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gritskikhea@corp.gidroogk.com</cp:lastModifiedBy>
  <cp:lastPrinted>2025-07-25T02:24:00Z</cp:lastPrinted>
  <dcterms:modified xsi:type="dcterms:W3CDTF">2026-06-23T18:29:58Z</dcterms:modified>
  <cp:revision>84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