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embeddings/oleObject2.docx" ContentType="application/vnd.openxmlformats-officedocument.wordprocessingml.document"/>
  <Override PartName="/word/embeddings/oleObject3.xlsx" ContentType="application/vnd.openxmlformats-officedocument.spreadsheetml.sheet"/>
  <Override PartName="/word/embeddings/oleObject1.docx" ContentType="application/vnd.openxmlformats-officedocument.wordprocessingml.document"/>
  <Override PartName="/word/footer3.xml" ContentType="application/vnd.openxmlformats-officedocument.wordprocessingml.footer+xml"/>
  <Override PartName="/word/footnotes.xml" ContentType="application/vnd.openxmlformats-officedocument.wordprocessingml.footnotes+xml"/>
  <Override PartName="/word/footer7.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13.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media/image2.wmf" ContentType="image/x-wmf"/>
  <Override PartName="/word/media/image1.wmf" ContentType="image/x-wmf"/>
  <Override PartName="/word/media/image4.wmf" ContentType="image/x-wmf"/>
  <Override PartName="/word/media/image3.png" ContentType="image/png"/>
  <Override PartName="/word/header6.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styles.xml" ContentType="application/vnd.openxmlformats-officedocument.wordprocessingml.style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30"/>
        <w:spacing w:before="120" w:after="0"/>
        <w:ind w:left="6237" w:hanging="0"/>
        <w:rPr/>
      </w:pPr>
      <w:r>
        <w:rPr/>
      </w:r>
    </w:p>
    <w:p>
      <w:pPr>
        <w:pStyle w:val="Style30"/>
        <w:rPr/>
      </w:pPr>
      <w:r>
        <w:rPr/>
      </w:r>
    </w:p>
    <w:p>
      <w:pPr>
        <w:pStyle w:val="Style30"/>
        <w:rPr/>
      </w:pPr>
      <w:r>
        <w:rPr/>
      </w:r>
    </w:p>
    <w:p>
      <w:pPr>
        <w:pStyle w:val="Style30"/>
        <w:keepNext w:val="true"/>
        <w:numPr>
          <w:ilvl w:val="0"/>
          <w:numId w:val="0"/>
        </w:numPr>
        <w:jc w:val="center"/>
        <w:outlineLvl w:val="2"/>
        <w:rPr>
          <w:b/>
          <w:bCs/>
          <w:caps/>
        </w:rPr>
      </w:pPr>
      <w:r>
        <w:rPr>
          <w:b/>
          <w:bCs/>
          <w:caps/>
        </w:rPr>
        <w:t>Документация о закупке</w:t>
      </w:r>
    </w:p>
    <w:p>
      <w:pPr>
        <w:pStyle w:val="Style30"/>
        <w:keepNext w:val="true"/>
        <w:spacing w:before="240" w:after="0"/>
        <w:jc w:val="center"/>
        <w:rPr>
          <w:rStyle w:val="Style11"/>
        </w:rPr>
      </w:pPr>
      <w:r>
        <w:rPr/>
        <w:t>Состязательный отбор в электронной форме,</w:t>
        <w:br/>
        <w:t>участниками которого могут быть только субъекты МСП,</w:t>
        <w:br/>
        <w:t>на право заключения договора на «ОКПД2 27.33.11.150 Поставка выключателя автоматического ВН630 (аварийный запас) для нужд филиала ПАО «РусГидро» - Саяно-Шушенская ГЭС имени П.С. Непорожнего»</w:t>
      </w:r>
    </w:p>
    <w:p>
      <w:pPr>
        <w:sectPr>
          <w:footerReference w:type="default" r:id="rId2"/>
          <w:type w:val="nextPage"/>
          <w:pgSz w:w="11906" w:h="16838"/>
          <w:pgMar w:left="1134" w:right="850" w:gutter="0" w:header="0" w:top="851" w:footer="567" w:bottom="851"/>
          <w:pgNumType w:fmt="decimal"/>
          <w:formProt w:val="false"/>
          <w:textDirection w:val="lrTb"/>
          <w:docGrid w:type="default" w:linePitch="360" w:charSpace="4294963199"/>
        </w:sectPr>
        <w:pStyle w:val="Style30"/>
        <w:keepNext w:val="true"/>
        <w:spacing w:before="240" w:after="0"/>
        <w:jc w:val="center"/>
        <w:rPr/>
      </w:pPr>
      <w:r>
        <w:rPr/>
        <w:t>(Лот № 19-АЗ-2026-СШГЭС)</w:t>
      </w:r>
    </w:p>
    <w:p>
      <w:pPr>
        <w:pStyle w:val="Style29"/>
        <w:numPr>
          <w:ilvl w:val="0"/>
          <w:numId w:val="0"/>
        </w:numPr>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r>
            <w:fldChar w:fldCharType="begin"/>
          </w:r>
          <w:r>
            <w:rPr>
              <w:webHidden/>
              <w:rStyle w:val="Style20"/>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20"/>
              <w:vanish w:val="false"/>
            </w:rPr>
            <w:fldChar w:fldCharType="separate"/>
          </w:r>
          <w:hyperlink w:anchor="_Toc186224270">
            <w:r>
              <w:rPr>
                <w:webHidden/>
                <w:rStyle w:val="Style20"/>
                <w:vanish w:val="false"/>
              </w:rPr>
              <w:t>Сокращения</w:t>
            </w:r>
            <w:r>
              <w:rPr>
                <w:webHidden/>
              </w:rPr>
              <w:fldChar w:fldCharType="begin"/>
            </w:r>
            <w:r>
              <w:rPr>
                <w:webHidden/>
              </w:rPr>
              <w:instrText xml:space="preserve">PAGEREF _Toc186224270 \h</w:instrText>
            </w:r>
            <w:r>
              <w:rPr>
                <w:webHidden/>
              </w:rPr>
              <w:fldChar w:fldCharType="separate"/>
            </w:r>
            <w:r>
              <w:rPr>
                <w:rStyle w:val="Style20"/>
              </w:rPr>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1">
            <w:r>
              <w:rPr>
                <w:webHidden/>
                <w:rStyle w:val="Style20"/>
                <w:vanish w:val="false"/>
              </w:rPr>
              <w:t>Термины и определения</w:t>
            </w:r>
            <w:r>
              <w:rPr>
                <w:webHidden/>
              </w:rPr>
              <w:fldChar w:fldCharType="begin"/>
            </w:r>
            <w:r>
              <w:rPr>
                <w:webHidden/>
              </w:rPr>
              <w:instrText xml:space="preserve">PAGEREF _Toc186224271 \h</w:instrText>
            </w:r>
            <w:r>
              <w:rPr>
                <w:webHidden/>
              </w:rPr>
              <w:fldChar w:fldCharType="separate"/>
            </w:r>
            <w:r>
              <w:rPr>
                <w:rStyle w:val="Style20"/>
              </w:rPr>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2">
            <w:r>
              <w:rPr>
                <w:webHidden/>
                <w:rStyle w:val="Style20"/>
                <w:vanish w:val="false"/>
              </w:rPr>
              <w:t>1.</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_Toc186224272 \h</w:instrText>
            </w:r>
            <w:r>
              <w:rPr>
                <w:webHidden/>
              </w:rPr>
              <w:fldChar w:fldCharType="separate"/>
            </w:r>
            <w:r>
              <w:rPr>
                <w:rStyle w:val="Style20"/>
              </w:rPr>
              <w:t>Основные сведения о закупке</w:t>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3">
            <w:r>
              <w:rPr>
                <w:webHidden/>
                <w:rStyle w:val="Style20"/>
                <w:vanish w:val="false"/>
              </w:rPr>
              <w:t>1.1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_Toc186224273 \h</w:instrText>
            </w:r>
            <w:r>
              <w:rPr>
                <w:webHidden/>
              </w:rPr>
              <w:fldChar w:fldCharType="separate"/>
            </w:r>
            <w:r>
              <w:rPr>
                <w:rStyle w:val="Style20"/>
              </w:rPr>
              <w:t>Статус настоящего раздела</w:t>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4">
            <w:r>
              <w:rPr>
                <w:webHidden/>
                <w:rStyle w:val="Style20"/>
                <w:vanish w:val="false"/>
              </w:rPr>
              <w:t>1.2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_Toc186224274 \h</w:instrText>
            </w:r>
            <w:r>
              <w:rPr>
                <w:webHidden/>
              </w:rPr>
              <w:fldChar w:fldCharType="separate"/>
            </w:r>
            <w:r>
              <w:rPr>
                <w:rStyle w:val="Style20"/>
              </w:rPr>
              <w:t>Информация о проводимой закупке</w:t>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5">
            <w:r>
              <w:rPr>
                <w:webHidden/>
                <w:rStyle w:val="Style20"/>
                <w:vanish w:val="false"/>
              </w:rPr>
              <w:t>2.</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_Toc186224275 \h</w:instrText>
            </w:r>
            <w:r>
              <w:rPr>
                <w:webHidden/>
              </w:rPr>
              <w:fldChar w:fldCharType="separate"/>
            </w:r>
            <w:r>
              <w:rPr>
                <w:rStyle w:val="Style20"/>
              </w:rPr>
              <w:t>Общие положения</w:t>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6">
            <w:r>
              <w:rPr>
                <w:webHidden/>
                <w:rStyle w:val="Style20"/>
                <w:vanish w:val="false"/>
              </w:rPr>
              <w:t>2.1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_Toc186224276 \h</w:instrText>
            </w:r>
            <w:r>
              <w:rPr>
                <w:webHidden/>
              </w:rPr>
              <w:fldChar w:fldCharType="separate"/>
            </w:r>
            <w:r>
              <w:rPr>
                <w:rStyle w:val="Style20"/>
              </w:rPr>
              <w:t>Общие сведения о закупке</w:t>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7">
            <w:r>
              <w:rPr>
                <w:webHidden/>
                <w:rStyle w:val="Style20"/>
                <w:vanish w:val="false"/>
              </w:rPr>
              <w:t>2.2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_Toc186224277 \h</w:instrText>
            </w:r>
            <w:r>
              <w:rPr>
                <w:webHidden/>
              </w:rPr>
              <w:fldChar w:fldCharType="separate"/>
            </w:r>
            <w:r>
              <w:rPr>
                <w:rStyle w:val="Style20"/>
              </w:rPr>
              <w:t>Правовой статус документов</w:t>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8">
            <w:r>
              <w:rPr>
                <w:webHidden/>
                <w:rStyle w:val="Style20"/>
                <w:vanish w:val="false"/>
              </w:rPr>
              <w:t>2.3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_Toc186224278 \h</w:instrText>
            </w:r>
            <w:r>
              <w:rPr>
                <w:webHidden/>
              </w:rPr>
              <w:fldChar w:fldCharType="separate"/>
            </w:r>
            <w:r>
              <w:rPr>
                <w:rStyle w:val="Style20"/>
              </w:rPr>
              <w:t>Обжалование</w:t>
              <w:tab/>
              <w:t>25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9">
            <w:r>
              <w:rPr>
                <w:webHidden/>
                <w:rStyle w:val="Style20"/>
                <w:vanish w:val="false"/>
              </w:rPr>
              <w:t>2.4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_Toc186224279 \h</w:instrText>
            </w:r>
            <w:r>
              <w:rPr>
                <w:webHidden/>
              </w:rPr>
              <w:fldChar w:fldCharType="separate"/>
            </w:r>
            <w:r>
              <w:rPr>
                <w:rStyle w:val="Style20"/>
              </w:rPr>
              <w:t>Особые положения при проведении закупки с использованием ЭП</w:t>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0">
            <w:r>
              <w:rPr>
                <w:webHidden/>
                <w:rStyle w:val="Style20"/>
                <w:vanish w:val="false"/>
              </w:rPr>
              <w:t>2.5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_Toc186224280 \h</w:instrText>
            </w:r>
            <w:r>
              <w:rPr>
                <w:webHidden/>
              </w:rPr>
              <w:fldChar w:fldCharType="separate"/>
            </w:r>
            <w:r>
              <w:rPr>
                <w:rStyle w:val="Style20"/>
              </w:rPr>
              <w:t>Прочие положения</w:t>
              <w:tab/>
              <w:t>26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1">
            <w:r>
              <w:rPr>
                <w:webHidden/>
                <w:rStyle w:val="Style20"/>
                <w:vanish w:val="false"/>
              </w:rPr>
              <w:t>3.</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_Toc186224281 \h</w:instrText>
            </w:r>
            <w:r>
              <w:rPr>
                <w:webHidden/>
              </w:rPr>
              <w:fldChar w:fldCharType="separate"/>
            </w:r>
            <w:r>
              <w:rPr>
                <w:rStyle w:val="Style20"/>
              </w:rPr>
              <w:t>Требования к Участникам</w:t>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2">
            <w:r>
              <w:rPr>
                <w:webHidden/>
                <w:rStyle w:val="Style20"/>
                <w:vanish w:val="false"/>
              </w:rPr>
              <w:t>3.1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_Toc186224282 \h</w:instrText>
            </w:r>
            <w:r>
              <w:rPr>
                <w:webHidden/>
              </w:rPr>
              <w:fldChar w:fldCharType="separate"/>
            </w:r>
            <w:r>
              <w:rPr>
                <w:rStyle w:val="Style20"/>
              </w:rPr>
              <w:t>Общие требования к Участникам</w:t>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3">
            <w:r>
              <w:rPr>
                <w:webHidden/>
                <w:rStyle w:val="Style20"/>
                <w:vanish w:val="false"/>
              </w:rPr>
              <w:t>3.2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_Toc186224283 \h</w:instrText>
            </w:r>
            <w:r>
              <w:rPr>
                <w:webHidden/>
              </w:rPr>
              <w:fldChar w:fldCharType="separate"/>
            </w:r>
            <w:r>
              <w:rPr>
                <w:rStyle w:val="Style20"/>
              </w:rPr>
              <w:t>Коллективные участники</w:t>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4">
            <w:r>
              <w:rPr>
                <w:webHidden/>
                <w:rStyle w:val="Style20"/>
                <w:vanish w:val="false"/>
              </w:rPr>
              <w:t>3.3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_Toc186224284 \h</w:instrText>
            </w:r>
            <w:r>
              <w:rPr>
                <w:webHidden/>
              </w:rPr>
              <w:fldChar w:fldCharType="separate"/>
            </w:r>
            <w:r>
              <w:rPr>
                <w:rStyle w:val="Style20"/>
              </w:rPr>
              <w:t>Генеральные подрядчики</w:t>
              <w:tab/>
              <w:t>29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5">
            <w:r>
              <w:rPr>
                <w:webHidden/>
                <w:rStyle w:val="Style20"/>
                <w:vanish w:val="false"/>
              </w:rPr>
              <w:t>4.</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_Toc186224285 \h</w:instrText>
            </w:r>
            <w:r>
              <w:rPr>
                <w:webHidden/>
              </w:rPr>
              <w:fldChar w:fldCharType="separate"/>
            </w:r>
            <w:r>
              <w:rPr>
                <w:rStyle w:val="Style20"/>
              </w:rPr>
              <w:t>Порядок проведения закупки</w:t>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6">
            <w:r>
              <w:rPr>
                <w:webHidden/>
                <w:rStyle w:val="Style20"/>
                <w:vanish w:val="false"/>
              </w:rPr>
              <w:t>4.1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_Toc186224286 \h</w:instrText>
            </w:r>
            <w:r>
              <w:rPr>
                <w:webHidden/>
              </w:rPr>
              <w:fldChar w:fldCharType="separate"/>
            </w:r>
            <w:r>
              <w:rPr>
                <w:rStyle w:val="Style20"/>
              </w:rPr>
              <w:t>Общий порядок проведения закупки</w:t>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7">
            <w:r>
              <w:rPr>
                <w:webHidden/>
                <w:rStyle w:val="Style20"/>
                <w:vanish w:val="false"/>
              </w:rPr>
              <w:t>4.2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_Toc186224287 \h</w:instrText>
            </w:r>
            <w:r>
              <w:rPr>
                <w:webHidden/>
              </w:rPr>
              <w:fldChar w:fldCharType="separate"/>
            </w:r>
            <w:r>
              <w:rPr>
                <w:rStyle w:val="Style20"/>
              </w:rPr>
              <w:t>Официальное размещение Извещения и Документации о закупке</w:t>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8">
            <w:r>
              <w:rPr>
                <w:webHidden/>
                <w:rStyle w:val="Style20"/>
                <w:vanish w:val="false"/>
              </w:rPr>
              <w:t>4.3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_Toc186224288 \h</w:instrText>
            </w:r>
            <w:r>
              <w:rPr>
                <w:webHidden/>
              </w:rPr>
              <w:fldChar w:fldCharType="separate"/>
            </w:r>
            <w:r>
              <w:rPr>
                <w:rStyle w:val="Style20"/>
              </w:rPr>
              <w:t>Подготовка заявки</w:t>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9">
            <w:r>
              <w:rPr>
                <w:webHidden/>
                <w:rStyle w:val="Style20"/>
                <w:vanish w:val="false"/>
              </w:rPr>
              <w:t>4.4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_Toc186224289 \h</w:instrText>
            </w:r>
            <w:r>
              <w:rPr>
                <w:webHidden/>
              </w:rPr>
              <w:fldChar w:fldCharType="separate"/>
            </w:r>
            <w:r>
              <w:rPr>
                <w:rStyle w:val="Style20"/>
              </w:rPr>
              <w:t>Разъяснение Документации о закупке</w:t>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0">
            <w:r>
              <w:rPr>
                <w:webHidden/>
                <w:rStyle w:val="Style20"/>
                <w:vanish w:val="false"/>
              </w:rPr>
              <w:t>4.5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_Toc186224290 \h</w:instrText>
            </w:r>
            <w:r>
              <w:rPr>
                <w:webHidden/>
              </w:rPr>
              <w:fldChar w:fldCharType="separate"/>
            </w:r>
            <w:r>
              <w:rPr>
                <w:rStyle w:val="Style20"/>
              </w:rPr>
              <w:t>Изменения Извещения и (или) Документации о закупке</w:t>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1">
            <w:r>
              <w:rPr>
                <w:webHidden/>
                <w:rStyle w:val="Style20"/>
                <w:vanish w:val="false"/>
              </w:rPr>
              <w:t>4.6</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_Toc186224291 \h</w:instrText>
            </w:r>
            <w:r>
              <w:rPr>
                <w:webHidden/>
              </w:rPr>
              <w:fldChar w:fldCharType="separate"/>
            </w:r>
            <w:r>
              <w:rPr>
                <w:rStyle w:val="Style20"/>
              </w:rPr>
              <w:t>Подача заявок и их прием</w:t>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2">
            <w:r>
              <w:rPr>
                <w:webHidden/>
                <w:rStyle w:val="Style20"/>
                <w:vanish w:val="false"/>
              </w:rPr>
              <w:t>4.7</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_Toc186224292 \h</w:instrText>
            </w:r>
            <w:r>
              <w:rPr>
                <w:webHidden/>
              </w:rPr>
              <w:fldChar w:fldCharType="separate"/>
            </w:r>
            <w:r>
              <w:rPr>
                <w:rStyle w:val="Style20"/>
              </w:rPr>
              <w:t>Изменение и отзыв заявок</w:t>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3">
            <w:r>
              <w:rPr>
                <w:webHidden/>
                <w:rStyle w:val="Style20"/>
                <w:vanish w:val="false"/>
              </w:rPr>
              <w:t>4.8</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_Toc186224293 \h</w:instrText>
            </w:r>
            <w:r>
              <w:rPr>
                <w:webHidden/>
              </w:rPr>
              <w:fldChar w:fldCharType="separate"/>
            </w:r>
            <w:r>
              <w:rPr>
                <w:rStyle w:val="Style20"/>
              </w:rPr>
              <w:t>Открытие доступа к заявкам</w:t>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4">
            <w:r>
              <w:rPr>
                <w:webHidden/>
                <w:rStyle w:val="Style20"/>
                <w:vanish w:val="false"/>
              </w:rPr>
              <w:t>4.9</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_Toc186224294 \h</w:instrText>
            </w:r>
            <w:r>
              <w:rPr>
                <w:webHidden/>
              </w:rPr>
              <w:fldChar w:fldCharType="separate"/>
            </w:r>
            <w:r>
              <w:rPr>
                <w:rStyle w:val="Style20"/>
              </w:rPr>
              <w:t>Рассмотрение заявок (отборочная стадия), в том числе (при необходимости) проведение аккредитации</w:t>
              <w:tab/>
              <w:t>39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5">
            <w:r>
              <w:rPr>
                <w:webHidden/>
                <w:rStyle w:val="Style20"/>
                <w:vanish w:val="false"/>
              </w:rPr>
              <w:t>4.10</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_Toc186224295 \h</w:instrText>
            </w:r>
            <w:r>
              <w:rPr>
                <w:webHidden/>
              </w:rPr>
              <w:fldChar w:fldCharType="separate"/>
            </w:r>
            <w:r>
              <w:rPr>
                <w:rStyle w:val="Style20"/>
              </w:rPr>
              <w:t>Дополнительные запросы разъяснений заявок</w:t>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6">
            <w:r>
              <w:rPr>
                <w:webHidden/>
                <w:rStyle w:val="Style20"/>
                <w:vanish w:val="false"/>
              </w:rPr>
              <w:t>4.11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_Toc186224296 \h</w:instrText>
            </w:r>
            <w:r>
              <w:rPr>
                <w:webHidden/>
              </w:rPr>
              <w:fldChar w:fldCharType="separate"/>
            </w:r>
            <w:r>
              <w:rPr>
                <w:rStyle w:val="Style20"/>
              </w:rPr>
              <w:t>Переторжка</w:t>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7">
            <w:r>
              <w:rPr>
                <w:webHidden/>
                <w:rStyle w:val="Style20"/>
                <w:vanish w:val="false"/>
              </w:rPr>
              <w:t>4.12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_Toc186224297 \h</w:instrText>
            </w:r>
            <w:r>
              <w:rPr>
                <w:webHidden/>
              </w:rPr>
              <w:fldChar w:fldCharType="separate"/>
            </w:r>
            <w:r>
              <w:rPr>
                <w:rStyle w:val="Style20"/>
              </w:rPr>
              <w:t>Оценка и сопоставление заявок</w:t>
              <w:tab/>
              <w:t>45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8">
            <w:r>
              <w:rPr>
                <w:webHidden/>
                <w:rStyle w:val="Style20"/>
                <w:vanish w:val="false"/>
              </w:rPr>
              <w:t>4.13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_Toc186224298 \h</w:instrText>
            </w:r>
            <w:r>
              <w:rPr>
                <w:webHidden/>
              </w:rPr>
              <w:fldChar w:fldCharType="separate"/>
            </w:r>
            <w:r>
              <w:rPr>
                <w:rStyle w:val="Style20"/>
              </w:rPr>
              <w:t>Применение законодательства о национальном режиме</w:t>
              <w:tab/>
              <w:t>46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9">
            <w:r>
              <w:rPr>
                <w:webHidden/>
                <w:rStyle w:val="Style20"/>
                <w:vanish w:val="false"/>
              </w:rPr>
              <w:t>4.14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_Toc186224299 \h</w:instrText>
            </w:r>
            <w:r>
              <w:rPr>
                <w:webHidden/>
              </w:rPr>
              <w:fldChar w:fldCharType="separate"/>
            </w:r>
            <w:r>
              <w:rPr>
                <w:rStyle w:val="Style20"/>
              </w:rPr>
              <w:t>Подведение итогов закупки (определение Победителя)</w:t>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0">
            <w:r>
              <w:rPr>
                <w:webHidden/>
                <w:rStyle w:val="Style20"/>
                <w:vanish w:val="false"/>
              </w:rPr>
              <w:t>4.15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_Toc186224300 \h</w:instrText>
            </w:r>
            <w:r>
              <w:rPr>
                <w:webHidden/>
              </w:rPr>
              <w:fldChar w:fldCharType="separate"/>
            </w:r>
            <w:r>
              <w:rPr>
                <w:rStyle w:val="Style20"/>
              </w:rPr>
              <w:t>Признание закупки несостоявшейся</w:t>
              <w:tab/>
              <w:t>48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1">
            <w:r>
              <w:rPr>
                <w:webHidden/>
                <w:rStyle w:val="Style20"/>
                <w:vanish w:val="false"/>
              </w:rPr>
              <w:t>4.16</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_Toc186224301 \h</w:instrText>
            </w:r>
            <w:r>
              <w:rPr>
                <w:webHidden/>
              </w:rPr>
              <w:fldChar w:fldCharType="separate"/>
            </w:r>
            <w:r>
              <w:rPr>
                <w:rStyle w:val="Style20"/>
              </w:rPr>
              <w:t>Отказ от проведения закупки (отмена закупки)</w:t>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2">
            <w:r>
              <w:rPr>
                <w:webHidden/>
                <w:rStyle w:val="Style20"/>
                <w:vanish w:val="false"/>
              </w:rPr>
              <w:t>4.17</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_Toc186224302 \h</w:instrText>
            </w:r>
            <w:r>
              <w:rPr>
                <w:webHidden/>
              </w:rPr>
              <w:fldChar w:fldCharType="separate"/>
            </w:r>
            <w:r>
              <w:rPr>
                <w:rStyle w:val="Style20"/>
              </w:rPr>
              <w:t>Особенности проведения закупки с необходимостью обеспечения заявки</w:t>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3">
            <w:r>
              <w:rPr>
                <w:webHidden/>
                <w:rStyle w:val="Style20"/>
                <w:vanish w:val="false"/>
              </w:rPr>
              <w:t>4.18</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_Toc186224303 \h</w:instrText>
            </w:r>
            <w:r>
              <w:rPr>
                <w:webHidden/>
              </w:rPr>
              <w:fldChar w:fldCharType="separate"/>
            </w:r>
            <w:r>
              <w:rPr>
                <w:rStyle w:val="Style20"/>
              </w:rPr>
              <w:t>Особенности проведения многолотовой закупки</w:t>
              <w:tab/>
              <w:t>52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4">
            <w:r>
              <w:rPr>
                <w:webHidden/>
                <w:rStyle w:val="Style20"/>
                <w:vanish w:val="false"/>
              </w:rPr>
              <w:t>4.19</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_Toc186224304 \h</w:instrText>
            </w:r>
            <w:r>
              <w:rPr>
                <w:webHidden/>
              </w:rPr>
              <w:fldChar w:fldCharType="separate"/>
            </w:r>
            <w:r>
              <w:rPr>
                <w:rStyle w:val="Style20"/>
              </w:rPr>
              <w:t>Особенности проведения закупки с возможностью подачи альтернативных предложений</w:t>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5">
            <w:r>
              <w:rPr>
                <w:webHidden/>
                <w:rStyle w:val="Style20"/>
                <w:vanish w:val="false"/>
              </w:rPr>
              <w:t>4.20</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_Toc186224305 \h</w:instrText>
            </w:r>
            <w:r>
              <w:rPr>
                <w:webHidden/>
              </w:rPr>
              <w:fldChar w:fldCharType="separate"/>
            </w:r>
            <w:r>
              <w:rPr>
                <w:rStyle w:val="Style20"/>
              </w:rPr>
              <w:t>Особенности проведения закупки с выбором нескольких победителей</w:t>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06">
            <w:r>
              <w:rPr>
                <w:webHidden/>
                <w:rStyle w:val="Style20"/>
                <w:vanish w:val="false"/>
              </w:rPr>
              <w:t>5.</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_Toc186224306 \h</w:instrText>
            </w:r>
            <w:r>
              <w:rPr>
                <w:webHidden/>
              </w:rPr>
              <w:fldChar w:fldCharType="separate"/>
            </w:r>
            <w:r>
              <w:rPr>
                <w:rStyle w:val="Style20"/>
              </w:rPr>
              <w:t>Порядок заключения Договора</w:t>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7">
            <w:r>
              <w:rPr>
                <w:webHidden/>
                <w:rStyle w:val="Style20"/>
                <w:vanish w:val="false"/>
              </w:rPr>
              <w:t>5.1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_Toc186224307 \h</w:instrText>
            </w:r>
            <w:r>
              <w:rPr>
                <w:webHidden/>
              </w:rPr>
              <w:fldChar w:fldCharType="separate"/>
            </w:r>
            <w:r>
              <w:rPr>
                <w:rStyle w:val="Style20"/>
              </w:rPr>
              <w:t>Общие положения</w:t>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8">
            <w:r>
              <w:rPr>
                <w:webHidden/>
                <w:rStyle w:val="Style20"/>
                <w:vanish w:val="false"/>
              </w:rPr>
              <w:t>5.2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_Toc186224308 \h</w:instrText>
            </w:r>
            <w:r>
              <w:rPr>
                <w:webHidden/>
              </w:rPr>
              <w:fldChar w:fldCharType="separate"/>
            </w:r>
            <w:r>
              <w:rPr>
                <w:rStyle w:val="Style20"/>
              </w:rPr>
              <w:t>Заключение Договора</w:t>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9">
            <w:r>
              <w:rPr>
                <w:webHidden/>
                <w:rStyle w:val="Style20"/>
                <w:vanish w:val="false"/>
              </w:rPr>
              <w:t>5.3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_Toc186224309 \h</w:instrText>
            </w:r>
            <w:r>
              <w:rPr>
                <w:webHidden/>
              </w:rPr>
              <w:fldChar w:fldCharType="separate"/>
            </w:r>
            <w:r>
              <w:rPr>
                <w:rStyle w:val="Style20"/>
              </w:rPr>
              <w:t>Преддоговорные переговоры</w:t>
              <w:tab/>
              <w:t>57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0">
            <w:r>
              <w:rPr>
                <w:webHidden/>
                <w:rStyle w:val="Style20"/>
                <w:vanish w:val="false"/>
              </w:rPr>
              <w:t>5.4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_Toc186224310 \h</w:instrText>
            </w:r>
            <w:r>
              <w:rPr>
                <w:webHidden/>
              </w:rPr>
              <w:fldChar w:fldCharType="separate"/>
            </w:r>
            <w:r>
              <w:rPr>
                <w:rStyle w:val="Style20"/>
              </w:rPr>
              <w:t>Уклонение Победителя от заключения Договора</w:t>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1">
            <w:r>
              <w:rPr>
                <w:webHidden/>
                <w:rStyle w:val="Style20"/>
                <w:vanish w:val="false"/>
              </w:rPr>
              <w:t>6.</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_Toc186224311 \h</w:instrText>
            </w:r>
            <w:r>
              <w:rPr>
                <w:webHidden/>
              </w:rPr>
              <w:fldChar w:fldCharType="separate"/>
            </w:r>
            <w:r>
              <w:rPr>
                <w:rStyle w:val="Style20"/>
              </w:rPr>
              <w:t>Приложение № 1 – Технические требования</w:t>
              <w:tab/>
              <w:t>60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2">
            <w:r>
              <w:rPr>
                <w:webHidden/>
                <w:rStyle w:val="Style20"/>
                <w:vanish w:val="false"/>
              </w:rPr>
              <w:t>6.1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_Toc186224312 \h</w:instrText>
            </w:r>
            <w:r>
              <w:rPr>
                <w:webHidden/>
              </w:rPr>
              <w:fldChar w:fldCharType="separate"/>
            </w:r>
            <w:r>
              <w:rPr>
                <w:rStyle w:val="Style20"/>
              </w:rPr>
              <w:t>Пояснения к Техническим требованиям</w:t>
              <w:tab/>
              <w:t>60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3">
            <w:r>
              <w:rPr>
                <w:webHidden/>
                <w:rStyle w:val="Style20"/>
                <w:vanish w:val="false"/>
              </w:rPr>
              <w:t>7.</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_Toc186224313 \h</w:instrText>
            </w:r>
            <w:r>
              <w:rPr>
                <w:webHidden/>
              </w:rPr>
              <w:fldChar w:fldCharType="separate"/>
            </w:r>
            <w:r>
              <w:rPr>
                <w:rStyle w:val="Style20"/>
              </w:rPr>
              <w:t>Приложение № 2 – Проект договора</w:t>
              <w:tab/>
              <w:t>61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4">
            <w:r>
              <w:rPr>
                <w:webHidden/>
                <w:rStyle w:val="Style20"/>
                <w:vanish w:val="false"/>
              </w:rPr>
              <w:t>7.1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_Toc186224314 \h</w:instrText>
            </w:r>
            <w:r>
              <w:rPr>
                <w:webHidden/>
              </w:rPr>
              <w:fldChar w:fldCharType="separate"/>
            </w:r>
            <w:r>
              <w:rPr>
                <w:rStyle w:val="Style20"/>
              </w:rPr>
              <w:t>Пояснения к Проекту договора</w:t>
              <w:tab/>
              <w:t>61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5">
            <w:r>
              <w:rPr>
                <w:webHidden/>
                <w:rStyle w:val="Style20"/>
                <w:vanish w:val="false"/>
              </w:rPr>
              <w:t>8.</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_Toc186224315 \h</w:instrText>
            </w:r>
            <w:r>
              <w:rPr>
                <w:webHidden/>
              </w:rPr>
              <w:fldChar w:fldCharType="separate"/>
            </w:r>
            <w:r>
              <w:rPr>
                <w:rStyle w:val="Style20"/>
              </w:rPr>
              <w:t>Приложение № 3 – Требования к Участникам</w:t>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6">
            <w:r>
              <w:rPr>
                <w:webHidden/>
                <w:rStyle w:val="Style20"/>
                <w:vanish w:val="false"/>
              </w:rPr>
              <w:t>8.1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_Toc186224316 \h</w:instrText>
            </w:r>
            <w:r>
              <w:rPr>
                <w:webHidden/>
              </w:rPr>
              <w:fldChar w:fldCharType="separate"/>
            </w:r>
            <w:r>
              <w:rPr>
                <w:rStyle w:val="Style20"/>
              </w:rPr>
              <w:t>Пояснения к требованиям к Участникам</w:t>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7">
            <w:r>
              <w:rPr>
                <w:webHidden/>
                <w:rStyle w:val="Style20"/>
                <w:vanish w:val="false"/>
              </w:rPr>
              <w:t>8.2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_Toc186224317 \h</w:instrText>
            </w:r>
            <w:r>
              <w:rPr>
                <w:webHidden/>
              </w:rPr>
              <w:fldChar w:fldCharType="separate"/>
            </w:r>
            <w:r>
              <w:rPr>
                <w:rStyle w:val="Style20"/>
              </w:rPr>
              <w:t>Обязательные требования</w:t>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8">
            <w:r>
              <w:rPr>
                <w:webHidden/>
                <w:rStyle w:val="Style20"/>
                <w:vanish w:val="false"/>
              </w:rPr>
              <w:t>8.3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_Toc186224318 \h</w:instrText>
            </w:r>
            <w:r>
              <w:rPr>
                <w:webHidden/>
              </w:rPr>
              <w:fldChar w:fldCharType="separate"/>
            </w:r>
            <w:r>
              <w:rPr>
                <w:rStyle w:val="Style20"/>
              </w:rPr>
              <w:t>Специальные требования</w:t>
              <w:tab/>
              <w:t>66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9">
            <w:r>
              <w:rPr>
                <w:webHidden/>
                <w:rStyle w:val="Style20"/>
                <w:vanish w:val="false"/>
              </w:rPr>
              <w:t>8.4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_Toc186224319 \h</w:instrText>
            </w:r>
            <w:r>
              <w:rPr>
                <w:webHidden/>
              </w:rPr>
              <w:fldChar w:fldCharType="separate"/>
            </w:r>
            <w:r>
              <w:rPr>
                <w:rStyle w:val="Style20"/>
              </w:rPr>
              <w:t>Квалификационные требования</w:t>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0">
            <w:r>
              <w:rPr>
                <w:webHidden/>
                <w:rStyle w:val="Style20"/>
                <w:vanish w:val="false"/>
              </w:rPr>
              <w:t>8.5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_Toc186224320 \h</w:instrText>
            </w:r>
            <w:r>
              <w:rPr>
                <w:webHidden/>
              </w:rPr>
              <w:fldChar w:fldCharType="separate"/>
            </w:r>
            <w:r>
              <w:rPr>
                <w:rStyle w:val="Style20"/>
              </w:rPr>
              <w:t>Дополнительные требования к Коллективным участникам</w:t>
              <w:tab/>
              <w:t>68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1">
            <w:r>
              <w:rPr>
                <w:webHidden/>
                <w:rStyle w:val="Style20"/>
                <w:vanish w:val="false"/>
              </w:rPr>
              <w:t>8.6</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_Toc186224321 \h</w:instrText>
            </w:r>
            <w:r>
              <w:rPr>
                <w:webHidden/>
              </w:rPr>
              <w:fldChar w:fldCharType="separate"/>
            </w:r>
            <w:r>
              <w:rPr>
                <w:rStyle w:val="Style20"/>
              </w:rPr>
              <w:t>Дополнительные требования к Генеральным подрядчикам</w:t>
              <w:tab/>
              <w:t>68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2">
            <w:r>
              <w:rPr>
                <w:webHidden/>
                <w:rStyle w:val="Style20"/>
                <w:vanish w:val="false"/>
              </w:rPr>
              <w:t>9.</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_Toc186224322 \h</w:instrText>
            </w:r>
            <w:r>
              <w:rPr>
                <w:webHidden/>
              </w:rPr>
              <w:fldChar w:fldCharType="separate"/>
            </w:r>
            <w:r>
              <w:rPr>
                <w:rStyle w:val="Style20"/>
              </w:rPr>
              <w:t>Приложение № 4 – Образцы форм документов, включаемых в состав заявки</w:t>
              <w:tab/>
              <w:t>71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3">
            <w:r>
              <w:rPr>
                <w:webHidden/>
                <w:rStyle w:val="Style20"/>
                <w:vanish w:val="false"/>
              </w:rPr>
              <w:t>9.1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_Toc186224323 \h</w:instrText>
            </w:r>
            <w:r>
              <w:rPr>
                <w:webHidden/>
              </w:rPr>
              <w:fldChar w:fldCharType="separate"/>
            </w:r>
            <w:r>
              <w:rPr>
                <w:rStyle w:val="Style20"/>
              </w:rPr>
              <w:t>Пояснения к Образцам форм документов, включаемых в состав заявки</w:t>
              <w:tab/>
              <w:t>71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4">
            <w:r>
              <w:rPr>
                <w:webHidden/>
                <w:rStyle w:val="Style20"/>
                <w:vanish w:val="false"/>
              </w:rPr>
              <w:t>10.</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_Toc186224324 \h</w:instrText>
            </w:r>
            <w:r>
              <w:rPr>
                <w:webHidden/>
              </w:rPr>
              <w:fldChar w:fldCharType="separate"/>
            </w:r>
            <w:r>
              <w:rPr>
                <w:rStyle w:val="Style20"/>
              </w:rPr>
              <w:t>Приложение № 5 – Образцы форм документов, предоставляемых Победителем</w:t>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5">
            <w:r>
              <w:rPr>
                <w:webHidden/>
                <w:rStyle w:val="Style20"/>
                <w:vanish w:val="false"/>
              </w:rPr>
              <w:t>10.1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_Toc186224325 \h</w:instrText>
            </w:r>
            <w:r>
              <w:rPr>
                <w:webHidden/>
              </w:rPr>
              <w:fldChar w:fldCharType="separate"/>
            </w:r>
            <w:r>
              <w:rPr>
                <w:rStyle w:val="Style20"/>
              </w:rPr>
              <w:t>Пояснения к Образцам форм документов, предоставляемых Победителем</w:t>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6">
            <w:r>
              <w:rPr>
                <w:webHidden/>
                <w:rStyle w:val="Style20"/>
                <w:vanish w:val="false"/>
              </w:rPr>
              <w:t>10.2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_Toc186224326 \h</w:instrText>
            </w:r>
            <w:r>
              <w:rPr>
                <w:webHidden/>
              </w:rPr>
              <w:fldChar w:fldCharType="separate"/>
            </w:r>
            <w:r>
              <w:rPr>
                <w:rStyle w:val="Style20"/>
              </w:rPr>
              <w:t>Форма справки «Сведения о цепочке собственников, включая бенефициаров (в том числе конечных)»</w:t>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7">
            <w:r>
              <w:rPr>
                <w:webHidden/>
                <w:rStyle w:val="Style20"/>
                <w:vanish w:val="false"/>
              </w:rPr>
              <w:t>10.3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_Toc186224327 \h</w:instrText>
            </w:r>
            <w:r>
              <w:rPr>
                <w:webHidden/>
              </w:rPr>
              <w:fldChar w:fldCharType="separate"/>
            </w:r>
            <w:r>
              <w:rPr>
                <w:rStyle w:val="Style20"/>
              </w:rPr>
              <w:t>Форма «Заверение об обстоятельствах»</w:t>
              <w:tab/>
              <w:t>72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8">
            <w:r>
              <w:rPr>
                <w:webHidden/>
                <w:rStyle w:val="Style20"/>
                <w:vanish w:val="false"/>
              </w:rPr>
              <w:t>11.</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_Toc186224328 \h</w:instrText>
            </w:r>
            <w:r>
              <w:rPr>
                <w:webHidden/>
              </w:rPr>
              <w:fldChar w:fldCharType="separate"/>
            </w:r>
            <w:r>
              <w:rPr>
                <w:rStyle w:val="Style20"/>
              </w:rPr>
              <w:t>Приложение № 6 – Состав заявки</w:t>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9">
            <w:r>
              <w:rPr>
                <w:webHidden/>
                <w:rStyle w:val="Style20"/>
                <w:vanish w:val="false"/>
              </w:rPr>
              <w:t>11.1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_Toc186224329 \h</w:instrText>
            </w:r>
            <w:r>
              <w:rPr>
                <w:webHidden/>
              </w:rPr>
              <w:fldChar w:fldCharType="separate"/>
            </w:r>
            <w:r>
              <w:rPr>
                <w:rStyle w:val="Style20"/>
              </w:rPr>
              <w:t>Состав заявки</w:t>
              <w:tab/>
              <w:t>74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0">
            <w:r>
              <w:rPr>
                <w:webHidden/>
                <w:rStyle w:val="Style20"/>
                <w:vanish w:val="false"/>
              </w:rPr>
              <w:t>12.</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_Toc186224330 \h</w:instrText>
            </w:r>
            <w:r>
              <w:rPr>
                <w:webHidden/>
              </w:rPr>
              <w:fldChar w:fldCharType="separate"/>
            </w:r>
            <w:r>
              <w:rPr>
                <w:rStyle w:val="Style20"/>
              </w:rPr>
              <w:t>Приложение № 7 – Отборочные критерии рассмотрения заявок</w:t>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1">
            <w:r>
              <w:rPr>
                <w:webHidden/>
                <w:rStyle w:val="Style20"/>
                <w:vanish w:val="false"/>
              </w:rPr>
              <w:t>12.1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_Toc186224331 \h</w:instrText>
            </w:r>
            <w:r>
              <w:rPr>
                <w:webHidden/>
              </w:rPr>
              <w:fldChar w:fldCharType="separate"/>
            </w:r>
            <w:r>
              <w:rPr>
                <w:rStyle w:val="Style20"/>
              </w:rPr>
              <w:t>Отборочные критерии рассмотрения заявок</w:t>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2">
            <w:r>
              <w:rPr>
                <w:webHidden/>
                <w:rStyle w:val="Style20"/>
                <w:vanish w:val="false"/>
              </w:rPr>
              <w:t>12.2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_Toc186224332 \h</w:instrText>
            </w:r>
            <w:r>
              <w:rPr>
                <w:webHidden/>
              </w:rPr>
              <w:fldChar w:fldCharType="separate"/>
            </w:r>
            <w:r>
              <w:rPr>
                <w:rStyle w:val="Style20"/>
              </w:rPr>
              <w:t>Дополнительные критерии проверки заявок на соответствие условиям Документации о закупке</w:t>
              <w:tab/>
              <w:t>82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3">
            <w:r>
              <w:rPr>
                <w:webHidden/>
                <w:rStyle w:val="Style20"/>
                <w:vanish w:val="false"/>
              </w:rPr>
              <w:t>13.</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_Toc186224333 \h</w:instrText>
            </w:r>
            <w:r>
              <w:rPr>
                <w:webHidden/>
              </w:rPr>
              <w:fldChar w:fldCharType="separate"/>
            </w:r>
            <w:r>
              <w:rPr>
                <w:rStyle w:val="Style20"/>
              </w:rPr>
              <w:t>Приложение № 8 – Порядок и критерии оценки и сопоставления заявок</w:t>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4">
            <w:r>
              <w:rPr>
                <w:webHidden/>
                <w:rStyle w:val="Style20"/>
                <w:vanish w:val="false"/>
              </w:rPr>
              <w:t>13.1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_Toc186224334 \h</w:instrText>
            </w:r>
            <w:r>
              <w:rPr>
                <w:webHidden/>
              </w:rPr>
              <w:fldChar w:fldCharType="separate"/>
            </w:r>
            <w:r>
              <w:rPr>
                <w:rStyle w:val="Style20"/>
              </w:rPr>
              <w:t>Порядок и критерии оценки и сопоставления заявок</w:t>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5">
            <w:r>
              <w:rPr>
                <w:webHidden/>
                <w:rStyle w:val="Style20"/>
                <w:vanish w:val="false"/>
              </w:rPr>
              <w:t>13.2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_Toc186224335 \h</w:instrText>
            </w:r>
            <w:r>
              <w:rPr>
                <w:webHidden/>
              </w:rPr>
              <w:fldChar w:fldCharType="separate"/>
            </w:r>
            <w:r>
              <w:rPr>
                <w:rStyle w:val="Style20"/>
              </w:rPr>
              <w:t>Порядок и критерии оценки и сопоставления заявок</w:t>
              <w:tab/>
              <w:t>88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6">
            <w:r>
              <w:rPr>
                <w:webHidden/>
                <w:rStyle w:val="Style20"/>
                <w:vanish w:val="false"/>
              </w:rPr>
              <w:t>14.</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_Toc186224336 \h</w:instrText>
            </w:r>
            <w:r>
              <w:rPr>
                <w:webHidden/>
              </w:rPr>
              <w:fldChar w:fldCharType="separate"/>
            </w:r>
            <w:r>
              <w:rPr>
                <w:rStyle w:val="Style20"/>
              </w:rPr>
              <w:t>Приложение № 9 – Обоснование НМЦ</w:t>
              <w:tab/>
              <w:t>90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7">
            <w:r>
              <w:rPr>
                <w:webHidden/>
                <w:rStyle w:val="Style20"/>
                <w:vanish w:val="false"/>
              </w:rPr>
              <w:t>14.1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_Toc186224337 \h</w:instrText>
            </w:r>
            <w:r>
              <w:rPr>
                <w:webHidden/>
              </w:rPr>
              <w:fldChar w:fldCharType="separate"/>
            </w:r>
            <w:r>
              <w:rPr>
                <w:rStyle w:val="Style20"/>
              </w:rPr>
              <w:t>Пояснения к Обоснованию НМЦ</w:t>
              <w:tab/>
              <w:t>90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8">
            <w:r>
              <w:rPr>
                <w:webHidden/>
                <w:rStyle w:val="Style20"/>
                <w:vanish w:val="false"/>
              </w:rPr>
              <w:t>15.</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_Toc186224338 \h</w:instrText>
            </w:r>
            <w:r>
              <w:rPr>
                <w:webHidden/>
              </w:rPr>
              <w:fldChar w:fldCharType="separate"/>
            </w:r>
            <w:r>
              <w:rPr>
                <w:rStyle w:val="Style20"/>
              </w:rPr>
              <w:t>Приложение № 10 – Форма Заявки на аккредитацию</w:t>
              <w:tab/>
              <w:t>91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9">
            <w:r>
              <w:rPr>
                <w:webHidden/>
                <w:rStyle w:val="Style20"/>
                <w:vanish w:val="false"/>
              </w:rPr>
              <w:t>15.1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_Toc186224339 \h</w:instrText>
            </w:r>
            <w:r>
              <w:rPr>
                <w:webHidden/>
              </w:rPr>
              <w:fldChar w:fldCharType="separate"/>
            </w:r>
            <w:r>
              <w:rPr>
                <w:rStyle w:val="Style20"/>
              </w:rPr>
              <w:t>Пояснения к форме Заявки на аккредитацию</w:t>
              <w:tab/>
              <w:t>91</w:t>
            </w:r>
            <w:r>
              <w:rPr>
                <w:webHidden/>
              </w:rPr>
              <w:fldChar w:fldCharType="end"/>
            </w:r>
          </w:hyperlink>
          <w:r>
            <w:rPr>
              <w:rStyle w:val="Style20"/>
            </w:rPr>
            <w:fldChar w:fldCharType="end"/>
          </w:r>
        </w:p>
      </w:sdtContent>
    </w:sdt>
    <w:p>
      <w:pPr>
        <w:pStyle w:val="Style30"/>
        <w:rPr/>
      </w:pPr>
      <w:r>
        <w:rPr/>
      </w:r>
    </w:p>
    <w:p>
      <w:pPr>
        <w:pStyle w:val="Style29"/>
        <w:numPr>
          <w:ilvl w:val="0"/>
          <w:numId w:val="0"/>
        </w:numPr>
        <w:outlineLvl w:val="0"/>
        <w:rPr/>
      </w:pPr>
      <w:bookmarkStart w:id="0" w:name="_Toc186224270"/>
      <w:r>
        <w:rPr/>
        <w:t>Сокращения</w:t>
      </w:r>
      <w:bookmarkEnd w:id="0"/>
    </w:p>
    <w:p>
      <w:pPr>
        <w:pStyle w:val="Style30"/>
        <w:ind w:firstLine="567"/>
        <w:rPr/>
      </w:pPr>
      <w:r>
        <w:rPr>
          <w:b/>
          <w:bCs/>
        </w:rPr>
        <w:t>ГК РФ</w:t>
      </w:r>
      <w:r>
        <w:rPr/>
        <w:t xml:space="preserve"> – Гражданской кодекс Российской Федерации.</w:t>
      </w:r>
    </w:p>
    <w:p>
      <w:pPr>
        <w:pStyle w:val="Style30"/>
        <w:ind w:firstLine="567"/>
        <w:rPr/>
      </w:pPr>
      <w:r>
        <w:rPr>
          <w:b/>
          <w:bCs/>
        </w:rPr>
        <w:t>ЕГРИП</w:t>
      </w:r>
      <w:r>
        <w:rPr/>
        <w:t xml:space="preserve"> – Единый государственный реестр индивидуальных предпринимателей.</w:t>
      </w:r>
    </w:p>
    <w:p>
      <w:pPr>
        <w:pStyle w:val="Style30"/>
        <w:ind w:firstLine="567"/>
        <w:rPr/>
      </w:pPr>
      <w:r>
        <w:rPr>
          <w:b/>
          <w:bCs/>
        </w:rPr>
        <w:t>ЕГРЮЛ</w:t>
      </w:r>
      <w:r>
        <w:rPr/>
        <w:t xml:space="preserve"> – Единый государственный реестр юридических лиц.</w:t>
      </w:r>
    </w:p>
    <w:p>
      <w:pPr>
        <w:pStyle w:val="Style30"/>
        <w:ind w:firstLine="567"/>
        <w:rPr/>
      </w:pPr>
      <w:r>
        <w:rPr>
          <w:b/>
          <w:bCs/>
        </w:rPr>
        <w:t>ЕИС</w:t>
      </w:r>
      <w:r>
        <w:rPr/>
        <w:t xml:space="preserve"> – Единая информационная система в сфере закупок.</w:t>
      </w:r>
    </w:p>
    <w:p>
      <w:pPr>
        <w:pStyle w:val="Style30"/>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30"/>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0"/>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0"/>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0"/>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0"/>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0"/>
        <w:ind w:firstLine="567"/>
        <w:rPr/>
      </w:pPr>
      <w:r>
        <w:rPr>
          <w:b/>
          <w:bCs/>
        </w:rPr>
        <w:t>Извещение</w:t>
      </w:r>
      <w:r>
        <w:rPr/>
        <w:t xml:space="preserve"> – извещение о проведении настоящей закупки.</w:t>
      </w:r>
    </w:p>
    <w:p>
      <w:pPr>
        <w:pStyle w:val="Style30"/>
        <w:ind w:firstLine="567"/>
        <w:rPr/>
      </w:pPr>
      <w:r>
        <w:rPr>
          <w:b/>
          <w:bCs/>
        </w:rPr>
        <w:t>ИНН</w:t>
      </w:r>
      <w:r>
        <w:rPr/>
        <w:t xml:space="preserve"> – идентификационный номер налогоплательщика.</w:t>
      </w:r>
    </w:p>
    <w:p>
      <w:pPr>
        <w:pStyle w:val="Style30"/>
        <w:ind w:firstLine="567"/>
        <w:rPr/>
      </w:pPr>
      <w:r>
        <w:rPr>
          <w:b/>
          <w:bCs/>
        </w:rPr>
        <w:t>ИФНС</w:t>
      </w:r>
      <w:r>
        <w:rPr/>
        <w:t xml:space="preserve"> – инспекция Федеральной налоговой службы Российской Федерации.</w:t>
      </w:r>
    </w:p>
    <w:p>
      <w:pPr>
        <w:pStyle w:val="Style30"/>
        <w:ind w:firstLine="567"/>
        <w:rPr/>
      </w:pPr>
      <w:r>
        <w:rPr>
          <w:b/>
          <w:bCs/>
        </w:rPr>
        <w:t>МТР</w:t>
      </w:r>
      <w:r>
        <w:rPr/>
        <w:t xml:space="preserve"> – материально-технические ресурсы.</w:t>
      </w:r>
    </w:p>
    <w:p>
      <w:pPr>
        <w:pStyle w:val="Style30"/>
        <w:ind w:firstLine="567"/>
        <w:rPr/>
      </w:pPr>
      <w:r>
        <w:rPr>
          <w:b/>
          <w:bCs/>
        </w:rPr>
        <w:t>НДС</w:t>
      </w:r>
      <w:r>
        <w:rPr/>
        <w:t xml:space="preserve"> – налог на добавленную стоимость.</w:t>
      </w:r>
    </w:p>
    <w:p>
      <w:pPr>
        <w:pStyle w:val="Style30"/>
        <w:ind w:firstLine="567"/>
        <w:rPr/>
      </w:pPr>
      <w:r>
        <w:rPr>
          <w:b/>
          <w:bCs/>
        </w:rPr>
        <w:t>НМЦ</w:t>
      </w:r>
      <w:r>
        <w:rPr/>
        <w:t xml:space="preserve"> – начальная (максимальная) цена договора.</w:t>
      </w:r>
    </w:p>
    <w:p>
      <w:pPr>
        <w:pStyle w:val="Style30"/>
        <w:ind w:firstLine="567"/>
        <w:rPr/>
      </w:pPr>
      <w:r>
        <w:rPr>
          <w:b/>
          <w:bCs/>
        </w:rPr>
        <w:t>Оператор ЭП</w:t>
      </w:r>
      <w:r>
        <w:rPr/>
        <w:t xml:space="preserve"> – оператор электронной площадки.</w:t>
      </w:r>
    </w:p>
    <w:p>
      <w:pPr>
        <w:pStyle w:val="Style30"/>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0"/>
        <w:ind w:firstLine="567"/>
        <w:rPr/>
      </w:pPr>
      <w:r>
        <w:rPr>
          <w:b/>
          <w:bCs/>
        </w:rPr>
        <w:t>Положение о закупке</w:t>
      </w:r>
      <w:r>
        <w:rPr/>
        <w:t xml:space="preserve"> – Единое Положение о закупке продукции для нужд Группы РусГидро.</w:t>
      </w:r>
    </w:p>
    <w:p>
      <w:pPr>
        <w:pStyle w:val="Style30"/>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0"/>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30"/>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0"/>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0"/>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0"/>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30"/>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0"/>
        <w:ind w:firstLine="567"/>
        <w:rPr/>
      </w:pPr>
      <w:r>
        <w:rPr>
          <w:b/>
          <w:bCs/>
        </w:rPr>
        <w:t>Субъект МСП</w:t>
      </w:r>
      <w:r>
        <w:rPr/>
        <w:t xml:space="preserve"> – субъект малого и среднего предпринимательства.</w:t>
      </w:r>
    </w:p>
    <w:p>
      <w:pPr>
        <w:pStyle w:val="Style30"/>
        <w:ind w:firstLine="567"/>
        <w:rPr/>
      </w:pPr>
      <w:r>
        <w:rPr>
          <w:b/>
          <w:bCs/>
        </w:rPr>
        <w:t>ЭП</w:t>
      </w:r>
      <w:r>
        <w:rPr/>
        <w:t xml:space="preserve"> – электронная площадка.</w:t>
      </w:r>
    </w:p>
    <w:p>
      <w:pPr>
        <w:pStyle w:val="Style29"/>
        <w:numPr>
          <w:ilvl w:val="0"/>
          <w:numId w:val="0"/>
        </w:numPr>
        <w:outlineLvl w:val="0"/>
        <w:rPr/>
      </w:pPr>
      <w:bookmarkStart w:id="1" w:name="_Toc186224271"/>
      <w:r>
        <w:rPr/>
        <w:t>Термины и определения</w:t>
      </w:r>
      <w:bookmarkEnd w:id="1"/>
    </w:p>
    <w:p>
      <w:pPr>
        <w:pStyle w:val="Style30"/>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0"/>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30"/>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0"/>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0"/>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0"/>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0"/>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0"/>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0"/>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0"/>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30"/>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0"/>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0"/>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0"/>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30"/>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0"/>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0"/>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0"/>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0"/>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0"/>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30"/>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0"/>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0"/>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30"/>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0"/>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30"/>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30"/>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0"/>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0"/>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0"/>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30"/>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30"/>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4"/>
        <w:rPr/>
      </w:pPr>
      <w:bookmarkStart w:id="2" w:name="_Ref125359988"/>
      <w:bookmarkStart w:id="3" w:name="_Toc186224272"/>
      <w:r>
        <w:rPr/>
        <w:t>Основные сведения о закупке</w:t>
      </w:r>
      <w:bookmarkEnd w:id="2"/>
      <w:bookmarkEnd w:id="3"/>
    </w:p>
    <w:p>
      <w:pPr>
        <w:pStyle w:val="Style25"/>
        <w:rPr/>
      </w:pPr>
      <w:bookmarkStart w:id="4" w:name="_Toc186224273"/>
      <w:r>
        <w:rPr/>
        <w:t>Статус настоящего раздела</w:t>
      </w:r>
      <w:bookmarkEnd w:id="4"/>
    </w:p>
    <w:p>
      <w:pPr>
        <w:pStyle w:val="Style26"/>
        <w:rPr/>
      </w:pPr>
      <w:r>
        <w:rPr/>
        <w:t>В настоящем разделе содержатся основные сведения о предмете, способе и иных ключевых условиях проводимой закупки.</w:t>
      </w:r>
    </w:p>
    <w:p>
      <w:pPr>
        <w:pStyle w:val="Style26"/>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4"/>
          </w:rPr>
          <w:t>Технических требованиях (Приложение № 1)</w:t>
        </w:r>
      </w:hyperlink>
      <w:r>
        <w:rPr>
          <w:rStyle w:val="Style14"/>
        </w:rPr>
        <w:t>,</w:t>
      </w:r>
      <w:r>
        <w:rPr/>
        <w:t xml:space="preserve"> в </w:t>
      </w:r>
      <w:hyperlink w:anchor="Прил02_ПроектДоговора">
        <w:r>
          <w:rPr>
            <w:rStyle w:val="Style14"/>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6"/>
        <w:rPr/>
      </w:pPr>
      <w:bookmarkStart w:id="5"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5"/>
    </w:p>
    <w:p>
      <w:pPr>
        <w:pStyle w:val="Style25"/>
        <w:spacing w:before="360" w:after="120"/>
        <w:rPr/>
      </w:pPr>
      <w:bookmarkStart w:id="6" w:name="_Toc186224274"/>
      <w:bookmarkStart w:id="7" w:name="_Ref127270076"/>
      <w:bookmarkStart w:id="8" w:name="_Ref125359973"/>
      <w:r>
        <w:rPr/>
        <w:t>Информация о проводимой закупке</w:t>
      </w:r>
      <w:bookmarkEnd w:id="6"/>
      <w:bookmarkEnd w:id="7"/>
      <w:bookmarkEnd w:id="8"/>
    </w:p>
    <w:tbl>
      <w:tblPr>
        <w:tblStyle w:val="afff8"/>
        <w:tblW w:w="9754"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832"/>
        <w:gridCol w:w="3132"/>
        <w:gridCol w:w="5790"/>
      </w:tblGrid>
      <w:tr>
        <w:trPr>
          <w:cnfStyle w:val="100000000000" w:firstRow="1" w:lastRow="0" w:firstColumn="0" w:lastColumn="0" w:oddVBand="0" w:evenVBand="0" w:oddHBand="0" w:evenHBand="0" w:firstRowFirstColumn="0" w:firstRowLastColumn="0" w:lastRowFirstColumn="0" w:lastRowLastColumn="0"/>
        </w:trPr>
        <w:tc>
          <w:tcPr>
            <w:tcW w:w="832"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132"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пункта</w:t>
            </w:r>
          </w:p>
        </w:tc>
        <w:tc>
          <w:tcPr>
            <w:tcW w:w="579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Содержание пункта</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9" w:name="_Ref125360980"/>
            <w:bookmarkStart w:id="10" w:name="_Ref125360980"/>
            <w:bookmarkEnd w:id="1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Способ закупки:</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11" w:name="_Ref125360996"/>
            <w:bookmarkStart w:id="12" w:name="_Ref125360996"/>
            <w:bookmarkEnd w:id="1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Предмет Договора</w:t>
              <w:br/>
              <w:t>(в том числе номер лота):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Лот № 19-АЗ-2026-СШГЭС: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ОКПД2 27.33.11.150 Поставка выключателя автоматического ВН630 (аварийный запас) для нужд филиала ПАО «РусГидро» - Саяно-Шушенская ГЭС имени П.С. Непорожнего».</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13" w:name="_Ref135729276"/>
            <w:bookmarkStart w:id="14" w:name="_Ref135729276"/>
            <w:bookmarkEnd w:id="1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Описание</w:t>
              <w:br/>
              <w:t>предмета закупки:</w:t>
            </w:r>
          </w:p>
        </w:tc>
        <w:tc>
          <w:tcPr>
            <w:tcW w:w="5790" w:type="dxa"/>
            <w:tcBorders/>
          </w:tcPr>
          <w:p>
            <w:pPr>
              <w:pStyle w:val="Style30"/>
              <w:widowControl w:val="false"/>
              <w:suppressAutoHyphens w:val="true"/>
              <w:spacing w:before="60" w:after="60"/>
              <w:rPr>
                <w:rFonts w:ascii="Times New Roman" w:hAnsi="Times New Roman" w:cs=""/>
                <w:kern w:val="0"/>
                <w:sz w:val="26"/>
                <w:szCs w:val="22"/>
                <w:lang w:val="ru-RU" w:eastAsia="en-US" w:bidi="ar-SA"/>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Технических требованиях (Приложении № 1).</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15" w:name="_Ref125367124"/>
            <w:bookmarkStart w:id="16" w:name="_Ref125367124"/>
            <w:bookmarkEnd w:id="1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Многолотовая закупка: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Нет.</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17" w:name="_Ref125360764"/>
            <w:bookmarkStart w:id="18" w:name="_Ref125360764"/>
            <w:bookmarkEnd w:id="1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Наименование и адрес ЭП, на которой проводится закупка: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Электронная площадка: https://tender.lot-online.ru.</w:t>
            </w:r>
          </w:p>
          <w:p>
            <w:pPr>
              <w:pStyle w:val="Style30"/>
              <w:widowControl w:val="false"/>
              <w:suppressAutoHyphens w:val="true"/>
              <w:spacing w:before="60" w:after="60"/>
              <w:rPr>
                <w:rFonts w:eastAsia="Calibri"/>
              </w:rPr>
            </w:pPr>
            <w:r>
              <w:rPr>
                <w:rFonts w:eastAsia="Calibri" w:cs=""/>
                <w:kern w:val="0"/>
                <w:sz w:val="26"/>
                <w:szCs w:val="22"/>
                <w:lang w:val="ru-RU" w:eastAsia="en-US" w:bidi="ar-SA"/>
              </w:rPr>
              <w:t>Регламент ЭП, в соответствии с которым проводится закупка, размещен по адресу: https://tender.lot-online.ru/app/EtpDocList/page.</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19" w:name="_Ref125360970"/>
            <w:bookmarkStart w:id="20" w:name="_Ref125360970"/>
            <w:bookmarkEnd w:id="2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Участники:</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30"/>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4"/>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21" w:name="_Ref125360988"/>
            <w:bookmarkStart w:id="22" w:name="_Ref125360988"/>
            <w:bookmarkEnd w:id="2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Заказчик:</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(полное):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Публичное акционерное общество «Федеральная гидрогенерирующая компания РусГидро».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Наименование (сокращенное):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ПАО «РусГидро».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Место нахождения: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660017, Красноярский край, г. Красноярск, ул. Дубровинского, д. 43.</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660017, Красноярский край, г. Красноярск, ул. Перенсона, зд. 2А, пом. 1. </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Адрес электронной почты: </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office@rushydro.ru. </w:t>
            </w:r>
          </w:p>
          <w:p>
            <w:pPr>
              <w:pStyle w:val="Style30"/>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8 800 333 80 00..</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23" w:name="_Ref125360954"/>
            <w:bookmarkStart w:id="24" w:name="_Ref125360954"/>
            <w:bookmarkEnd w:id="2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Организатор:</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(полное):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Публичное акционерное общество «Федеральная гидрогенерирующая компания РусГидро».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Наименование (сокращенное):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ПАО «РусГидро», в лице Филиала Публичного акционерного общества «Федеральная гидрогенерирующая компания – РусГидро» – «Саяно-Шушенская ГЭС имени П.С. Непорожнего» (Филиал ПАО «РусГидро» – «Саяно-Шушенская ГЭС имени П.С. Непорожнего»).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Место нахождения: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660017, Красноярский край, г. Красноярск, ул. Перенсона, зд. 2А, пом. 1.</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655619, Республика Хакасия, г. Саяногорск, пос. Черемушки, а/я 39.</w:t>
            </w:r>
          </w:p>
          <w:p>
            <w:pPr>
              <w:pStyle w:val="Style30"/>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0"/>
              <w:widowControl w:val="false"/>
              <w:suppressAutoHyphens w:val="true"/>
              <w:spacing w:before="60" w:after="60"/>
              <w:rPr>
                <w:rFonts w:eastAsia="Calibri"/>
              </w:rPr>
            </w:pPr>
            <w:r>
              <w:rPr>
                <w:rFonts w:eastAsia="Calibri" w:cs=""/>
                <w:kern w:val="0"/>
                <w:sz w:val="26"/>
                <w:szCs w:val="22"/>
                <w:lang w:val="ru-RU" w:eastAsia="en-US" w:bidi="ar-SA"/>
              </w:rPr>
              <w:t>sges@rushydro.ru.</w:t>
            </w:r>
          </w:p>
          <w:p>
            <w:pPr>
              <w:pStyle w:val="Style30"/>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+7 (39042) 3-26-05.</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25" w:name="_Ref125361238"/>
            <w:bookmarkStart w:id="26" w:name="_Ref125361238"/>
            <w:bookmarkEnd w:id="2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Представитель Организатора:</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Контактное лицо (Ф.И.О.):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Макаров Юрий Константинович.</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0"/>
              <w:widowControl w:val="false"/>
              <w:suppressAutoHyphens w:val="true"/>
              <w:spacing w:before="60" w:after="60"/>
              <w:rPr>
                <w:rFonts w:eastAsia="Calibri"/>
              </w:rPr>
            </w:pPr>
            <w:r>
              <w:rPr>
                <w:rFonts w:eastAsia="Calibri" w:cs=""/>
                <w:kern w:val="0"/>
                <w:sz w:val="26"/>
                <w:szCs w:val="22"/>
                <w:lang w:val="ru-RU" w:eastAsia="en-US" w:bidi="ar-SA"/>
              </w:rPr>
              <w:t>MakarovYK@rushydro.ru.</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+7 (39042) 71-289.</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27" w:name="_Ref125362694"/>
            <w:bookmarkStart w:id="28" w:name="_Ref125362694"/>
            <w:bookmarkEnd w:id="2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29" w:name="_Ref125360963"/>
            <w:bookmarkStart w:id="30" w:name="_Ref125360963"/>
            <w:bookmarkEnd w:id="3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размещения Извещения о проведении закупки:</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w:t>
            </w:r>
            <w:r>
              <w:rPr>
                <w:rFonts w:eastAsia="Calibri" w:cs=""/>
                <w:kern w:val="0"/>
                <w:sz w:val="26"/>
                <w:szCs w:val="22"/>
                <w:lang w:val="en-US" w:eastAsia="en-US" w:bidi="ar-SA"/>
              </w:rPr>
              <w:t>24</w:t>
            </w:r>
            <w:r>
              <w:rPr>
                <w:rFonts w:eastAsia="Calibri" w:cs=""/>
                <w:kern w:val="0"/>
                <w:sz w:val="26"/>
                <w:szCs w:val="22"/>
                <w:lang w:val="ru-RU" w:eastAsia="en-US" w:bidi="ar-SA"/>
              </w:rPr>
              <w:t xml:space="preserve">» </w:t>
            </w:r>
            <w:r>
              <w:rPr>
                <w:rFonts w:eastAsia="Calibri" w:cs=""/>
                <w:kern w:val="0"/>
                <w:sz w:val="26"/>
                <w:szCs w:val="22"/>
                <w:lang w:val="ru-RU" w:eastAsia="en-US" w:bidi="ar-SA"/>
              </w:rPr>
              <w:t>июня</w:t>
            </w:r>
            <w:r>
              <w:rPr>
                <w:rFonts w:eastAsia="Calibri" w:cs=""/>
                <w:kern w:val="0"/>
                <w:sz w:val="26"/>
                <w:szCs w:val="22"/>
                <w:lang w:val="ru-RU" w:eastAsia="en-US" w:bidi="ar-SA"/>
              </w:rPr>
              <w:t xml:space="preserve"> 2026 г.</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31" w:name="_Ref125362837"/>
            <w:bookmarkStart w:id="32" w:name="_Ref125362837"/>
            <w:bookmarkEnd w:id="3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Начальная (максимальная) цена договора (цена лота):</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НМЦ составляет 1 541 666,67 руб., без учета НДС.</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33" w:name="_Ref125363076"/>
            <w:bookmarkStart w:id="34" w:name="_Ref125363076"/>
            <w:bookmarkEnd w:id="3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Обеспечение заявки на участие в закупке: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35" w:name="_Ref125362995"/>
            <w:bookmarkStart w:id="36" w:name="_Ref125362995"/>
            <w:bookmarkEnd w:id="36"/>
          </w:p>
        </w:tc>
        <w:tc>
          <w:tcPr>
            <w:tcW w:w="3132" w:type="dxa"/>
            <w:tcBorders/>
          </w:tcPr>
          <w:p>
            <w:pPr>
              <w:pStyle w:val="Style30"/>
              <w:widowControl w:val="false"/>
              <w:suppressAutoHyphens w:val="true"/>
              <w:spacing w:before="60" w:after="60"/>
              <w:jc w:val="left"/>
              <w:rPr>
                <w:rFonts w:ascii="Times New Roman" w:hAnsi="Times New Roman"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790" w:type="dxa"/>
            <w:tcBorders/>
          </w:tcPr>
          <w:p>
            <w:pPr>
              <w:pStyle w:val="Style30"/>
              <w:widowControl w:val="false"/>
              <w:suppressAutoHyphens w:val="true"/>
              <w:spacing w:before="60" w:after="60"/>
              <w:rPr>
                <w:rFonts w:ascii="Times New Roman" w:hAnsi="Times New Roman" w:cs=""/>
                <w:kern w:val="0"/>
                <w:sz w:val="26"/>
                <w:szCs w:val="22"/>
                <w:lang w:val="ru-RU" w:eastAsia="en-US" w:bidi="ar-SA"/>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Технических требованиях Заказчика – по форме Технического предложения, установленной в Документации о закупке.</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Применение законодательства о национальном режиме: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Установлен режим преимущества российской продукции (когда национальный режим не предоставляется).</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37" w:name="_Ref125533737"/>
            <w:bookmarkStart w:id="38" w:name="_Ref125533737"/>
            <w:bookmarkEnd w:id="38"/>
          </w:p>
        </w:tc>
        <w:tc>
          <w:tcPr>
            <w:tcW w:w="3132" w:type="dxa"/>
            <w:tcBorders/>
          </w:tcPr>
          <w:p>
            <w:pPr>
              <w:pStyle w:val="Normal"/>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подачи альтернативных предложений:</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предусмотрена.</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39" w:name="_Ref125475086"/>
            <w:bookmarkStart w:id="40" w:name="_Ref125475086"/>
            <w:bookmarkEnd w:id="4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и порядок подачи заявок:</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41" w:name="_Ref125360779"/>
            <w:bookmarkStart w:id="42" w:name="_Ref125360779"/>
            <w:bookmarkEnd w:id="4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начала; дата и время окончания срока подачи заявок:</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начала подачи заявок:</w:t>
            </w:r>
          </w:p>
          <w:p>
            <w:pPr>
              <w:pStyle w:val="Style30"/>
              <w:widowControl w:val="false"/>
              <w:suppressAutoHyphens w:val="true"/>
              <w:spacing w:before="60" w:after="60"/>
              <w:rPr>
                <w:rFonts w:eastAsia="Calibri"/>
              </w:rPr>
            </w:pPr>
            <w:r>
              <w:rPr>
                <w:rFonts w:eastAsia="Calibri" w:cs=""/>
                <w:kern w:val="0"/>
                <w:sz w:val="26"/>
                <w:szCs w:val="22"/>
                <w:lang w:val="ru-RU" w:eastAsia="en-US" w:bidi="ar-SA"/>
              </w:rPr>
              <w:t>«</w:t>
            </w:r>
            <w:r>
              <w:rPr>
                <w:rFonts w:eastAsia="Calibri" w:cs=""/>
                <w:kern w:val="0"/>
                <w:sz w:val="26"/>
                <w:szCs w:val="22"/>
                <w:lang w:val="ru-RU" w:eastAsia="en-US" w:bidi="ar-SA"/>
              </w:rPr>
              <w:t>24</w:t>
            </w:r>
            <w:r>
              <w:rPr>
                <w:rFonts w:eastAsia="Calibri" w:cs=""/>
                <w:kern w:val="0"/>
                <w:sz w:val="26"/>
                <w:szCs w:val="22"/>
                <w:lang w:val="ru-RU" w:eastAsia="en-US" w:bidi="ar-SA"/>
              </w:rPr>
              <w:t xml:space="preserve">» </w:t>
            </w:r>
            <w:r>
              <w:rPr>
                <w:rFonts w:eastAsia="Calibri" w:cs=""/>
                <w:kern w:val="0"/>
                <w:sz w:val="26"/>
                <w:szCs w:val="22"/>
                <w:lang w:val="ru-RU" w:eastAsia="en-US" w:bidi="ar-SA"/>
              </w:rPr>
              <w:t>июня</w:t>
            </w:r>
            <w:r>
              <w:rPr>
                <w:rFonts w:eastAsia="Calibri" w:cs=""/>
                <w:kern w:val="0"/>
                <w:sz w:val="26"/>
                <w:szCs w:val="22"/>
                <w:lang w:val="ru-RU" w:eastAsia="en-US" w:bidi="ar-SA"/>
              </w:rPr>
              <w:t xml:space="preserve"> 2026 г.</w:t>
            </w:r>
          </w:p>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подачи заявок:</w:t>
            </w:r>
          </w:p>
          <w:p>
            <w:pPr>
              <w:pStyle w:val="Style30"/>
              <w:widowControl w:val="false"/>
              <w:suppressAutoHyphens w:val="true"/>
              <w:spacing w:before="60" w:after="60"/>
              <w:rPr>
                <w:rFonts w:eastAsia="Calibri"/>
              </w:rPr>
            </w:pPr>
            <w:r>
              <w:rPr>
                <w:rFonts w:eastAsia="Calibri" w:cs=""/>
                <w:kern w:val="0"/>
                <w:sz w:val="26"/>
                <w:szCs w:val="22"/>
                <w:lang w:val="ru-RU" w:eastAsia="en-US" w:bidi="ar-SA"/>
              </w:rPr>
              <w:t>«</w:t>
            </w:r>
            <w:r>
              <w:rPr>
                <w:rFonts w:eastAsia="Calibri" w:cs=""/>
                <w:kern w:val="0"/>
                <w:sz w:val="26"/>
                <w:szCs w:val="22"/>
                <w:lang w:val="ru-RU" w:eastAsia="en-US" w:bidi="ar-SA"/>
              </w:rPr>
              <w:t>08</w:t>
            </w:r>
            <w:r>
              <w:rPr>
                <w:rFonts w:eastAsia="Calibri" w:cs=""/>
                <w:kern w:val="0"/>
                <w:sz w:val="26"/>
                <w:szCs w:val="22"/>
                <w:lang w:val="ru-RU" w:eastAsia="en-US" w:bidi="ar-SA"/>
              </w:rPr>
              <w:t xml:space="preserve">» </w:t>
            </w:r>
            <w:r>
              <w:rPr>
                <w:rFonts w:eastAsia="Calibri" w:cs=""/>
                <w:kern w:val="0"/>
                <w:sz w:val="26"/>
                <w:szCs w:val="22"/>
                <w:lang w:val="ru-RU" w:eastAsia="en-US" w:bidi="ar-SA"/>
              </w:rPr>
              <w:t>июля</w:t>
            </w:r>
            <w:r>
              <w:rPr>
                <w:rFonts w:eastAsia="Calibri" w:cs=""/>
                <w:kern w:val="0"/>
                <w:sz w:val="26"/>
                <w:szCs w:val="22"/>
                <w:lang w:val="ru-RU" w:eastAsia="en-US" w:bidi="ar-SA"/>
              </w:rPr>
              <w:t xml:space="preserve"> 2026 г. в 10 ч. 00 мин.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 московскому времени).</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предоставления разъяснений:</w:t>
            </w:r>
          </w:p>
          <w:p>
            <w:pPr>
              <w:pStyle w:val="Style30"/>
              <w:widowControl w:val="false"/>
              <w:suppressAutoHyphens w:val="true"/>
              <w:spacing w:before="60" w:after="60"/>
              <w:rPr>
                <w:rFonts w:eastAsia="Calibri"/>
              </w:rPr>
            </w:pPr>
            <w:r>
              <w:rPr>
                <w:rFonts w:eastAsia="Calibri" w:cs=""/>
                <w:kern w:val="0"/>
                <w:sz w:val="26"/>
                <w:szCs w:val="22"/>
                <w:lang w:val="ru-RU" w:eastAsia="en-US" w:bidi="ar-SA"/>
              </w:rPr>
              <w:t>«</w:t>
            </w:r>
            <w:r>
              <w:rPr>
                <w:rFonts w:eastAsia="Calibri" w:cs=""/>
                <w:kern w:val="0"/>
                <w:sz w:val="26"/>
                <w:szCs w:val="22"/>
                <w:lang w:val="ru-RU" w:eastAsia="en-US" w:bidi="ar-SA"/>
              </w:rPr>
              <w:t>08</w:t>
            </w:r>
            <w:r>
              <w:rPr>
                <w:rFonts w:eastAsia="Calibri" w:cs=""/>
                <w:kern w:val="0"/>
                <w:sz w:val="26"/>
                <w:szCs w:val="22"/>
                <w:lang w:val="ru-RU" w:eastAsia="en-US" w:bidi="ar-SA"/>
              </w:rPr>
              <w:t xml:space="preserve">» </w:t>
            </w:r>
            <w:r>
              <w:rPr>
                <w:rFonts w:eastAsia="Calibri" w:cs=""/>
                <w:kern w:val="0"/>
                <w:sz w:val="26"/>
                <w:szCs w:val="22"/>
                <w:lang w:val="ru-RU" w:eastAsia="en-US" w:bidi="ar-SA"/>
              </w:rPr>
              <w:t>июля</w:t>
            </w:r>
            <w:r>
              <w:rPr>
                <w:rFonts w:eastAsia="Calibri" w:cs=""/>
                <w:kern w:val="0"/>
                <w:sz w:val="26"/>
                <w:szCs w:val="22"/>
                <w:lang w:val="ru-RU" w:eastAsia="en-US" w:bidi="ar-SA"/>
              </w:rPr>
              <w:t xml:space="preserve"> 2026 г. в 10 ч. 00 мин.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 московскому времени).</w:t>
            </w:r>
          </w:p>
          <w:p>
            <w:pPr>
              <w:pStyle w:val="Style30"/>
              <w:widowControl w:val="false"/>
              <w:suppressAutoHyphens w:val="true"/>
              <w:spacing w:before="60" w:after="60"/>
              <w:rPr>
                <w:rFonts w:eastAsia="Calibri"/>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43" w:name="_Ref125476197"/>
            <w:bookmarkStart w:id="44" w:name="_Ref125476197"/>
            <w:bookmarkEnd w:id="4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открытия</w:t>
              <w:br/>
              <w:t>доступа к заявкам:</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45" w:name="_Ref125362733"/>
            <w:bookmarkStart w:id="46" w:name="_Ref125362733"/>
            <w:bookmarkEnd w:id="4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окончания рассмотрения заявок:</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w:t>
            </w:r>
            <w:r>
              <w:rPr>
                <w:rFonts w:eastAsia="Calibri" w:cs=""/>
                <w:kern w:val="0"/>
                <w:sz w:val="26"/>
                <w:szCs w:val="22"/>
                <w:lang w:val="en-US" w:eastAsia="en-US" w:bidi="ar-SA"/>
              </w:rPr>
              <w:t>2</w:t>
            </w:r>
            <w:r>
              <w:rPr>
                <w:rFonts w:eastAsia="Calibri" w:cs=""/>
                <w:kern w:val="0"/>
                <w:sz w:val="26"/>
                <w:szCs w:val="22"/>
                <w:lang w:val="en-US" w:eastAsia="en-US" w:bidi="ar-SA"/>
              </w:rPr>
              <w:t>0</w:t>
            </w:r>
            <w:r>
              <w:rPr>
                <w:rFonts w:eastAsia="Calibri" w:cs=""/>
                <w:kern w:val="0"/>
                <w:sz w:val="26"/>
                <w:szCs w:val="22"/>
                <w:lang w:val="ru-RU" w:eastAsia="en-US" w:bidi="ar-SA"/>
              </w:rPr>
              <w:t xml:space="preserve">» </w:t>
            </w:r>
            <w:r>
              <w:rPr>
                <w:rFonts w:eastAsia="Calibri" w:cs=""/>
                <w:kern w:val="0"/>
                <w:sz w:val="26"/>
                <w:szCs w:val="22"/>
                <w:lang w:val="ru-RU" w:eastAsia="en-US" w:bidi="ar-SA"/>
              </w:rPr>
              <w:t>июля</w:t>
            </w:r>
            <w:r>
              <w:rPr>
                <w:rFonts w:eastAsia="Calibri" w:cs=""/>
                <w:kern w:val="0"/>
                <w:sz w:val="26"/>
                <w:szCs w:val="22"/>
                <w:lang w:val="ru-RU" w:eastAsia="en-US" w:bidi="ar-SA"/>
              </w:rPr>
              <w:t xml:space="preserve"> 2026 г.</w:t>
            </w:r>
          </w:p>
        </w:tc>
      </w:tr>
      <w:tr>
        <w:trPr/>
        <w:tc>
          <w:tcPr>
            <w:tcW w:w="832" w:type="dxa"/>
            <w:tcBorders>
              <w:top w:val="nil"/>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p>
        </w:tc>
        <w:tc>
          <w:tcPr>
            <w:tcW w:w="3132" w:type="dxa"/>
            <w:tcBorders>
              <w:top w:val="nil"/>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проведения процедуры переторжки:</w:t>
            </w:r>
          </w:p>
        </w:tc>
        <w:tc>
          <w:tcPr>
            <w:tcW w:w="5790" w:type="dxa"/>
            <w:tcBorders>
              <w:top w:val="nil"/>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p>
            <w:pPr>
              <w:pStyle w:val="Style33"/>
              <w:widowControl w:val="false"/>
              <w:suppressAutoHyphens w:val="true"/>
              <w:spacing w:before="60" w:after="60"/>
              <w:rPr>
                <w:rFonts w:eastAsia="Calibri"/>
              </w:rPr>
            </w:pPr>
            <w:r>
              <w:rPr>
                <w:rFonts w:eastAsia="Calibri" w:cs=""/>
                <w:kern w:val="0"/>
                <w:sz w:val="26"/>
                <w:szCs w:val="22"/>
                <w:lang w:val="ru-RU" w:eastAsia="en-US" w:bidi="ar-SA"/>
              </w:rPr>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47" w:name="_Ref125362757"/>
            <w:bookmarkStart w:id="48" w:name="_Ref125362757"/>
            <w:bookmarkEnd w:id="4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подведения</w:t>
              <w:br/>
              <w:t>итогов закупки:</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w:t>
            </w:r>
            <w:r>
              <w:rPr>
                <w:rFonts w:eastAsia="Calibri" w:cs=""/>
                <w:kern w:val="0"/>
                <w:sz w:val="26"/>
                <w:szCs w:val="22"/>
                <w:lang w:val="en-US" w:eastAsia="en-US" w:bidi="ar-SA"/>
              </w:rPr>
              <w:t>2</w:t>
            </w:r>
            <w:r>
              <w:rPr>
                <w:rFonts w:eastAsia="Calibri" w:cs=""/>
                <w:kern w:val="0"/>
                <w:sz w:val="26"/>
                <w:szCs w:val="22"/>
                <w:lang w:val="en-US" w:eastAsia="en-US" w:bidi="ar-SA"/>
              </w:rPr>
              <w:t>0</w:t>
            </w:r>
            <w:r>
              <w:rPr>
                <w:rFonts w:eastAsia="Calibri" w:cs=""/>
                <w:kern w:val="0"/>
                <w:sz w:val="26"/>
                <w:szCs w:val="22"/>
                <w:lang w:val="ru-RU" w:eastAsia="en-US" w:bidi="ar-SA"/>
              </w:rPr>
              <w:t xml:space="preserve">» </w:t>
            </w:r>
            <w:r>
              <w:rPr>
                <w:rFonts w:eastAsia="Calibri" w:cs=""/>
                <w:kern w:val="0"/>
                <w:sz w:val="26"/>
                <w:szCs w:val="22"/>
                <w:lang w:val="ru-RU" w:eastAsia="en-US" w:bidi="ar-SA"/>
              </w:rPr>
              <w:t>июля</w:t>
            </w:r>
            <w:r>
              <w:rPr>
                <w:rFonts w:eastAsia="Calibri" w:cs=""/>
                <w:kern w:val="0"/>
                <w:sz w:val="26"/>
                <w:szCs w:val="22"/>
                <w:lang w:val="ru-RU" w:eastAsia="en-US" w:bidi="ar-SA"/>
              </w:rPr>
              <w:t xml:space="preserve"> 202</w:t>
            </w:r>
            <w:r>
              <w:rPr>
                <w:rFonts w:eastAsia="Calibri" w:cs=""/>
                <w:kern w:val="0"/>
                <w:sz w:val="26"/>
                <w:szCs w:val="22"/>
                <w:lang w:val="en-US" w:eastAsia="en-US" w:bidi="ar-SA"/>
              </w:rPr>
              <w:t>6</w:t>
            </w:r>
            <w:r>
              <w:rPr>
                <w:rFonts w:eastAsia="Calibri" w:cs=""/>
                <w:kern w:val="0"/>
                <w:sz w:val="26"/>
                <w:szCs w:val="22"/>
                <w:lang w:val="ru-RU" w:eastAsia="en-US" w:bidi="ar-SA"/>
              </w:rPr>
              <w:t> г.</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49" w:name="_Ref125361769"/>
            <w:bookmarkStart w:id="50" w:name="_Ref125361769"/>
            <w:bookmarkEnd w:id="5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Порядок подведения</w:t>
              <w:br/>
              <w:t>итогов закупки:</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51" w:name="_Ref125366606"/>
            <w:bookmarkStart w:id="52" w:name="_Ref125366606"/>
            <w:bookmarkEnd w:id="5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Количество победителей закупки (в рамках одного лота):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Один победитель.</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53" w:name="_Ref125533374"/>
            <w:bookmarkStart w:id="54" w:name="_Ref125533374"/>
            <w:bookmarkEnd w:id="5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Форма заключения Договора: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eastAsia="Calibri"/>
              </w:rPr>
            </w:pPr>
            <w:r>
              <w:rPr>
                <w:rFonts w:eastAsia="Calibri" w:cs=""/>
                <w:kern w:val="0"/>
                <w:sz w:val="26"/>
                <w:szCs w:val="22"/>
                <w:lang w:val="ru-RU" w:eastAsia="en-US" w:bidi="ar-SA"/>
              </w:rPr>
              <w:t>Если договор будет заключаться в электронной форме посредством информационной системы электронного документооборота СКБ Контур (Диадок),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55" w:name="_Ref125366813"/>
            <w:bookmarkStart w:id="56" w:name="_Ref125366813"/>
            <w:bookmarkEnd w:id="5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Контактное лицо (Ф.И.О.):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Капленко Инна Викторовна</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655619, Республика Хакасия, г. Саяногорск, пос. Черемушки, а/я 39.</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bookmarkStart w:id="57" w:name="_Ref125368490"/>
            <w:bookmarkStart w:id="58" w:name="_Ref125368490"/>
            <w:bookmarkEnd w:id="5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Некритичные пункты Проекта договора:</w:t>
            </w:r>
          </w:p>
        </w:tc>
        <w:tc>
          <w:tcPr>
            <w:tcW w:w="5790" w:type="dxa"/>
            <w:tcBorders/>
          </w:tcPr>
          <w:p>
            <w:pPr>
              <w:pStyle w:val="Style33"/>
              <w:widowControl w:val="false"/>
              <w:suppressAutoHyphens w:val="true"/>
              <w:spacing w:before="60" w:after="60"/>
              <w:rPr>
                <w:i w:val="false"/>
                <w:i w:val="false"/>
                <w:shd w:fill="auto" w:val="clear"/>
              </w:rPr>
            </w:pPr>
            <w:r>
              <w:rPr>
                <w:rFonts w:eastAsia="Calibri" w:cs=""/>
                <w:i w:val="false"/>
                <w:kern w:val="0"/>
                <w:sz w:val="26"/>
                <w:szCs w:val="22"/>
                <w:shd w:fill="auto" w:val="clear"/>
                <w:lang w:val="ru-RU" w:eastAsia="en-US" w:bidi="ar-SA"/>
              </w:rPr>
              <w:t>Отсутствуют.</w:t>
            </w:r>
          </w:p>
        </w:tc>
      </w:tr>
      <w:tr>
        <w:trPr/>
        <w:tc>
          <w:tcPr>
            <w:tcW w:w="832"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Обеспечение</w:t>
              <w:br/>
              <w:t>исполнения Договора:</w:t>
            </w:r>
          </w:p>
        </w:tc>
        <w:tc>
          <w:tcPr>
            <w:tcW w:w="5790" w:type="dxa"/>
            <w:tcBorders/>
          </w:tcPr>
          <w:p>
            <w:pPr>
              <w:pStyle w:val="Style33"/>
              <w:widowControl w:val="false"/>
              <w:suppressAutoHyphens w:val="true"/>
              <w:spacing w:before="60" w:after="60"/>
              <w:rPr>
                <w:i w:val="false"/>
                <w:i w:val="false"/>
                <w:shd w:fill="auto" w:val="clear"/>
              </w:rPr>
            </w:pPr>
            <w:r>
              <w:rPr>
                <w:rFonts w:eastAsia="Calibri" w:cs=""/>
                <w:i w:val="false"/>
                <w:kern w:val="0"/>
                <w:sz w:val="26"/>
                <w:szCs w:val="22"/>
                <w:shd w:fill="auto" w:val="clear"/>
                <w:lang w:val="ru-RU" w:eastAsia="en-US" w:bidi="ar-SA"/>
              </w:rPr>
              <w:t>Не требуется.</w:t>
            </w:r>
          </w:p>
          <w:p>
            <w:pPr>
              <w:pStyle w:val="Style33"/>
              <w:widowControl w:val="false"/>
              <w:suppressAutoHyphens w:val="true"/>
              <w:spacing w:before="60" w:after="60"/>
              <w:rPr>
                <w:i w:val="false"/>
                <w:i w:val="false"/>
                <w:shd w:fill="auto" w:val="clear"/>
              </w:rPr>
            </w:pPr>
            <w:r>
              <w:rPr>
                <w:rFonts w:eastAsia="Calibri" w:cs=""/>
                <w:i w:val="false"/>
                <w:kern w:val="0"/>
                <w:sz w:val="26"/>
                <w:szCs w:val="22"/>
                <w:shd w:fill="auto" w:val="clear"/>
                <w:lang w:val="ru-RU" w:eastAsia="en-US" w:bidi="ar-SA"/>
              </w:rPr>
            </w:r>
          </w:p>
        </w:tc>
      </w:tr>
    </w:tbl>
    <w:p>
      <w:pPr>
        <w:pStyle w:val="Style24"/>
        <w:rPr/>
      </w:pPr>
      <w:bookmarkStart w:id="59" w:name="_Toc186224275"/>
      <w:bookmarkStart w:id="60" w:name="_Ref125360337"/>
      <w:bookmarkStart w:id="61" w:name="_Ref125360073"/>
      <w:r>
        <w:rPr/>
        <w:t>Общие положения</w:t>
      </w:r>
      <w:bookmarkEnd w:id="59"/>
      <w:bookmarkEnd w:id="60"/>
      <w:bookmarkEnd w:id="61"/>
    </w:p>
    <w:p>
      <w:pPr>
        <w:pStyle w:val="Style25"/>
        <w:rPr/>
      </w:pPr>
      <w:bookmarkStart w:id="62" w:name="_Toc186224276"/>
      <w:r>
        <w:rPr/>
        <w:t>Общие сведения о закупке</w:t>
      </w:r>
      <w:bookmarkEnd w:id="62"/>
    </w:p>
    <w:p>
      <w:pPr>
        <w:pStyle w:val="Style26"/>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6"/>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6"/>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4"/>
          </w:rPr>
          <w:t>Технических требованиях (Приложение № 1)</w:t>
        </w:r>
      </w:hyperlink>
      <w:r>
        <w:rPr/>
        <w:t xml:space="preserve">. </w:t>
      </w:r>
      <w:hyperlink w:anchor="Прил02_ПроектДоговора">
        <w:r>
          <w:rPr>
            <w:rStyle w:val="Style14"/>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4"/>
          </w:rPr>
          <w:t>Приложении № 2</w:t>
        </w:r>
      </w:hyperlink>
      <w:r>
        <w:rPr/>
        <w:t>.</w:t>
      </w:r>
    </w:p>
    <w:p>
      <w:pPr>
        <w:pStyle w:val="Style26"/>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4"/>
          </w:rPr>
          <w:t>№ 4</w:t>
        </w:r>
      </w:hyperlink>
      <w:r>
        <w:rPr/>
        <w:t xml:space="preserve">, </w:t>
      </w:r>
      <w:hyperlink w:anchor="Прил05_ФормыПобедителя">
        <w:r>
          <w:rPr>
            <w:rStyle w:val="Style14"/>
          </w:rPr>
          <w:t>№ 5</w:t>
        </w:r>
      </w:hyperlink>
      <w:r>
        <w:rPr/>
        <w:t>.</w:t>
      </w:r>
    </w:p>
    <w:p>
      <w:pPr>
        <w:pStyle w:val="Style25"/>
        <w:rPr/>
      </w:pPr>
      <w:bookmarkStart w:id="63" w:name="_Toc186224277"/>
      <w:r>
        <w:rPr/>
        <w:t>Правовой статус документов</w:t>
      </w:r>
      <w:bookmarkEnd w:id="63"/>
    </w:p>
    <w:p>
      <w:pPr>
        <w:pStyle w:val="Style26"/>
        <w:rPr/>
      </w:pPr>
      <w:r>
        <w:rPr/>
        <w:t>Состязательный отбор не является конкурентной процедурой в соответствии с действующим законодательством.</w:t>
      </w:r>
    </w:p>
    <w:p>
      <w:pPr>
        <w:pStyle w:val="Style26"/>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6"/>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6"/>
        <w:keepNext w:val="true"/>
        <w:rPr/>
      </w:pPr>
      <w:bookmarkStart w:id="64"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64"/>
      <w:r>
        <w:rPr/>
        <w:t>.</w:t>
      </w:r>
    </w:p>
    <w:p>
      <w:pPr>
        <w:pStyle w:val="Style26"/>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6"/>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6"/>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6"/>
        <w:rPr/>
      </w:pPr>
      <w:r>
        <w:rPr/>
        <w:t>Иные документы Организатора и Участников не определяют права и обязанности сторон в связи с данной закупкой.</w:t>
      </w:r>
    </w:p>
    <w:p>
      <w:pPr>
        <w:pStyle w:val="Style26"/>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5"/>
        <w:rPr/>
      </w:pPr>
      <w:bookmarkStart w:id="65" w:name="_Toc186224278"/>
      <w:bookmarkStart w:id="66" w:name="_Ref125363536"/>
      <w:r>
        <w:rPr/>
        <w:t>Обжалование</w:t>
      </w:r>
      <w:bookmarkEnd w:id="65"/>
      <w:bookmarkEnd w:id="66"/>
    </w:p>
    <w:p>
      <w:pPr>
        <w:pStyle w:val="Style26"/>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6"/>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6"/>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7"/>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7"/>
        <w:rPr/>
      </w:pPr>
      <w:r>
        <w:rPr/>
        <w:t>признать заявление Участника необоснованным.</w:t>
      </w:r>
    </w:p>
    <w:p>
      <w:pPr>
        <w:pStyle w:val="Style26"/>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6"/>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7"/>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7"/>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30"/>
        <w:ind w:left="1134" w:hanging="0"/>
        <w:rPr/>
      </w:pPr>
      <w:r>
        <w:rPr/>
        <w:t>Закупочная комиссия определяется в соответствии с Положением о закупке.</w:t>
      </w:r>
    </w:p>
    <w:p>
      <w:pPr>
        <w:pStyle w:val="Style25"/>
        <w:rPr/>
      </w:pPr>
      <w:bookmarkStart w:id="67" w:name="_Toc186224279"/>
      <w:bookmarkStart w:id="68" w:name="_Ref125472658"/>
      <w:r>
        <w:rPr/>
        <w:t>Особые положения при проведении закупки с использованием ЭП</w:t>
      </w:r>
      <w:bookmarkEnd w:id="67"/>
      <w:bookmarkEnd w:id="68"/>
    </w:p>
    <w:p>
      <w:pPr>
        <w:pStyle w:val="Style26"/>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6"/>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6"/>
        <w:rPr/>
      </w:pPr>
      <w:bookmarkStart w:id="69"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69"/>
    </w:p>
    <w:p>
      <w:pPr>
        <w:pStyle w:val="Style26"/>
        <w:rPr/>
      </w:pPr>
      <w:bookmarkStart w:id="70"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0"/>
    </w:p>
    <w:p>
      <w:pPr>
        <w:pStyle w:val="Style25"/>
        <w:rPr/>
      </w:pPr>
      <w:bookmarkStart w:id="71" w:name="_Toc186224280"/>
      <w:r>
        <w:rPr/>
        <w:t>Прочие положения</w:t>
      </w:r>
      <w:bookmarkEnd w:id="71"/>
    </w:p>
    <w:p>
      <w:pPr>
        <w:pStyle w:val="Style26"/>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6"/>
        <w:rPr/>
      </w:pPr>
      <w:bookmarkStart w:id="72"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2"/>
    </w:p>
    <w:p>
      <w:pPr>
        <w:pStyle w:val="Style26"/>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4"/>
        <w:rPr/>
      </w:pPr>
      <w:bookmarkStart w:id="73" w:name="_Toc186224281"/>
      <w:bookmarkStart w:id="74" w:name="_Ref125361210"/>
      <w:r>
        <w:rPr/>
        <w:t>Требования к Участникам</w:t>
      </w:r>
      <w:bookmarkEnd w:id="73"/>
      <w:bookmarkEnd w:id="74"/>
    </w:p>
    <w:p>
      <w:pPr>
        <w:pStyle w:val="Style25"/>
        <w:rPr/>
      </w:pPr>
      <w:bookmarkStart w:id="75" w:name="_Toc186224282"/>
      <w:bookmarkStart w:id="76" w:name="_Ref127524530"/>
      <w:r>
        <w:rPr/>
        <w:t>Общие требования к Участникам</w:t>
      </w:r>
      <w:bookmarkEnd w:id="75"/>
      <w:bookmarkEnd w:id="76"/>
    </w:p>
    <w:p>
      <w:pPr>
        <w:pStyle w:val="Style26"/>
        <w:rPr/>
      </w:pPr>
      <w:bookmarkStart w:id="77"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7"/>
    </w:p>
    <w:p>
      <w:pPr>
        <w:pStyle w:val="Style26"/>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6"/>
        <w:rPr/>
      </w:pPr>
      <w:r>
        <w:rPr/>
        <w:t xml:space="preserve">Требования к Участникам установлены с учетом предмета договора, </w:t>
      </w:r>
      <w:hyperlink w:anchor="Прил01_ТехТребования">
        <w:r>
          <w:rPr>
            <w:rStyle w:val="Style14"/>
          </w:rPr>
          <w:t>Технических требований (Приложение № 1)</w:t>
        </w:r>
      </w:hyperlink>
      <w:r>
        <w:rPr/>
        <w:t xml:space="preserve"> и </w:t>
      </w:r>
      <w:hyperlink w:anchor="Прил02_ПроектДоговора">
        <w:r>
          <w:rPr>
            <w:rStyle w:val="Style14"/>
          </w:rPr>
          <w:t>Проекта договора (Приложение № 2)</w:t>
        </w:r>
      </w:hyperlink>
      <w:r>
        <w:rPr/>
        <w:t>.</w:t>
      </w:r>
    </w:p>
    <w:p>
      <w:pPr>
        <w:pStyle w:val="Style26"/>
        <w:keepNext w:val="true"/>
        <w:rPr/>
      </w:pPr>
      <w:r>
        <w:rPr/>
        <w:t>Установлены следующие требования к Участникам, которые приведены в </w:t>
      </w:r>
      <w:hyperlink w:anchor="Прил03_ТребованияУчастникам">
        <w:r>
          <w:rPr>
            <w:rStyle w:val="Style14"/>
          </w:rPr>
          <w:t>Приложении № 3</w:t>
        </w:r>
      </w:hyperlink>
      <w:r>
        <w:rPr/>
        <w:t>:</w:t>
      </w:r>
    </w:p>
    <w:p>
      <w:pPr>
        <w:pStyle w:val="Style27"/>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7"/>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7"/>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6"/>
        <w:keepNext w:val="true"/>
        <w:rPr/>
      </w:pPr>
      <w:r>
        <w:rPr/>
        <w:t>В рамках требований к Участникам могут быть установлены дополнительные требования:</w:t>
      </w:r>
    </w:p>
    <w:p>
      <w:pPr>
        <w:pStyle w:val="Style27"/>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7"/>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6"/>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4"/>
          </w:rPr>
          <w:t>Требованиях к Участникам (Приложение № 3)</w:t>
        </w:r>
      </w:hyperlink>
      <w:r>
        <w:rPr/>
        <w:t>, если иное не установлено в Документации о закупке.</w:t>
      </w:r>
    </w:p>
    <w:p>
      <w:pPr>
        <w:pStyle w:val="Style25"/>
        <w:rPr/>
      </w:pPr>
      <w:bookmarkStart w:id="78" w:name="_Ref125361969"/>
      <w:bookmarkStart w:id="79" w:name="_Ref125361976"/>
      <w:bookmarkStart w:id="80" w:name="_Toc186224283"/>
      <w:bookmarkStart w:id="81" w:name="_Ref130308255"/>
      <w:bookmarkStart w:id="82" w:name="_Ref130308203"/>
      <w:bookmarkStart w:id="83" w:name="_Ref130308111"/>
      <w:bookmarkStart w:id="84" w:name="_Ref130308062"/>
      <w:bookmarkStart w:id="85" w:name="_Ref130305355"/>
      <w:r>
        <w:rPr/>
        <w:t>Коллективные участники</w:t>
      </w:r>
      <w:bookmarkEnd w:id="78"/>
      <w:bookmarkEnd w:id="79"/>
      <w:bookmarkEnd w:id="80"/>
      <w:bookmarkEnd w:id="81"/>
      <w:bookmarkEnd w:id="82"/>
      <w:bookmarkEnd w:id="83"/>
      <w:bookmarkEnd w:id="84"/>
      <w:bookmarkEnd w:id="85"/>
    </w:p>
    <w:p>
      <w:pPr>
        <w:pStyle w:val="Style26"/>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6"/>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bookmarkStart w:id="86"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86"/>
    </w:p>
    <w:p>
      <w:pPr>
        <w:pStyle w:val="Style27"/>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7"/>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7"/>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7"/>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7"/>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7"/>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6"/>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4"/>
          </w:rPr>
          <w:t>Приложение № 4</w:t>
        </w:r>
      </w:hyperlink>
      <w:r>
        <w:rPr/>
        <w:t>) на то, что он представляет интересы Коллективного участника.</w:t>
      </w:r>
    </w:p>
    <w:p>
      <w:pPr>
        <w:pStyle w:val="Style26"/>
        <w:rPr/>
      </w:pPr>
      <w:bookmarkStart w:id="87"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87"/>
    </w:p>
    <w:p>
      <w:pPr>
        <w:pStyle w:val="Style26"/>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6"/>
        <w:rPr/>
      </w:pPr>
      <w:bookmarkStart w:id="88"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89" w:name="_Hlk132708323"/>
      <w:r>
        <w:rPr/>
        <w:t>наличие требуемого опыта, обеспеченность материально-техническими ресурсами и кадровыми ресурсами</w:t>
      </w:r>
      <w:bookmarkEnd w:id="89"/>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88"/>
    </w:p>
    <w:p>
      <w:pPr>
        <w:pStyle w:val="Style26"/>
        <w:keepNext w:val="true"/>
        <w:rPr/>
      </w:pPr>
      <w:bookmarkStart w:id="90"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0"/>
    </w:p>
    <w:p>
      <w:pPr>
        <w:pStyle w:val="Style27"/>
        <w:rPr/>
      </w:pPr>
      <w:r>
        <w:rPr/>
        <w:t>принимать участие в этой же закупке самостоятельно;</w:t>
      </w:r>
    </w:p>
    <w:p>
      <w:pPr>
        <w:pStyle w:val="Style27"/>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30"/>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6"/>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4"/>
          </w:rPr>
          <w:t>Приложение № 3</w:t>
        </w:r>
      </w:hyperlink>
      <w:r>
        <w:rPr>
          <w:rStyle w:val="Style14"/>
        </w:rPr>
        <w:t>)</w:t>
      </w:r>
      <w:r>
        <w:rPr/>
        <w:t>, а также при несоблюдении вышеуказанных норм настоящего подраздела, заявка такого Коллективного участника отклоняется.</w:t>
      </w:r>
    </w:p>
    <w:p>
      <w:pPr>
        <w:pStyle w:val="Style26"/>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6"/>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5"/>
        <w:rPr/>
      </w:pPr>
      <w:bookmarkStart w:id="91" w:name="_Toc186224284"/>
      <w:bookmarkStart w:id="92" w:name="_Ref125361702"/>
      <w:r>
        <w:rPr/>
        <w:t>Генеральные подрядчики</w:t>
      </w:r>
      <w:bookmarkEnd w:id="91"/>
      <w:bookmarkEnd w:id="92"/>
    </w:p>
    <w:p>
      <w:pPr>
        <w:pStyle w:val="Style26"/>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6"/>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r>
        <w:rPr/>
        <w:t>Генеральный подрядчик:</w:t>
      </w:r>
    </w:p>
    <w:p>
      <w:pPr>
        <w:pStyle w:val="Style27"/>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7"/>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keepNext w:val="true"/>
        <w:rPr/>
      </w:pPr>
      <w:r>
        <w:rPr/>
        <w:t>Каждый субподрядчик из привлекаемых Генеральным подрядчиком должен отвечать:</w:t>
      </w:r>
    </w:p>
    <w:p>
      <w:pPr>
        <w:pStyle w:val="Style27"/>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7"/>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30"/>
        <w:ind w:left="1134" w:hanging="0"/>
        <w:rPr/>
      </w:pPr>
      <w:bookmarkStart w:id="93"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3"/>
      <w:r>
        <w:rPr/>
        <w:t>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4"/>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6"/>
        <w:rPr/>
      </w:pPr>
      <w:bookmarkStart w:id="94"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4"/>
    </w:p>
    <w:p>
      <w:pPr>
        <w:sectPr>
          <w:headerReference w:type="default" r:id="rId3"/>
          <w:footerReference w:type="default" r:id="rId4"/>
          <w:footerReference w:type="first" r:id="rId5"/>
          <w:footnotePr>
            <w:numFmt w:val="decimal"/>
          </w:footnotePr>
          <w:type w:val="nextPage"/>
          <w:pgSz w:w="11906" w:h="16838"/>
          <w:pgMar w:left="1134" w:right="850" w:gutter="0" w:header="567" w:top="851" w:footer="567" w:bottom="851"/>
          <w:pgNumType w:fmt="decimal"/>
          <w:formProt w:val="false"/>
          <w:textDirection w:val="lrTb"/>
          <w:docGrid w:type="default" w:linePitch="360" w:charSpace="4294963199"/>
        </w:sectPr>
        <w:pStyle w:val="Style26"/>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4"/>
        <w:rPr/>
      </w:pPr>
      <w:bookmarkStart w:id="95" w:name="_Ref125367974"/>
      <w:bookmarkStart w:id="96" w:name="_Toc186224285"/>
      <w:bookmarkStart w:id="97" w:name="_Ref125367107"/>
      <w:bookmarkStart w:id="98" w:name="_Ref125361211"/>
      <w:bookmarkStart w:id="99" w:name="_Ref125367098"/>
      <w:r>
        <w:rPr/>
        <w:t>Порядок проведения закупки</w:t>
      </w:r>
      <w:bookmarkEnd w:id="95"/>
      <w:bookmarkEnd w:id="96"/>
      <w:bookmarkEnd w:id="97"/>
      <w:bookmarkEnd w:id="98"/>
      <w:bookmarkEnd w:id="99"/>
    </w:p>
    <w:p>
      <w:pPr>
        <w:pStyle w:val="Style25"/>
        <w:rPr/>
      </w:pPr>
      <w:bookmarkStart w:id="100" w:name="_Ref126141932"/>
      <w:bookmarkStart w:id="101" w:name="_Toc186224286"/>
      <w:r>
        <w:rPr/>
        <w:t>Общий порядок проведения закупки</w:t>
      </w:r>
      <w:bookmarkEnd w:id="100"/>
      <w:bookmarkEnd w:id="101"/>
    </w:p>
    <w:p>
      <w:pPr>
        <w:pStyle w:val="Style26"/>
        <w:keepNext w:val="true"/>
        <w:spacing w:before="120" w:after="120"/>
        <w:rPr/>
      </w:pPr>
      <w:r>
        <w:rPr/>
        <w:t>Закупка проводится в следующем порядке:</w:t>
      </w:r>
    </w:p>
    <w:tbl>
      <w:tblPr>
        <w:tblStyle w:val="afff8"/>
        <w:tblW w:w="14003" w:type="dxa"/>
        <w:jc w:val="left"/>
        <w:tblInd w:w="1129" w:type="dxa"/>
        <w:tblLayout w:type="fixed"/>
        <w:tblCellMar>
          <w:top w:w="0" w:type="dxa"/>
          <w:left w:w="0" w:type="dxa"/>
          <w:bottom w:w="0" w:type="dxa"/>
          <w:right w:w="5" w:type="dxa"/>
        </w:tblCellMar>
        <w:tblLook w:noVBand="1" w:val="04a0" w:noHBand="0" w:lastColumn="0" w:firstColumn="1" w:lastRow="0" w:firstRow="1"/>
      </w:tblPr>
      <w:tblGrid>
        <w:gridCol w:w="428"/>
        <w:gridCol w:w="2221"/>
        <w:gridCol w:w="1113"/>
        <w:gridCol w:w="1109"/>
        <w:gridCol w:w="2225"/>
        <w:gridCol w:w="2410"/>
        <w:gridCol w:w="2266"/>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30"/>
              <w:keepNext w:val="tru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30"/>
              <w:keepNext w:val="tru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66"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30" w:type="dxa"/>
            <w:vMerge w:val="continue"/>
            <w:tcBorders>
              <w:right w:val="nil"/>
            </w:tcBorders>
            <w:vAlign w:val="bottom"/>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66"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r>
      <w:tr>
        <w:trPr>
          <w:trHeight w:val="881" w:hRule="atLeast"/>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66"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8" w:type="dxa"/>
            <w:gridSpan w:val="5"/>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6" w:type="dxa"/>
            <w:vMerge w:val="continue"/>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2"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6" w:type="dxa"/>
            <w:gridSpan w:val="2"/>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6"/>
          <w:headerReference w:type="first" r:id="rId7"/>
          <w:footerReference w:type="default" r:id="rId8"/>
          <w:footerReference w:type="first" r:id="rId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4294963199"/>
        </w:sectPr>
      </w:pPr>
    </w:p>
    <w:p>
      <w:pPr>
        <w:pStyle w:val="Style25"/>
        <w:rPr/>
      </w:pPr>
      <w:bookmarkStart w:id="102" w:name="_Toc186224287"/>
      <w:bookmarkStart w:id="103" w:name="_Ref130286532"/>
      <w:r>
        <w:rPr/>
        <w:t>Официальное размещение Извещения и Документации о закупке</w:t>
      </w:r>
      <w:bookmarkEnd w:id="102"/>
      <w:bookmarkEnd w:id="103"/>
    </w:p>
    <w:p>
      <w:pPr>
        <w:pStyle w:val="Style26"/>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6"/>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6"/>
        <w:rPr/>
      </w:pPr>
      <w:bookmarkStart w:id="104" w:name="_Ref125362785"/>
      <w:r>
        <w:rPr/>
        <w:t>Порядок получения информации через ЭП определяется Регламентом ЭП, с использованием которой проводится закупка.</w:t>
      </w:r>
      <w:bookmarkEnd w:id="104"/>
    </w:p>
    <w:p>
      <w:pPr>
        <w:pStyle w:val="Style26"/>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5"/>
        <w:rPr/>
      </w:pPr>
      <w:bookmarkStart w:id="105" w:name="_Toc186224288"/>
      <w:bookmarkStart w:id="106" w:name="_Ref130394681"/>
      <w:bookmarkStart w:id="107" w:name="_Ref130281199"/>
      <w:r>
        <w:rPr/>
        <w:t>Подготовка заявки</w:t>
      </w:r>
      <w:bookmarkEnd w:id="105"/>
      <w:bookmarkEnd w:id="106"/>
      <w:bookmarkEnd w:id="107"/>
    </w:p>
    <w:p>
      <w:pPr>
        <w:pStyle w:val="Style26"/>
        <w:rPr/>
      </w:pPr>
      <w:r>
        <w:rPr/>
        <w:t>Участник должен подготовить заявку с учетом требований Документации о закупке.</w:t>
      </w:r>
    </w:p>
    <w:p>
      <w:pPr>
        <w:pStyle w:val="Style26"/>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6"/>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4"/>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4"/>
          </w:rPr>
          <w:t>Приложение № 4</w:t>
        </w:r>
      </w:hyperlink>
      <w:r>
        <w:rPr/>
        <w:t>.</w:t>
      </w:r>
    </w:p>
    <w:p>
      <w:pPr>
        <w:pStyle w:val="Style26"/>
        <w:rPr/>
      </w:pPr>
      <w:bookmarkStart w:id="108" w:name="_Ref125365866"/>
      <w:bookmarkStart w:id="109"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08"/>
      <w:bookmarkEnd w:id="109"/>
    </w:p>
    <w:p>
      <w:pPr>
        <w:pStyle w:val="Style26"/>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4"/>
          </w:rPr>
          <w:t>Приложение № 4</w:t>
        </w:r>
      </w:hyperlink>
      <w:r>
        <w:rPr/>
        <w:t>) может служить основанием для отклонения заявки.</w:t>
      </w:r>
    </w:p>
    <w:p>
      <w:pPr>
        <w:pStyle w:val="Style26"/>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6"/>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6"/>
        <w:rPr/>
      </w:pPr>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6"/>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4"/>
          </w:rPr>
          <w:t>Техническими требованиями (Приложение № 1)</w:t>
        </w:r>
      </w:hyperlink>
      <w:r>
        <w:rPr/>
        <w:t xml:space="preserve"> и </w:t>
      </w:r>
      <w:hyperlink w:anchor="Прил02_ПроектДоговора">
        <w:r>
          <w:rPr>
            <w:rStyle w:val="Style14"/>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p>
    <w:p>
      <w:pPr>
        <w:pStyle w:val="Style26"/>
        <w:rPr/>
      </w:pPr>
      <w:bookmarkStart w:id="110" w:name="_Ref130379863"/>
      <w:bookmarkStart w:id="111" w:name="_Ref125370708"/>
      <w:bookmarkStart w:id="112" w:name="_Ref125370700"/>
      <w:bookmarkEnd w:id="111"/>
      <w:bookmarkEnd w:id="112"/>
      <w:r>
        <w:rPr/>
        <w:t xml:space="preserve">Участник в составе заявки предоставляет по установленной форме Технического предложения (форма 4; </w:t>
      </w:r>
      <w:hyperlink w:anchor="Прил04_ФормыЗаявки">
        <w:r>
          <w:rPr>
            <w:rStyle w:val="Style14"/>
          </w:rPr>
          <w:t>Приложение № 4</w:t>
        </w:r>
      </w:hyperlink>
      <w:r>
        <w:rP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w:t>
      </w:r>
      <w:bookmarkEnd w:id="110"/>
    </w:p>
    <w:p>
      <w:pPr>
        <w:pStyle w:val="Style26"/>
        <w:rPr/>
      </w:pPr>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4"/>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pPr>
        <w:pStyle w:val="Style26"/>
        <w:rPr/>
      </w:pPr>
      <w:r>
        <w:rPr/>
        <w:t xml:space="preserve">Если в </w:t>
      </w:r>
      <w:hyperlink w:anchor="Прил01_ТехТребования">
        <w:r>
          <w:rPr>
            <w:rStyle w:val="Style14"/>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4"/>
          </w:rPr>
          <w:t>Технических требованиях (Приложение № 1)</w:t>
        </w:r>
      </w:hyperlink>
      <w:r>
        <w:rPr/>
        <w:t>.</w:t>
      </w:r>
    </w:p>
    <w:p>
      <w:pPr>
        <w:pStyle w:val="Style26"/>
        <w:rPr/>
      </w:pPr>
      <w:bookmarkStart w:id="113"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4"/>
          </w:rPr>
          <w:t>Техническими требованиями (Приложение № 1)</w:t>
        </w:r>
      </w:hyperlink>
      <w:r>
        <w:rPr/>
        <w:t>.</w:t>
      </w:r>
      <w:bookmarkEnd w:id="113"/>
    </w:p>
    <w:p>
      <w:pPr>
        <w:pStyle w:val="Style26"/>
        <w:rPr/>
      </w:pPr>
      <w:bookmarkStart w:id="114"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4.3.10</w:t>
      </w:r>
      <w:r>
        <w:rPr/>
        <w:fldChar w:fldCharType="end"/>
      </w:r>
      <w:r>
        <w:rPr/>
        <w:t xml:space="preserve"> – </w:t>
      </w:r>
      <w:r>
        <w:rPr/>
        <w:fldChar w:fldCharType="begin"/>
      </w:r>
      <w:r>
        <w:rPr/>
        <w:instrText xml:space="preserve"> REF _Ref130379876 \r \h </w:instrText>
      </w:r>
      <w:r>
        <w:rPr/>
        <w:fldChar w:fldCharType="separate"/>
      </w:r>
      <w:r>
        <w:rPr/>
        <w:t>4.3.13</w:t>
      </w:r>
      <w:r>
        <w:rPr/>
        <w:fldChar w:fldCharType="end"/>
      </w:r>
      <w:r>
        <w:rPr/>
        <w:t>) Организатор вправе отклонить заявку такого Участника от дальнейшего участия в закупке.</w:t>
      </w:r>
      <w:bookmarkEnd w:id="114"/>
    </w:p>
    <w:p>
      <w:pPr>
        <w:pStyle w:val="Style26"/>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7"/>
        <w:rPr/>
      </w:pPr>
      <w:r>
        <w:rPr/>
        <w:t>внутренние противоречия между различными частями и (или) документами заявки, в том числе по тексту внутри одного документа;</w:t>
      </w:r>
    </w:p>
    <w:p>
      <w:pPr>
        <w:pStyle w:val="Style27"/>
        <w:rPr/>
      </w:pPr>
      <w:bookmarkStart w:id="115" w:name="_Ref125714384"/>
      <w:bookmarkStart w:id="116" w:name="_Ref125370398"/>
      <w:r>
        <w:rPr/>
        <w:t>противоречия между документами заявки и сведениями, указанными Участником в структурированных формах на ЭП.</w:t>
      </w:r>
      <w:bookmarkEnd w:id="115"/>
      <w:bookmarkEnd w:id="116"/>
    </w:p>
    <w:p>
      <w:pPr>
        <w:pStyle w:val="Style26"/>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7"/>
        <w:rPr/>
      </w:pPr>
      <w:r>
        <w:rPr/>
        <w:t>полномочий таких органов / лиц на оформление этих документов;</w:t>
      </w:r>
    </w:p>
    <w:p>
      <w:pPr>
        <w:pStyle w:val="Style27"/>
        <w:rPr/>
      </w:pPr>
      <w:r>
        <w:rPr/>
        <w:t>формы, объема и содержания этих документов.</w:t>
      </w:r>
    </w:p>
    <w:p>
      <w:pPr>
        <w:pStyle w:val="Style26"/>
        <w:keepNext w:val="true"/>
        <w:rPr/>
      </w:pPr>
      <w:r>
        <w:rPr/>
        <w:t>Участник должен подготовить заявку с соблюдением следующих условий:</w:t>
      </w:r>
    </w:p>
    <w:p>
      <w:pPr>
        <w:pStyle w:val="Style27"/>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7"/>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7"/>
        <w:rPr/>
      </w:pPr>
      <w:r>
        <w:rPr/>
        <w:t>все файлы не должны иметь защиты от их открытия, изменения, копирования их содержимого или их печати;</w:t>
      </w:r>
    </w:p>
    <w:p>
      <w:pPr>
        <w:pStyle w:val="Style27"/>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7"/>
        <w:rPr/>
      </w:pPr>
      <w:r>
        <w:rPr/>
        <w:t>если какой-либо документ представлен в нечитаемом виде, данный документ считается непредставленным.</w:t>
      </w:r>
    </w:p>
    <w:p>
      <w:pPr>
        <w:pStyle w:val="Style26"/>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5"/>
        <w:rPr/>
      </w:pPr>
      <w:bookmarkStart w:id="117" w:name="_Ref125362071"/>
      <w:bookmarkStart w:id="118" w:name="_Ref125361260"/>
      <w:bookmarkStart w:id="119" w:name="_Ref125366672"/>
      <w:bookmarkStart w:id="120" w:name="_Toc186224289"/>
      <w:bookmarkStart w:id="121" w:name="_Ref130394802"/>
      <w:bookmarkStart w:id="122" w:name="_Ref130394785"/>
      <w:bookmarkStart w:id="123" w:name="_Ref130394205"/>
      <w:r>
        <w:rPr/>
        <w:t>Разъяснение Документации о закупке</w:t>
      </w:r>
      <w:bookmarkEnd w:id="117"/>
      <w:bookmarkEnd w:id="118"/>
      <w:bookmarkEnd w:id="119"/>
      <w:bookmarkEnd w:id="120"/>
      <w:bookmarkEnd w:id="121"/>
      <w:bookmarkEnd w:id="122"/>
      <w:bookmarkEnd w:id="123"/>
    </w:p>
    <w:p>
      <w:pPr>
        <w:pStyle w:val="Style26"/>
        <w:rPr/>
      </w:pPr>
      <w:r>
        <w:rPr/>
        <w:t>Участники вправе обратиться к Организатору за разъяснениями Документации о закупке.</w:t>
      </w:r>
    </w:p>
    <w:p>
      <w:pPr>
        <w:pStyle w:val="Style26"/>
        <w:rPr/>
      </w:pPr>
      <w:r>
        <w:rPr/>
        <w:t>Запросы подаются в соответствии с Регламентами и инструкциями Оператора ЭП, опубликованными на сайте соответствующей ЭП.</w:t>
      </w:r>
    </w:p>
    <w:p>
      <w:pPr>
        <w:pStyle w:val="Style26"/>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6"/>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6"/>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6"/>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4"/>
          </w:rPr>
          <w:t>Проекта договора (Приложения № 2)</w:t>
        </w:r>
      </w:hyperlink>
      <w:r>
        <w:rPr>
          <w:rStyle w:val="Style14"/>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6"/>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5"/>
        <w:rPr/>
      </w:pPr>
      <w:bookmarkStart w:id="124" w:name="_Toc186224290"/>
      <w:bookmarkStart w:id="125" w:name="_Ref125364404"/>
      <w:bookmarkStart w:id="126" w:name="_Ref125363891"/>
      <w:bookmarkStart w:id="127" w:name="_Ref125362076"/>
      <w:r>
        <w:rPr/>
        <w:t>Изменения Извещения и (или) Документации о закупке</w:t>
      </w:r>
      <w:bookmarkEnd w:id="124"/>
      <w:bookmarkEnd w:id="125"/>
      <w:bookmarkEnd w:id="126"/>
      <w:bookmarkEnd w:id="127"/>
    </w:p>
    <w:p>
      <w:pPr>
        <w:pStyle w:val="Style26"/>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6"/>
        <w:rPr/>
      </w:pPr>
      <w:bookmarkStart w:id="128"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28"/>
    </w:p>
    <w:p>
      <w:pPr>
        <w:pStyle w:val="Style26"/>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6"/>
        <w:rPr/>
      </w:pPr>
      <w:bookmarkStart w:id="129"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29"/>
      <w:r>
        <w:rPr/>
        <w:t xml:space="preserve"> 4 (четырех) рабочих дней.</w:t>
      </w:r>
    </w:p>
    <w:p>
      <w:pPr>
        <w:pStyle w:val="Style26"/>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5"/>
        <w:rPr/>
      </w:pPr>
      <w:bookmarkStart w:id="130" w:name="_Toc186224291"/>
      <w:bookmarkStart w:id="131" w:name="_Ref125362119"/>
      <w:r>
        <w:rPr/>
        <w:t>Подача заявок и их прием</w:t>
      </w:r>
      <w:bookmarkEnd w:id="130"/>
      <w:bookmarkEnd w:id="131"/>
    </w:p>
    <w:p>
      <w:pPr>
        <w:pStyle w:val="Style26"/>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6"/>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6"/>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6"/>
        <w:rPr/>
      </w:pPr>
      <w:r>
        <w:rPr/>
        <w:t>Заявка должна быть подписана электронной подписью лица, которое является уполномоченным представителем Участника.</w:t>
      </w:r>
    </w:p>
    <w:p>
      <w:pPr>
        <w:pStyle w:val="Style26"/>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6"/>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6"/>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5"/>
        <w:rPr/>
      </w:pPr>
      <w:bookmarkStart w:id="132" w:name="_Ref125362130"/>
      <w:bookmarkStart w:id="133" w:name="_Toc186224292"/>
      <w:bookmarkStart w:id="134" w:name="_Ref125363819"/>
      <w:bookmarkStart w:id="135" w:name="_Ref125365136"/>
      <w:bookmarkStart w:id="136" w:name="_Ref125362192"/>
      <w:r>
        <w:rPr/>
        <w:t>Изменение и отзыв заявок</w:t>
      </w:r>
      <w:bookmarkEnd w:id="132"/>
      <w:bookmarkEnd w:id="133"/>
      <w:bookmarkEnd w:id="134"/>
      <w:bookmarkEnd w:id="135"/>
      <w:bookmarkEnd w:id="136"/>
    </w:p>
    <w:p>
      <w:pPr>
        <w:pStyle w:val="Style26"/>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6"/>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6"/>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6"/>
        <w:rPr/>
      </w:pPr>
      <w:r>
        <w:rPr/>
        <w:t>Изменения и отзыв заявки осуществляется посредством функционала ЭП (подробный порядок определяется Регламентом ЭП).</w:t>
      </w:r>
    </w:p>
    <w:p>
      <w:pPr>
        <w:pStyle w:val="Style25"/>
        <w:rPr/>
      </w:pPr>
      <w:bookmarkStart w:id="137" w:name="_Toc186224293"/>
      <w:bookmarkStart w:id="138" w:name="_Ref130221619"/>
      <w:r>
        <w:rPr/>
        <w:t>Открытие доступа к заявкам</w:t>
      </w:r>
      <w:bookmarkEnd w:id="137"/>
      <w:bookmarkEnd w:id="138"/>
    </w:p>
    <w:p>
      <w:pPr>
        <w:pStyle w:val="Style26"/>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Оператор ЭП предоставляет Организатору доступ одновременно ко всем поданным заявкам в полном объеме.</w:t>
      </w:r>
    </w:p>
    <w:p>
      <w:pPr>
        <w:pStyle w:val="Style26"/>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rPr/>
      </w:pPr>
      <w:r>
        <w:rPr/>
        <w:t>стоимости заявок (или иное указание на общую стоимость заявки);</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30"/>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6"/>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6"/>
        <w:rPr/>
      </w:pPr>
      <w:r>
        <w:rPr/>
        <w:t>Порядок получения Участниками информации о поступивших заявках через ЭП определяется Регламентом ЭП.</w:t>
      </w:r>
    </w:p>
    <w:p>
      <w:pPr>
        <w:pStyle w:val="Style25"/>
        <w:rPr/>
      </w:pPr>
      <w:bookmarkStart w:id="139" w:name="_Toc186224294"/>
      <w:bookmarkStart w:id="140" w:name="_Ref135749133"/>
      <w:bookmarkStart w:id="141" w:name="_Ref125366689"/>
      <w:bookmarkStart w:id="142" w:name="_Ref125362364"/>
      <w:bookmarkStart w:id="143" w:name="_Ref125364340"/>
      <w:bookmarkEnd w:id="143"/>
      <w:r>
        <w:rPr/>
        <w:t>Рассмотрение заявок (отборочная стадия)</w:t>
      </w:r>
      <w:bookmarkEnd w:id="141"/>
      <w:bookmarkEnd w:id="142"/>
      <w:r>
        <w:rPr/>
        <w:t>, в том числе (при необходимости) проведение аккредитации</w:t>
      </w:r>
      <w:bookmarkEnd w:id="139"/>
      <w:bookmarkEnd w:id="140"/>
    </w:p>
    <w:p>
      <w:pPr>
        <w:pStyle w:val="Style26"/>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6"/>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4"/>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6"/>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6"/>
        <w:keepNext w:val="true"/>
        <w:rPr/>
      </w:pPr>
      <w:r>
        <w:rPr/>
        <w:t>При выявлении в рамках рассмотрения заявок наличия арифметических ошибок, в том числе:</w:t>
      </w:r>
    </w:p>
    <w:p>
      <w:pPr>
        <w:pStyle w:val="Style27"/>
        <w:rPr/>
      </w:pPr>
      <w:r>
        <w:rPr/>
        <w:t>в результате суммирования единичных расценок;</w:t>
      </w:r>
    </w:p>
    <w:p>
      <w:pPr>
        <w:pStyle w:val="Style27"/>
        <w:rPr/>
      </w:pPr>
      <w:r>
        <w:rPr/>
        <w:t>в итогах умножения единичных расценок на объем продукции;</w:t>
      </w:r>
    </w:p>
    <w:p>
      <w:pPr>
        <w:pStyle w:val="Style27"/>
        <w:rPr/>
      </w:pPr>
      <w:r>
        <w:rPr/>
        <w:t>в вычислении суммы НДС и итоговой стоимости заявки с учетом НДС;</w:t>
      </w:r>
    </w:p>
    <w:p>
      <w:pPr>
        <w:pStyle w:val="Style27"/>
        <w:rPr/>
      </w:pPr>
      <w:r>
        <w:rPr/>
        <w:t>иных внутренних противоречий в составе заявки,</w:t>
      </w:r>
    </w:p>
    <w:p>
      <w:pPr>
        <w:pStyle w:val="Style30"/>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6"/>
        <w:keepNext w:val="true"/>
        <w:rPr/>
      </w:pPr>
      <w:bookmarkStart w:id="144"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44"/>
    </w:p>
    <w:p>
      <w:pPr>
        <w:pStyle w:val="Style27"/>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8"/>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8"/>
        <w:rPr/>
      </w:pPr>
      <w:r>
        <w:rPr/>
        <w:t>внутренних противоречий между различными частями и (или) документами заявки, в том числе по тексту внутри одного документа;</w:t>
      </w:r>
    </w:p>
    <w:p>
      <w:pPr>
        <w:pStyle w:val="Style28"/>
        <w:rPr/>
      </w:pPr>
      <w:r>
        <w:rPr/>
        <w:t>противоречий между документами заявки и сведениями, указанными Участником в структурированных формах на ЭП;</w:t>
      </w:r>
    </w:p>
    <w:p>
      <w:pPr>
        <w:pStyle w:val="Style27"/>
        <w:rPr/>
      </w:pPr>
      <w:r>
        <w:rPr/>
        <w:t>несоответствие Участников требованиям Документации о закупке;</w:t>
      </w:r>
    </w:p>
    <w:p>
      <w:pPr>
        <w:pStyle w:val="Style27"/>
        <w:rPr/>
      </w:pPr>
      <w:r>
        <w:rPr/>
        <w:t>несоответствие привлекаемых субподрядчиков (соисполнителей) требованиям Документации о закупке;</w:t>
      </w:r>
    </w:p>
    <w:p>
      <w:pPr>
        <w:pStyle w:val="Style27"/>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7"/>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7"/>
        <w:rPr/>
      </w:pPr>
      <w:r>
        <w:rPr/>
        <w:t>несоответствие размера, формы, условий и порядка предоставления обеспечения заявки.</w:t>
      </w:r>
    </w:p>
    <w:p>
      <w:pPr>
        <w:pStyle w:val="Style26"/>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6"/>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keepNext w:val="true"/>
        <w:rPr/>
      </w:pPr>
      <w:r>
        <w:rPr/>
        <w:t>результаты рассмотрения заявок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7"/>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8"/>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8"/>
        <w:rPr/>
      </w:pPr>
      <w:r>
        <w:rPr/>
        <w:t>порядкового номера каждой допущенной заявки в предварительной ранжировке заявок, включая стоимость заявки (цену Договора);</w:t>
      </w:r>
    </w:p>
    <w:p>
      <w:pPr>
        <w:pStyle w:val="Style27"/>
        <w:rPr/>
      </w:pPr>
      <w:bookmarkStart w:id="145" w:name="_Ref125551524"/>
      <w:r>
        <w:rPr/>
        <w:t>решение о проведении или непроведении переторжки,</w:t>
      </w:r>
      <w:bookmarkEnd w:id="145"/>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6"/>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6"/>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5"/>
        <w:rPr/>
      </w:pPr>
      <w:bookmarkStart w:id="146" w:name="_Toc186224295"/>
      <w:bookmarkStart w:id="147" w:name="_Ref125362610"/>
      <w:bookmarkStart w:id="148" w:name="_Ref125362464"/>
      <w:bookmarkStart w:id="149" w:name="_Ref125362425"/>
      <w:bookmarkStart w:id="150" w:name="_Ref125362381"/>
      <w:r>
        <w:rPr/>
        <w:t>Дополнительные запросы разъяснений заявок</w:t>
      </w:r>
      <w:bookmarkEnd w:id="146"/>
      <w:bookmarkEnd w:id="147"/>
      <w:bookmarkEnd w:id="148"/>
      <w:bookmarkEnd w:id="149"/>
      <w:bookmarkEnd w:id="150"/>
    </w:p>
    <w:p>
      <w:pPr>
        <w:pStyle w:val="Style26"/>
        <w:rPr/>
      </w:pPr>
      <w:bookmarkStart w:id="151"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1"/>
    </w:p>
    <w:p>
      <w:pPr>
        <w:pStyle w:val="Style27"/>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8"/>
        <w:rPr/>
      </w:pPr>
      <w:r>
        <w:rPr/>
        <w:t>соответствия Участника требованиям Документации о закупке;</w:t>
      </w:r>
    </w:p>
    <w:p>
      <w:pPr>
        <w:pStyle w:val="Style28"/>
        <w:rPr/>
      </w:pPr>
      <w:r>
        <w:rPr/>
        <w:t>наличия соответствующих полномочий на подписание заявки от имени Участника у лица, подписавшего заявку;</w:t>
      </w:r>
    </w:p>
    <w:p>
      <w:pPr>
        <w:pStyle w:val="Style28"/>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7"/>
        <w:rPr/>
      </w:pPr>
      <w:bookmarkStart w:id="152"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7"/>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52"/>
    </w:p>
    <w:p>
      <w:pPr>
        <w:pStyle w:val="Style26"/>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6"/>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6"/>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6"/>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6"/>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6"/>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6"/>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5"/>
        <w:rPr/>
      </w:pPr>
      <w:bookmarkStart w:id="153" w:name="_Ref125362430"/>
      <w:bookmarkStart w:id="154" w:name="_Ref125362537"/>
      <w:bookmarkStart w:id="155" w:name="_Toc186224296"/>
      <w:bookmarkStart w:id="156" w:name="_Ref127536359"/>
      <w:r>
        <w:rPr/>
        <w:t>Переторжка</w:t>
      </w:r>
      <w:bookmarkEnd w:id="153"/>
      <w:bookmarkEnd w:id="154"/>
      <w:bookmarkEnd w:id="155"/>
      <w:bookmarkEnd w:id="156"/>
    </w:p>
    <w:p>
      <w:pPr>
        <w:pStyle w:val="Style26"/>
        <w:rPr/>
      </w:pPr>
      <w:r>
        <w:rPr/>
        <w:t>Нормы настоящего подраздела применяются в случае проведения процедуры переторжки.</w:t>
      </w:r>
    </w:p>
    <w:p>
      <w:pPr>
        <w:pStyle w:val="Style26"/>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6"/>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7"/>
        <w:rPr/>
      </w:pPr>
      <w:r>
        <w:rPr/>
        <w:t>стоимость заявки (цена Договора) / цена за единицу продукции;</w:t>
      </w:r>
    </w:p>
    <w:p>
      <w:pPr>
        <w:pStyle w:val="Style27"/>
        <w:rPr/>
      </w:pPr>
      <w:r>
        <w:rPr/>
        <w:t>сроки поставки продукции;</w:t>
      </w:r>
    </w:p>
    <w:p>
      <w:pPr>
        <w:pStyle w:val="Style27"/>
        <w:rPr/>
      </w:pPr>
      <w:r>
        <w:rPr/>
        <w:t>условия оплаты;</w:t>
      </w:r>
    </w:p>
    <w:p>
      <w:pPr>
        <w:pStyle w:val="Style27"/>
        <w:rPr/>
      </w:pPr>
      <w:r>
        <w:rPr/>
        <w:t>иные условия, которые являются критериями оценки заявок.</w:t>
      </w:r>
    </w:p>
    <w:p>
      <w:pPr>
        <w:pStyle w:val="Style30"/>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6"/>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6"/>
        <w:rPr/>
      </w:pPr>
      <w:r>
        <w:rPr/>
        <w:t>В переторжке может принять участие любой Участник, заявка которого не была отклонена по результатам рассмотрения заявок.</w:t>
      </w:r>
    </w:p>
    <w:p>
      <w:pPr>
        <w:pStyle w:val="Style26"/>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4"/>
          </w:rPr>
          <w:t>Приложение № 4</w:t>
        </w:r>
      </w:hyperlink>
      <w:r>
        <w:rPr/>
        <w:t>).</w:t>
      </w:r>
    </w:p>
    <w:p>
      <w:pPr>
        <w:pStyle w:val="Style26"/>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6"/>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6"/>
        <w:rPr/>
      </w:pPr>
      <w:r>
        <w:rPr/>
        <w:t>Участник не вправе изменять и (или) отзывать поданные предложения на переторжку после окончания ее проведения.</w:t>
      </w:r>
    </w:p>
    <w:p>
      <w:pPr>
        <w:pStyle w:val="Style26"/>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6"/>
        <w:rPr/>
      </w:pPr>
      <w:r>
        <w:rPr/>
        <w:t>Процедура переторжки проводится на ЭП в порядке, предусмотренном настоящим подразделом и Регламентом ЭП.</w:t>
      </w:r>
    </w:p>
    <w:p>
      <w:pPr>
        <w:pStyle w:val="Style26"/>
        <w:keepNext w:val="true"/>
        <w:rPr/>
      </w:pPr>
      <w:r>
        <w:rPr/>
        <w:t>В зависимости от правил, предусмотренных Регламентом ЭП, переторжка может проводиться:</w:t>
      </w:r>
    </w:p>
    <w:p>
      <w:pPr>
        <w:pStyle w:val="Style27"/>
        <w:rPr/>
      </w:pPr>
      <w:r>
        <w:rPr/>
        <w:t>в заочной форме путем однократной подачи предложения на переторжку к установленному сроку;</w:t>
      </w:r>
    </w:p>
    <w:p>
      <w:pPr>
        <w:pStyle w:val="Style27"/>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6"/>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6"/>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6"/>
        <w:rPr/>
      </w:pPr>
      <w:bookmarkStart w:id="157"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57"/>
    </w:p>
    <w:p>
      <w:pPr>
        <w:pStyle w:val="Style26"/>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6"/>
        <w:keepNext w:val="true"/>
        <w:rPr/>
      </w:pPr>
      <w:bookmarkStart w:id="158" w:name="_Ref136244167"/>
      <w:r>
        <w:rPr/>
        <w:t>Документы заявки, подлежащие корректировке по результатам переторжки:</w:t>
      </w:r>
      <w:bookmarkEnd w:id="158"/>
    </w:p>
    <w:p>
      <w:pPr>
        <w:pStyle w:val="Style27"/>
        <w:rPr/>
      </w:pPr>
      <w:r>
        <w:rPr/>
        <w:t>Письмо о подаче оферты (форма 2) (</w:t>
      </w:r>
      <w:hyperlink w:anchor="Прил04_ФормыЗаявки">
        <w:r>
          <w:rPr>
            <w:rStyle w:val="Style14"/>
          </w:rPr>
          <w:t>Приложение № 4</w:t>
        </w:r>
      </w:hyperlink>
      <w:r>
        <w:rPr/>
        <w:t>);</w:t>
      </w:r>
    </w:p>
    <w:p>
      <w:pPr>
        <w:pStyle w:val="Style27"/>
        <w:rPr/>
      </w:pPr>
      <w:r>
        <w:rPr/>
        <w:t>Коммерческое предложение (форма 3) (</w:t>
      </w:r>
      <w:hyperlink w:anchor="Прил04_ФормыЗаявки">
        <w:r>
          <w:rPr>
            <w:rStyle w:val="Style14"/>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4"/>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7"/>
        <w:rPr/>
      </w:pPr>
      <w:r>
        <w:rPr/>
        <w:t>План распределения объемов поставки продукции (форма 11) (</w:t>
      </w:r>
      <w:hyperlink w:anchor="Прил04_ФормыЗаявки">
        <w:r>
          <w:rPr>
            <w:rStyle w:val="Style14"/>
          </w:rPr>
          <w:t>Приложение № 4</w:t>
        </w:r>
      </w:hyperlink>
      <w:r>
        <w:rPr/>
        <w:t>) – только если заявка подана Коллективным участником или Генеральным подрядчиком;</w:t>
      </w:r>
    </w:p>
    <w:p>
      <w:pPr>
        <w:pStyle w:val="Style27"/>
        <w:rPr/>
      </w:pPr>
      <w:bookmarkStart w:id="159" w:name="_Ref130376111"/>
      <w:r>
        <w:rPr/>
        <w:t>иной документ, указанный в протоколе закупки (которым назначена переторжка), связанный с предметом проводимой переторжки.</w:t>
      </w:r>
      <w:bookmarkEnd w:id="159"/>
    </w:p>
    <w:p>
      <w:pPr>
        <w:pStyle w:val="Style26"/>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6"/>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6"/>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5"/>
        <w:rPr/>
      </w:pPr>
      <w:bookmarkStart w:id="160" w:name="_Ref125365335"/>
      <w:bookmarkStart w:id="161" w:name="_Toc186224297"/>
      <w:bookmarkStart w:id="162" w:name="_Ref125369308"/>
      <w:bookmarkStart w:id="163" w:name="_Ref125366534"/>
      <w:bookmarkStart w:id="164" w:name="_Ref125365519"/>
      <w:bookmarkStart w:id="165" w:name="_Ref125362626"/>
      <w:bookmarkStart w:id="166" w:name="_Ref125369041"/>
      <w:r>
        <w:rPr/>
        <w:t>Оценка и сопоставление заявок</w:t>
      </w:r>
      <w:bookmarkEnd w:id="160"/>
      <w:bookmarkEnd w:id="161"/>
      <w:bookmarkEnd w:id="162"/>
      <w:bookmarkEnd w:id="163"/>
      <w:bookmarkEnd w:id="164"/>
      <w:bookmarkEnd w:id="165"/>
      <w:bookmarkEnd w:id="166"/>
    </w:p>
    <w:p>
      <w:pPr>
        <w:pStyle w:val="Style26"/>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4"/>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 xml:space="preserve">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7"/>
        <w:rPr/>
      </w:pPr>
      <w:r>
        <w:rPr/>
        <w:t>в соответствии с единственным ценовым критерием оценки (критерием выбора Победителя) – стоимость заявки (цена Договора);</w:t>
      </w:r>
    </w:p>
    <w:p>
      <w:pPr>
        <w:pStyle w:val="Style27"/>
        <w:rPr/>
      </w:pPr>
      <w:r>
        <w:rPr/>
        <w:t>в едином базисе без учета НДС;</w:t>
      </w:r>
    </w:p>
    <w:p>
      <w:pPr>
        <w:pStyle w:val="Style27"/>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6"/>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6"/>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6"/>
        <w:rPr/>
      </w:pPr>
      <w:r>
        <w:rPr/>
        <w:t>Результаты оценки и сопоставления заявок вносятся в итоговый протокол по результатам закупки.</w:t>
      </w:r>
    </w:p>
    <w:p>
      <w:pPr>
        <w:pStyle w:val="Style25"/>
        <w:rPr/>
      </w:pPr>
      <w:bookmarkStart w:id="167" w:name="_Ref130458671"/>
      <w:bookmarkStart w:id="168" w:name="_Toc186224298"/>
      <w:bookmarkStart w:id="169" w:name="_Ref125370507"/>
      <w:bookmarkStart w:id="170" w:name="_Ref125369991"/>
      <w:bookmarkStart w:id="171" w:name="_Ref132894111"/>
      <w:bookmarkStart w:id="172" w:name="_Ref132894106"/>
      <w:bookmarkStart w:id="173" w:name="_Ref186128193"/>
      <w:bookmarkStart w:id="174" w:name="_Ref130985951"/>
      <w:bookmarkStart w:id="175" w:name="_Ref125366064"/>
      <w:r>
        <w:rPr/>
        <w:t>Применение законодательства о национальном режиме</w:t>
      </w:r>
      <w:bookmarkEnd w:id="167"/>
      <w:bookmarkEnd w:id="168"/>
      <w:bookmarkEnd w:id="169"/>
      <w:bookmarkEnd w:id="170"/>
      <w:bookmarkEnd w:id="171"/>
      <w:bookmarkEnd w:id="172"/>
      <w:bookmarkEnd w:id="173"/>
      <w:bookmarkEnd w:id="174"/>
      <w:bookmarkEnd w:id="175"/>
    </w:p>
    <w:p>
      <w:pPr>
        <w:pStyle w:val="Style26"/>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6"/>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4"/>
          </w:rPr>
          <w:t>Технических требованиях (Приложение № 1)</w:t>
        </w:r>
      </w:hyperlink>
      <w:r>
        <w:rPr/>
        <w:t>.</w:t>
      </w:r>
    </w:p>
    <w:p>
      <w:pPr>
        <w:pStyle w:val="Style25"/>
        <w:rPr/>
      </w:pPr>
      <w:bookmarkStart w:id="176" w:name="_Ref125366091"/>
      <w:bookmarkStart w:id="177" w:name="_Toc186224299"/>
      <w:bookmarkStart w:id="178" w:name="_Ref125362658"/>
      <w:bookmarkStart w:id="179" w:name="_Ref125367242"/>
      <w:r>
        <w:rPr/>
        <w:t>Подведение итогов закупки (определение Победителя)</w:t>
      </w:r>
      <w:bookmarkEnd w:id="176"/>
      <w:bookmarkEnd w:id="177"/>
      <w:bookmarkEnd w:id="178"/>
      <w:bookmarkEnd w:id="179"/>
    </w:p>
    <w:p>
      <w:pPr>
        <w:pStyle w:val="Style26"/>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6"/>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6"/>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4"/>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6"/>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6"/>
        <w:keepNext w:val="true"/>
        <w:rPr/>
      </w:pPr>
      <w:bookmarkStart w:id="180"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80"/>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допущенных по результатам рассмотрения заявок, присваиваемые Оператором ЭП;</w:t>
      </w:r>
    </w:p>
    <w:p>
      <w:pPr>
        <w:pStyle w:val="Style27"/>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7"/>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7"/>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7"/>
        <w:rPr/>
      </w:pPr>
      <w:r>
        <w:rPr/>
        <w:t>причины, по которым закупка признана несостоявшейся (в случае ее признания таковой),</w:t>
      </w:r>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6"/>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5"/>
        <w:rPr/>
      </w:pPr>
      <w:bookmarkStart w:id="181" w:name="_Ref125364187"/>
      <w:bookmarkStart w:id="182" w:name="_Toc186224300"/>
      <w:bookmarkStart w:id="183" w:name="_Ref125366796"/>
      <w:bookmarkStart w:id="184" w:name="_Ref125365570"/>
      <w:bookmarkStart w:id="185" w:name="_Ref125365305"/>
      <w:bookmarkStart w:id="186" w:name="_Ref125364149"/>
      <w:bookmarkStart w:id="187" w:name="_Ref125366631"/>
      <w:r>
        <w:rPr/>
        <w:t>Признание закупки несостоявшейся</w:t>
      </w:r>
      <w:bookmarkEnd w:id="181"/>
      <w:bookmarkEnd w:id="182"/>
      <w:bookmarkEnd w:id="183"/>
      <w:bookmarkEnd w:id="184"/>
      <w:bookmarkEnd w:id="185"/>
      <w:bookmarkEnd w:id="186"/>
      <w:bookmarkEnd w:id="187"/>
    </w:p>
    <w:p>
      <w:pPr>
        <w:pStyle w:val="Style26"/>
        <w:keepNext w:val="true"/>
        <w:rPr/>
      </w:pPr>
      <w:r>
        <w:rPr/>
        <w:t>Закупка признается несостоявшейся в следующих случаях:</w:t>
      </w:r>
    </w:p>
    <w:p>
      <w:pPr>
        <w:pStyle w:val="Style27"/>
        <w:rPr/>
      </w:pPr>
      <w:r>
        <w:rPr/>
        <w:t>если по окончанию срока подачи заявок поступило менее 2 (двух) заявок (с учетом возможных отзывов заявок);</w:t>
      </w:r>
    </w:p>
    <w:p>
      <w:pPr>
        <w:pStyle w:val="Style27"/>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6"/>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6"/>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7"/>
        <w:rPr/>
      </w:pPr>
      <w:r>
        <w:rPr/>
        <w:t>принять решение о проведении повторной закупки;</w:t>
      </w:r>
    </w:p>
    <w:p>
      <w:pPr>
        <w:pStyle w:val="Style27"/>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7"/>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5"/>
        <w:rPr/>
      </w:pPr>
      <w:bookmarkStart w:id="188" w:name="_Toc186224301"/>
      <w:bookmarkStart w:id="189" w:name="_Ref126141962"/>
      <w:r>
        <w:rPr/>
        <w:t>Отказ от проведения закупки</w:t>
      </w:r>
      <w:bookmarkEnd w:id="189"/>
      <w:r>
        <w:rPr/>
        <w:t xml:space="preserve"> (отмена закупки)</w:t>
      </w:r>
      <w:bookmarkEnd w:id="188"/>
    </w:p>
    <w:p>
      <w:pPr>
        <w:pStyle w:val="Style26"/>
        <w:rPr/>
      </w:pPr>
      <w:r>
        <w:rPr/>
        <w:t xml:space="preserve">Организатор имеет право в любое время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 </w:t>
      </w:r>
    </w:p>
    <w:p>
      <w:pPr>
        <w:pStyle w:val="Style26"/>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6"/>
        <w:rPr/>
      </w:pPr>
      <w:r>
        <w:rPr/>
        <w:t>Дополнительно организатор уведомляет всех Участников об отмене закупки посредством ЭП.</w:t>
      </w:r>
    </w:p>
    <w:p>
      <w:pPr>
        <w:pStyle w:val="Style26"/>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5"/>
        <w:rPr/>
      </w:pPr>
      <w:bookmarkStart w:id="190" w:name="_Toc186224302"/>
      <w:bookmarkStart w:id="191" w:name="_Ref130455226"/>
      <w:r>
        <w:rPr/>
        <w:t>Особенности проведения закупки с необходимостью обеспечения заявки</w:t>
      </w:r>
      <w:bookmarkEnd w:id="190"/>
      <w:bookmarkEnd w:id="191"/>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6"/>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6"/>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7"/>
        <w:rPr/>
      </w:pPr>
      <w:r>
        <w:rPr/>
        <w:t>банковская гарантия должна быть безотзывной и безусловной (гарантия по первому требованию);</w:t>
      </w:r>
    </w:p>
    <w:p>
      <w:pPr>
        <w:pStyle w:val="Style27"/>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7"/>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7"/>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7"/>
        <w:rPr/>
      </w:pPr>
      <w:r>
        <w:rPr/>
        <w:t>платеж по банковской гарантии должен быть осуществлен в течение 10 (десяти) рабочих дней после обращения бенефициара;</w:t>
      </w:r>
    </w:p>
    <w:p>
      <w:pPr>
        <w:pStyle w:val="Style27"/>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7"/>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7"/>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6"/>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6"/>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6"/>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6"/>
        <w:rPr/>
      </w:pPr>
      <w:r>
        <w:rPr/>
        <w:t>Подать заявку (принять участие в закупке) могут только Участники, предоставившие надлежащее обеспечение их заявок.</w:t>
      </w:r>
    </w:p>
    <w:p>
      <w:pPr>
        <w:pStyle w:val="Style26"/>
        <w:rPr/>
      </w:pPr>
      <w:r>
        <w:rPr/>
        <w:t>Требование об обеспечении заявки в равной мере распространяется на всех Участников.</w:t>
      </w:r>
    </w:p>
    <w:p>
      <w:pPr>
        <w:pStyle w:val="Style26"/>
        <w:keepNext w:val="true"/>
        <w:rPr/>
      </w:pPr>
      <w:bookmarkStart w:id="192"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92"/>
    </w:p>
    <w:p>
      <w:pPr>
        <w:pStyle w:val="Style27"/>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4"/>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7"/>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4"/>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4"/>
          </w:rPr>
          <w:t>Проектом договора</w:t>
        </w:r>
      </w:hyperlink>
      <w:r>
        <w:rPr/>
        <w:t>).</w:t>
      </w:r>
    </w:p>
    <w:p>
      <w:pPr>
        <w:pStyle w:val="Style26"/>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6"/>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7"/>
        <w:rPr/>
      </w:pPr>
      <w:r>
        <w:rPr/>
        <w:t>принятия решения об отказе от проведения закупки – всем Участникам, подавшим заявки к моменту принятия такого решения;</w:t>
      </w:r>
    </w:p>
    <w:p>
      <w:pPr>
        <w:pStyle w:val="Style27"/>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7"/>
        <w:rPr/>
      </w:pPr>
      <w:r>
        <w:rPr/>
        <w:t>официального размещения протокола рассмотрения заявок (при условии его оформления) – Участникам, чьи заявки были отклонены;</w:t>
      </w:r>
    </w:p>
    <w:p>
      <w:pPr>
        <w:pStyle w:val="Style27"/>
        <w:rPr/>
      </w:pPr>
      <w:r>
        <w:rPr/>
        <w:t>официального размещения итогового протокола по результатам закупки – всем Участникам, кроме Победителя;</w:t>
      </w:r>
    </w:p>
    <w:p>
      <w:pPr>
        <w:pStyle w:val="Style27"/>
        <w:rPr/>
      </w:pPr>
      <w:r>
        <w:rPr/>
        <w:t>заключения Договора по результатам закупки – Победителю, с которым заключен Договор;</w:t>
      </w:r>
    </w:p>
    <w:p>
      <w:pPr>
        <w:pStyle w:val="Style27"/>
        <w:rPr/>
      </w:pPr>
      <w:r>
        <w:rPr/>
        <w:t>признания закупки несостоявшейся – Участнику, которому обеспечение не было возвращено по иным основаниям.</w:t>
      </w:r>
    </w:p>
    <w:p>
      <w:pPr>
        <w:pStyle w:val="Style26"/>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5"/>
        <w:rPr/>
      </w:pPr>
      <w:bookmarkStart w:id="193" w:name="_Ref130225422"/>
      <w:bookmarkStart w:id="194" w:name="_Ref149317414"/>
      <w:bookmarkStart w:id="195" w:name="_Toc186224303"/>
      <w:r>
        <w:rPr/>
        <w:t>Особенности проведения многолотовой закупки</w:t>
      </w:r>
      <w:bookmarkEnd w:id="193"/>
      <w:bookmarkEnd w:id="194"/>
      <w:bookmarkEnd w:id="195"/>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6"/>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6"/>
        <w:keepNext w:val="true"/>
        <w:rPr/>
      </w:pPr>
      <w:r>
        <w:rPr/>
        <w:t>В случае подачи заявки на несколько лотов дополнительно должны быть соблюдены следующие требования:</w:t>
      </w:r>
    </w:p>
    <w:p>
      <w:pPr>
        <w:pStyle w:val="Style27"/>
        <w:rPr/>
      </w:pPr>
      <w:r>
        <w:rPr/>
        <w:t>Письмо о подаче оферты (форма 2) (</w:t>
      </w:r>
      <w:hyperlink w:anchor="Прил04_ФормыЗаявки">
        <w:r>
          <w:rPr>
            <w:rStyle w:val="Style14"/>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7"/>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4"/>
          </w:rPr>
          <w:t>Приложение № 4</w:t>
        </w:r>
      </w:hyperlink>
      <w:r>
        <w:rPr/>
        <w:t>, должны быть подготовлены отдельно по каждому из лотов с указанием номера и названия лота.</w:t>
      </w:r>
    </w:p>
    <w:p>
      <w:pPr>
        <w:pStyle w:val="Style26"/>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5"/>
        <w:rPr/>
      </w:pPr>
      <w:bookmarkStart w:id="196" w:name="_Ref125550863"/>
      <w:bookmarkStart w:id="197" w:name="_Toc186224304"/>
      <w:r>
        <w:rPr/>
        <w:t>Особенности проведения закупки с возможностью подачи альтернативных предложений</w:t>
      </w:r>
      <w:bookmarkEnd w:id="196"/>
      <w:bookmarkEnd w:id="197"/>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6"/>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6"/>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4"/>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6"/>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6"/>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4"/>
        <w:rPr/>
      </w:pPr>
      <w:bookmarkStart w:id="198" w:name="_Ref125367087"/>
      <w:bookmarkStart w:id="199" w:name="_Ref125362671"/>
      <w:bookmarkStart w:id="200" w:name="_Ref125367083"/>
      <w:bookmarkStart w:id="201" w:name="_Ref125366769"/>
      <w:bookmarkStart w:id="202" w:name="_Ref125363439"/>
      <w:bookmarkStart w:id="203" w:name="_Ref130224037"/>
      <w:bookmarkStart w:id="204" w:name="_Ref126142429"/>
      <w:bookmarkStart w:id="205" w:name="_Toc186224306"/>
      <w:bookmarkStart w:id="206" w:name="_Ref125361212"/>
      <w:r>
        <w:rPr/>
        <w:t>Порядок заключения Договора</w:t>
      </w:r>
      <w:bookmarkEnd w:id="198"/>
      <w:bookmarkEnd w:id="199"/>
      <w:bookmarkEnd w:id="200"/>
      <w:bookmarkEnd w:id="201"/>
      <w:bookmarkEnd w:id="202"/>
      <w:bookmarkEnd w:id="203"/>
      <w:bookmarkEnd w:id="204"/>
      <w:bookmarkEnd w:id="205"/>
      <w:bookmarkEnd w:id="206"/>
    </w:p>
    <w:p>
      <w:pPr>
        <w:pStyle w:val="Style25"/>
        <w:rPr/>
      </w:pPr>
      <w:bookmarkStart w:id="207" w:name="_Toc186224307"/>
      <w:bookmarkStart w:id="208" w:name="_Ref139028625"/>
      <w:r>
        <w:rPr/>
        <w:t>Общие положения</w:t>
      </w:r>
      <w:bookmarkEnd w:id="207"/>
      <w:bookmarkEnd w:id="208"/>
    </w:p>
    <w:p>
      <w:pPr>
        <w:pStyle w:val="Style26"/>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6"/>
        <w:rPr/>
      </w:pPr>
      <w:r>
        <w:rP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pPr>
        <w:pStyle w:val="Style26"/>
        <w:rPr/>
      </w:pPr>
      <w:r>
        <w:rP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Style14"/>
          </w:rPr>
          <w:t>Приложение № 4</w:t>
        </w:r>
      </w:hyperlink>
      <w:r>
        <w:rPr/>
        <w:t>), и размещения соответствующей информации на ЭП.</w:t>
      </w:r>
    </w:p>
    <w:p>
      <w:pPr>
        <w:pStyle w:val="Style25"/>
        <w:rPr/>
      </w:pPr>
      <w:bookmarkStart w:id="209" w:name="_Ref125368755"/>
      <w:bookmarkStart w:id="210" w:name="_Ref135736094"/>
      <w:bookmarkStart w:id="211" w:name="_Ref125366947"/>
      <w:bookmarkStart w:id="212" w:name="_Ref138232981"/>
      <w:bookmarkStart w:id="213" w:name="_Toc186224308"/>
      <w:r>
        <w:rPr/>
        <w:t>Заключение Договора</w:t>
      </w:r>
      <w:bookmarkEnd w:id="209"/>
      <w:bookmarkEnd w:id="210"/>
      <w:bookmarkEnd w:id="211"/>
      <w:bookmarkEnd w:id="212"/>
      <w:bookmarkEnd w:id="213"/>
    </w:p>
    <w:p>
      <w:pPr>
        <w:pStyle w:val="Style26"/>
        <w:rPr/>
      </w:pPr>
      <w:bookmarkStart w:id="214" w:name="_Ref125362935"/>
      <w:bookmarkStart w:id="215" w:name="_Ref130293821"/>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14"/>
      <w:bookmarkEnd w:id="215"/>
    </w:p>
    <w:p>
      <w:pPr>
        <w:pStyle w:val="Style26"/>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6"/>
        <w:rPr/>
      </w:pPr>
      <w:bookmarkStart w:id="216"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4"/>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16"/>
    </w:p>
    <w:p>
      <w:pPr>
        <w:pStyle w:val="Style26"/>
        <w:keepNext w:val="true"/>
        <w:rPr/>
      </w:pPr>
      <w:bookmarkStart w:id="217"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17"/>
    </w:p>
    <w:p>
      <w:pPr>
        <w:pStyle w:val="Style27"/>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bookmarkStart w:id="218"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18"/>
      <w:r>
        <w:rPr/>
        <w:t>.</w:t>
      </w:r>
    </w:p>
    <w:p>
      <w:pPr>
        <w:pStyle w:val="Style26"/>
        <w:keepNext w:val="true"/>
        <w:rPr/>
      </w:pPr>
      <w:bookmarkStart w:id="219"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4"/>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19"/>
    </w:p>
    <w:p>
      <w:pPr>
        <w:pStyle w:val="Style27"/>
        <w:keepNext w:val="true"/>
        <w:rPr/>
      </w:pPr>
      <w:r>
        <w:rPr/>
        <w:t>для юридического лица:</w:t>
      </w:r>
    </w:p>
    <w:p>
      <w:pPr>
        <w:pStyle w:val="Style28"/>
        <w:rPr/>
      </w:pPr>
      <w:r>
        <w:rPr/>
        <w:t>копия устава в действующей редакции с отметкой ИФНС либо копия нотариально заверенного устава (с отметкой нотариуса);</w:t>
      </w:r>
    </w:p>
    <w:p>
      <w:pPr>
        <w:pStyle w:val="Style28"/>
        <w:rPr/>
      </w:pPr>
      <w:bookmarkStart w:id="220"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20"/>
    </w:p>
    <w:p>
      <w:pPr>
        <w:pStyle w:val="Style28"/>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7"/>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7"/>
        <w:rPr/>
      </w:pPr>
      <w:r>
        <w:rPr/>
        <w:t>для физического лица: нотариально заверенная копия всех страниц документа, удостоверяющего личность (паспорта);</w:t>
      </w:r>
    </w:p>
    <w:p>
      <w:pPr>
        <w:pStyle w:val="Style27"/>
        <w:rPr/>
      </w:pPr>
      <w:bookmarkStart w:id="221"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21"/>
    </w:p>
    <w:p>
      <w:pPr>
        <w:pStyle w:val="Style26"/>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6"/>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6"/>
        <w:keepNext w:val="true"/>
        <w:rPr/>
      </w:pPr>
      <w:bookmarkStart w:id="222"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22"/>
    </w:p>
    <w:p>
      <w:pPr>
        <w:pStyle w:val="Style27"/>
        <w:rPr/>
      </w:pPr>
      <w:r>
        <w:rPr/>
        <w:t>протокол преддоговорных переговоров между Заказчиком и Победителем (при проведении таковых);</w:t>
      </w:r>
    </w:p>
    <w:p>
      <w:pPr>
        <w:pStyle w:val="Style27"/>
        <w:rPr/>
      </w:pPr>
      <w:r>
        <w:rPr/>
        <w:t>итоговый протокол по результатам закупки;</w:t>
      </w:r>
    </w:p>
    <w:p>
      <w:pPr>
        <w:pStyle w:val="Style27"/>
        <w:rPr/>
      </w:pPr>
      <w:r>
        <w:rPr/>
        <w:t>Извещение и Документация о закупке со всеми изменениями;</w:t>
      </w:r>
    </w:p>
    <w:p>
      <w:pPr>
        <w:pStyle w:val="Style27"/>
        <w:rPr/>
      </w:pPr>
      <w:r>
        <w:rPr/>
        <w:t>заявка Победителя со всеми дополнениями и разъяснениями.</w:t>
      </w:r>
    </w:p>
    <w:p>
      <w:pPr>
        <w:pStyle w:val="Style26"/>
        <w:rPr/>
      </w:pPr>
      <w:bookmarkStart w:id="223"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23"/>
    </w:p>
    <w:p>
      <w:pPr>
        <w:pStyle w:val="Style26"/>
        <w:keepNext w:val="true"/>
        <w:rPr/>
      </w:pPr>
      <w:r>
        <w:rPr/>
        <w:t>Если Договор заключается в электронной форме:</w:t>
      </w:r>
    </w:p>
    <w:p>
      <w:pPr>
        <w:pStyle w:val="Style27"/>
        <w:rPr/>
      </w:pPr>
      <w:bookmarkStart w:id="224"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24"/>
      <w:r>
        <w:rPr/>
        <w:t>;</w:t>
      </w:r>
    </w:p>
    <w:p>
      <w:pPr>
        <w:pStyle w:val="Style27"/>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6"/>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5"/>
        <w:rPr/>
      </w:pPr>
      <w:bookmarkStart w:id="225" w:name="_Toc186224309"/>
      <w:bookmarkStart w:id="226" w:name="_Ref125552570"/>
      <w:r>
        <w:rPr/>
        <w:t>Преддоговорные переговоры</w:t>
      </w:r>
      <w:bookmarkEnd w:id="225"/>
      <w:bookmarkEnd w:id="226"/>
    </w:p>
    <w:p>
      <w:pPr>
        <w:pStyle w:val="Style26"/>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7"/>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7"/>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7"/>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7"/>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7"/>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6"/>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6"/>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6"/>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6"/>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5"/>
        <w:rPr/>
      </w:pPr>
      <w:bookmarkStart w:id="227" w:name="_Toc186224310"/>
      <w:bookmarkStart w:id="228" w:name="_Ref125367068"/>
      <w:r>
        <w:rPr/>
        <w:t>Уклонение Победителя от заключения Договора</w:t>
      </w:r>
      <w:bookmarkEnd w:id="227"/>
      <w:bookmarkEnd w:id="228"/>
    </w:p>
    <w:p>
      <w:pPr>
        <w:pStyle w:val="Style26"/>
        <w:keepNext w:val="true"/>
        <w:rPr/>
      </w:pPr>
      <w:r>
        <w:rPr/>
        <w:t>Если Победитель закупки:</w:t>
      </w:r>
    </w:p>
    <w:p>
      <w:pPr>
        <w:pStyle w:val="Style27"/>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7"/>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7"/>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4"/>
          </w:rPr>
          <w:t>Приложение № 5</w:t>
        </w:r>
      </w:hyperlink>
      <w:r>
        <w:rPr/>
        <w:t>), с приложением подтверждающих документов;</w:t>
      </w:r>
    </w:p>
    <w:p>
      <w:pPr>
        <w:pStyle w:val="Style27"/>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7"/>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4"/>
          </w:rPr>
          <w:t>Приложения № 1 – Технические требования</w:t>
        </w:r>
      </w:hyperlink>
      <w:r>
        <w:rPr/>
        <w:t xml:space="preserve"> (в случае установления таковых);</w:t>
      </w:r>
    </w:p>
    <w:p>
      <w:pPr>
        <w:pStyle w:val="Style27"/>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7"/>
        <w:rPr/>
      </w:pPr>
      <w:r>
        <w:rPr/>
        <w:t>не выполнит другие условия, прямо предусмотренные Документацией о закупке,</w:t>
      </w:r>
    </w:p>
    <w:p>
      <w:pPr>
        <w:pStyle w:val="Style30"/>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4"/>
        <w:rPr/>
      </w:pPr>
      <w:bookmarkStart w:id="229" w:name="_Ref125363023"/>
      <w:bookmarkStart w:id="230" w:name="_Ref125370741"/>
      <w:bookmarkStart w:id="231" w:name="_Toc186224311"/>
      <w:bookmarkStart w:id="232" w:name="Прил01_ТехТребования"/>
      <w:bookmarkStart w:id="233" w:name="_Ref125370750"/>
      <w:bookmarkStart w:id="234" w:name="_Ref125370746"/>
      <w:bookmarkStart w:id="235" w:name="_Ref125370732"/>
      <w:bookmarkStart w:id="236" w:name="_Ref125364201"/>
      <w:bookmarkStart w:id="237" w:name="_Ref125363752"/>
      <w:bookmarkStart w:id="238" w:name="_Ref125363600"/>
      <w:bookmarkStart w:id="239" w:name="_Ref125363034"/>
      <w:bookmarkStart w:id="240" w:name="_Ref125363016"/>
      <w:bookmarkStart w:id="241" w:name="_Ref125364088"/>
      <w:bookmarkStart w:id="242" w:name="_Ref125370843"/>
      <w:r>
        <w:rPr/>
        <w:t>Приложение № 1 – Технические требования</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pStyle w:val="Style25"/>
        <w:rPr/>
      </w:pPr>
      <w:bookmarkStart w:id="243" w:name="_Toc186224312"/>
      <w:r>
        <w:rPr/>
        <w:t>Пояснения к Техническим требованиям</w:t>
      </w:r>
      <w:bookmarkEnd w:id="243"/>
    </w:p>
    <w:p>
      <w:pPr>
        <w:pStyle w:val="Style26"/>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4"/>
        <w:rPr/>
      </w:pPr>
      <w:bookmarkStart w:id="244" w:name="_Toc186224313"/>
      <w:bookmarkStart w:id="245" w:name="_Ref125364081"/>
      <w:bookmarkStart w:id="246" w:name="_Ref125364206"/>
      <w:bookmarkStart w:id="247" w:name="_Ref125363605"/>
      <w:bookmarkStart w:id="248" w:name="_Ref125363759"/>
      <w:bookmarkStart w:id="249" w:name="_Ref125363040"/>
      <w:bookmarkStart w:id="250" w:name="_Ref125361746"/>
      <w:bookmarkStart w:id="251" w:name="_Ref125370754"/>
      <w:bookmarkStart w:id="252" w:name="Прил02_ПроектДоговора"/>
      <w:r>
        <w:rPr/>
        <w:t>Приложение № 2 – Проект договора</w:t>
      </w:r>
      <w:bookmarkEnd w:id="244"/>
      <w:bookmarkEnd w:id="245"/>
      <w:bookmarkEnd w:id="246"/>
      <w:bookmarkEnd w:id="247"/>
      <w:bookmarkEnd w:id="248"/>
      <w:bookmarkEnd w:id="249"/>
      <w:bookmarkEnd w:id="250"/>
      <w:bookmarkEnd w:id="251"/>
      <w:bookmarkEnd w:id="252"/>
    </w:p>
    <w:p>
      <w:pPr>
        <w:pStyle w:val="Style25"/>
        <w:rPr/>
      </w:pPr>
      <w:bookmarkStart w:id="253" w:name="_Toc186224314"/>
      <w:r>
        <w:rPr/>
        <w:t>Пояснения к Проекту договора</w:t>
      </w:r>
      <w:bookmarkEnd w:id="253"/>
    </w:p>
    <w:p>
      <w:pPr>
        <w:pStyle w:val="Style26"/>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6"/>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54" w:name="_Hlk132883778"/>
      <w:r>
        <w:rPr/>
        <w:t>как «Некритичные пункты Проекта договора»</w:t>
      </w:r>
      <w:bookmarkEnd w:id="254"/>
      <w:r>
        <w:rPr/>
        <w:t>.</w:t>
      </w:r>
    </w:p>
    <w:p>
      <w:pPr>
        <w:pStyle w:val="Style26"/>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6"/>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55" w:name="_MON_1736255517"/>
      <w:bookmarkEnd w:id="255"/>
    </w:p>
    <w:p>
      <w:pPr>
        <w:sectPr>
          <w:headerReference w:type="default" r:id="rId12"/>
          <w:headerReference w:type="first" r:id="rId13"/>
          <w:footerReference w:type="default" r:id="rId14"/>
          <w:footerReference w:type="first" r:id="rId15"/>
          <w:footnotePr>
            <w:numFmt w:val="decimal"/>
          </w:footnotePr>
          <w:type w:val="nextPage"/>
          <w:pgSz w:w="11906" w:h="16838"/>
          <w:pgMar w:left="1134" w:right="850" w:gutter="0" w:header="567" w:top="851" w:footer="567" w:bottom="851"/>
          <w:pgNumType w:fmt="decimal"/>
          <w:formProt w:val="false"/>
          <w:textDirection w:val="lrTb"/>
          <w:docGrid w:type="default" w:linePitch="360" w:charSpace="4294963199"/>
        </w:sectPr>
        <w:pStyle w:val="Style30"/>
        <w:jc w:val="center"/>
        <w:rPr/>
      </w:pPr>
      <w:r>
        <w:rPr/>
        <mc:AlternateContent>
          <mc:Choice Requires="wps">
            <w:drawing>
              <wp:anchor behindDoc="0" distT="0" distB="0" distL="635" distR="0" simplePos="0" locked="0" layoutInCell="0" allowOverlap="1" relativeHeight="3">
                <wp:simplePos x="0" y="0"/>
                <wp:positionH relativeFrom="column">
                  <wp:posOffset>635</wp:posOffset>
                </wp:positionH>
                <wp:positionV relativeFrom="paragraph">
                  <wp:posOffset>635</wp:posOffset>
                </wp:positionV>
                <wp:extent cx="635000" cy="635000"/>
                <wp:effectExtent l="635" t="0" r="0" b="0"/>
                <wp:wrapNone/>
                <wp:docPr id="1"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7">
                <wp:simplePos x="0" y="0"/>
                <wp:positionH relativeFrom="column">
                  <wp:posOffset>635</wp:posOffset>
                </wp:positionH>
                <wp:positionV relativeFrom="paragraph">
                  <wp:posOffset>635</wp:posOffset>
                </wp:positionV>
                <wp:extent cx="635000" cy="635000"/>
                <wp:effectExtent l="635" t="0" r="0" b="0"/>
                <wp:wrapNone/>
                <wp:docPr id="2"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114300" distR="0" simplePos="0" locked="0" layoutInCell="0" allowOverlap="1" relativeHeight="10">
                <wp:simplePos x="0" y="0"/>
                <wp:positionH relativeFrom="column">
                  <wp:posOffset>635</wp:posOffset>
                </wp:positionH>
                <wp:positionV relativeFrom="paragraph">
                  <wp:posOffset>635</wp:posOffset>
                </wp:positionV>
                <wp:extent cx="635000" cy="635000"/>
                <wp:effectExtent l="635" t="0" r="0" b="0"/>
                <wp:wrapNone/>
                <wp:docPr id="3"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_x0000_tole_rId10" stroked="f" o:allowincell="f" style="position:absolute;margin-left:0.05pt;margin-top:0pt;width:49.95pt;height:49.95pt;mso-wrap-style:none;v-text-anchor:middle" type="_x0000_t75">
                <v:fill o:detectmouseclick="t" on="false"/>
                <v:stroke color="#3465a4" joinstyle="round" endcap="flat"/>
                <w10:wrap type="none"/>
              </v:shape>
            </w:pict>
          </mc:Fallback>
        </mc:AlternateContent>
        <w:object>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78.9pt;height:50.1pt;mso-wrap-distance-right:0pt" filled="f" o:ole="">
            <v:imagedata r:id="rId11" o:title=""/>
          </v:shape>
          <o:OLEObject Type="Embed" ProgID="Word.Document.12" ShapeID="ole_rId10" DrawAspect="Icon" ObjectID="_69877968" r:id="rId10"/>
        </w:object>
      </w:r>
    </w:p>
    <w:p>
      <w:pPr>
        <w:pStyle w:val="Style24"/>
        <w:rPr/>
      </w:pPr>
      <w:bookmarkStart w:id="256" w:name="_Ref125361494"/>
      <w:bookmarkStart w:id="257" w:name="_Toc186224315"/>
      <w:bookmarkStart w:id="258" w:name="_Ref125370013"/>
      <w:bookmarkStart w:id="259" w:name="_Ref125365476"/>
      <w:bookmarkStart w:id="260" w:name="_Ref125361908"/>
      <w:bookmarkStart w:id="261" w:name="Прил03_ТребованияУчастникам"/>
      <w:r>
        <w:rPr/>
        <w:t>Приложение № 3 – Требования к Участникам</w:t>
      </w:r>
      <w:bookmarkEnd w:id="256"/>
      <w:bookmarkEnd w:id="257"/>
      <w:bookmarkEnd w:id="258"/>
      <w:bookmarkEnd w:id="259"/>
      <w:bookmarkEnd w:id="260"/>
      <w:bookmarkEnd w:id="261"/>
    </w:p>
    <w:p>
      <w:pPr>
        <w:pStyle w:val="Style25"/>
        <w:rPr/>
      </w:pPr>
      <w:bookmarkStart w:id="262" w:name="_Toc186224316"/>
      <w:r>
        <w:rPr/>
        <w:t>Пояснения к требованиям к Участникам</w:t>
      </w:r>
      <w:bookmarkEnd w:id="262"/>
    </w:p>
    <w:p>
      <w:pPr>
        <w:pStyle w:val="Style26"/>
        <w:rPr/>
      </w:pPr>
      <w:bookmarkStart w:id="263"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63"/>
    </w:p>
    <w:p>
      <w:pPr>
        <w:pStyle w:val="Style25"/>
        <w:spacing w:before="360" w:after="120"/>
        <w:rPr/>
      </w:pPr>
      <w:bookmarkStart w:id="264" w:name="_Ref125361590"/>
      <w:bookmarkStart w:id="265" w:name="_Ref125361926"/>
      <w:bookmarkStart w:id="266" w:name="_Ref125366879"/>
      <w:bookmarkStart w:id="267" w:name="_Toc186224317"/>
      <w:bookmarkStart w:id="268" w:name="_Ref125370071"/>
      <w:bookmarkStart w:id="269" w:name="_Ref125370058"/>
      <w:bookmarkStart w:id="270" w:name="_Ref125369088"/>
      <w:bookmarkStart w:id="271" w:name="_Ref125361846"/>
      <w:bookmarkStart w:id="272" w:name="_Ref125361832"/>
      <w:bookmarkStart w:id="273" w:name="_Ref125361617"/>
      <w:bookmarkStart w:id="274" w:name="_Ref125361435"/>
      <w:bookmarkStart w:id="275" w:name="_Ref125368895"/>
      <w:bookmarkStart w:id="276" w:name="_Ref125370064"/>
      <w:bookmarkStart w:id="277" w:name="_Ref125368812"/>
      <w:r>
        <w:rPr/>
        <w:t>Обязательные требования</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278" w:name="_Ref125552433"/>
            <w:bookmarkStart w:id="279" w:name="_Ref125552433"/>
            <w:bookmarkEnd w:id="279"/>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0"/>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гражданской правоспособности:</w:t>
            </w:r>
          </w:p>
          <w:p>
            <w:pPr>
              <w:pStyle w:val="Style30"/>
              <w:widowControl w:val="false"/>
              <w:numPr>
                <w:ilvl w:val="0"/>
                <w:numId w:val="13"/>
              </w:numPr>
              <w:suppressAutoHyphens w:val="true"/>
              <w:spacing w:before="60" w:after="60"/>
              <w:ind w:left="568" w:hanging="284"/>
              <w:rPr>
                <w:rFonts w:eastAsia="Calibri"/>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30"/>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аккредитации:</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suppressAutoHyphens w:val="true"/>
              <w:spacing w:before="60" w:after="60"/>
              <w:ind w:left="284" w:hanging="0"/>
              <w:rPr>
                <w:rFonts w:eastAsia="Calibri"/>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cs=""/>
                <w:kern w:val="0"/>
                <w:sz w:val="26"/>
                <w:szCs w:val="22"/>
                <w:lang w:val="ru-RU" w:eastAsia="en-US" w:bidi="ar-SA"/>
              </w:rPr>
            </w:r>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280" w:name="_Ref139028406"/>
            <w:bookmarkStart w:id="281" w:name="_Ref139028406"/>
            <w:bookmarkEnd w:id="281"/>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282" w:name="_Ref186128496"/>
            <w:bookmarkStart w:id="283" w:name="_Ref186128496"/>
            <w:bookmarkEnd w:id="283"/>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284" w:name="_Ref186128503"/>
            <w:bookmarkStart w:id="285" w:name="_Ref186128503"/>
            <w:bookmarkEnd w:id="285"/>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5"/>
        <w:spacing w:before="360" w:after="120"/>
        <w:rPr/>
      </w:pPr>
      <w:bookmarkStart w:id="286" w:name="_Ref125709250"/>
      <w:bookmarkStart w:id="287" w:name="_Toc186224318"/>
      <w:bookmarkStart w:id="288" w:name="_Ref125368901"/>
      <w:bookmarkStart w:id="289" w:name="_Ref125709401"/>
      <w:bookmarkStart w:id="290" w:name="_Ref125709888"/>
      <w:bookmarkStart w:id="291" w:name="_Ref125709153"/>
      <w:bookmarkStart w:id="292" w:name="_Ref125370079"/>
      <w:bookmarkStart w:id="293" w:name="_Ref125369099"/>
      <w:bookmarkStart w:id="294" w:name="_Ref125367539"/>
      <w:bookmarkStart w:id="295" w:name="_Ref125367521"/>
      <w:bookmarkStart w:id="296" w:name="_Ref125368916"/>
      <w:bookmarkStart w:id="297" w:name="_Ref125368818"/>
      <w:bookmarkStart w:id="298" w:name="_Ref125361442"/>
      <w:bookmarkStart w:id="299" w:name="_Ref125361633"/>
      <w:bookmarkStart w:id="300" w:name="_Ref125361869"/>
      <w:bookmarkStart w:id="301" w:name="_Ref125361671"/>
      <w:bookmarkStart w:id="302" w:name="_Ref125365459"/>
      <w:bookmarkStart w:id="303" w:name="_Ref125361937"/>
      <w:r>
        <w:rPr/>
        <w:t>Специальные требования</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3"/>
              </w:numPr>
              <w:suppressAutoHyphens w:val="true"/>
              <w:spacing w:before="60" w:after="60"/>
              <w:ind w:left="284" w:hanging="0"/>
              <w:jc w:val="center"/>
              <w:rPr>
                <w:rFonts w:eastAsia="Calibri"/>
              </w:rPr>
            </w:pPr>
            <w:r>
              <w:rPr>
                <w:rFonts w:eastAsia="Calibri" w:cs=""/>
                <w:kern w:val="0"/>
                <w:sz w:val="26"/>
                <w:szCs w:val="22"/>
                <w:lang w:val="ru-RU" w:eastAsia="en-US" w:bidi="ar-SA"/>
              </w:rPr>
            </w:r>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r>
    </w:tbl>
    <w:p>
      <w:pPr>
        <w:pStyle w:val="Style25"/>
        <w:spacing w:before="360" w:after="120"/>
        <w:rPr/>
      </w:pPr>
      <w:bookmarkStart w:id="304" w:name="_Toc186224319"/>
      <w:bookmarkStart w:id="305" w:name="_Ref125709895"/>
      <w:bookmarkStart w:id="306" w:name="_Ref125709256"/>
      <w:bookmarkStart w:id="307" w:name="_Ref125709154"/>
      <w:bookmarkStart w:id="308" w:name="_Ref125553681"/>
      <w:bookmarkStart w:id="309" w:name="_Ref125553296"/>
      <w:bookmarkStart w:id="310" w:name="_Ref125553242"/>
      <w:bookmarkStart w:id="311" w:name="_Ref125550353"/>
      <w:bookmarkStart w:id="312" w:name="_Ref125550270"/>
      <w:bookmarkStart w:id="313" w:name="_Ref125709541"/>
      <w:bookmarkStart w:id="314" w:name="_Ref125553475"/>
      <w:r>
        <w:rPr/>
        <w:t>Квалификационные требования</w:t>
      </w:r>
      <w:bookmarkEnd w:id="304"/>
      <w:bookmarkEnd w:id="305"/>
      <w:bookmarkEnd w:id="306"/>
      <w:bookmarkEnd w:id="307"/>
      <w:bookmarkEnd w:id="308"/>
      <w:bookmarkEnd w:id="309"/>
      <w:bookmarkEnd w:id="310"/>
      <w:bookmarkEnd w:id="311"/>
      <w:bookmarkEnd w:id="312"/>
      <w:bookmarkEnd w:id="313"/>
      <w:bookmarkEnd w:id="314"/>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10"/>
              </w:numPr>
              <w:suppressAutoHyphens w:val="true"/>
              <w:spacing w:before="60" w:after="60"/>
              <w:ind w:left="284" w:hanging="0"/>
              <w:jc w:val="center"/>
              <w:rPr>
                <w:rFonts w:eastAsia="Calibri"/>
              </w:rPr>
            </w:pPr>
            <w:r>
              <w:rPr>
                <w:rFonts w:eastAsia="Calibri" w:cs=""/>
                <w:kern w:val="0"/>
                <w:sz w:val="26"/>
                <w:szCs w:val="22"/>
                <w:lang w:val="ru-RU" w:eastAsia="en-US" w:bidi="ar-SA"/>
              </w:rPr>
            </w:r>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r>
    </w:tbl>
    <w:p>
      <w:pPr>
        <w:pStyle w:val="Style25"/>
        <w:spacing w:before="360" w:after="120"/>
        <w:rPr/>
      </w:pPr>
      <w:bookmarkStart w:id="315" w:name="_Ref125553703"/>
      <w:bookmarkStart w:id="316" w:name="_Toc186224320"/>
      <w:bookmarkStart w:id="317" w:name="_Ref125553500"/>
      <w:bookmarkStart w:id="318" w:name="_Ref125709228"/>
      <w:bookmarkStart w:id="319" w:name="_Ref125553692"/>
      <w:bookmarkStart w:id="320" w:name="_Ref125552455"/>
      <w:r>
        <w:rPr/>
        <w:t>Дополнительные требования к Коллективным участникам</w:t>
      </w:r>
      <w:bookmarkEnd w:id="315"/>
      <w:bookmarkEnd w:id="316"/>
      <w:bookmarkEnd w:id="317"/>
      <w:bookmarkEnd w:id="318"/>
      <w:bookmarkEnd w:id="319"/>
      <w:bookmarkEnd w:id="320"/>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321" w:name="_Ref125370156"/>
            <w:bookmarkStart w:id="322" w:name="_Ref125370156"/>
            <w:bookmarkEnd w:id="322"/>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323" w:name="_Ref125553738"/>
            <w:bookmarkStart w:id="324" w:name="_Ref125553738"/>
            <w:bookmarkEnd w:id="324"/>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325" w:name="_Ref125370162"/>
            <w:bookmarkStart w:id="326" w:name="_Ref125370162"/>
            <w:bookmarkEnd w:id="326"/>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5"/>
        <w:spacing w:before="360" w:after="120"/>
        <w:rPr/>
      </w:pPr>
      <w:bookmarkStart w:id="327" w:name="_Ref125709973"/>
      <w:bookmarkStart w:id="328" w:name="_Ref125370209"/>
      <w:bookmarkStart w:id="329" w:name="_Ref125361823"/>
      <w:bookmarkStart w:id="330" w:name="_Ref125369117"/>
      <w:bookmarkStart w:id="331" w:name="_Ref125370173"/>
      <w:bookmarkStart w:id="332" w:name="_Ref125370180"/>
      <w:bookmarkStart w:id="333" w:name="_Ref125709777"/>
      <w:bookmarkStart w:id="334" w:name="_Toc186224321"/>
      <w:bookmarkStart w:id="335" w:name="_Ref125362031"/>
      <w:r>
        <w:rPr/>
        <w:t>Дополнительные требования к Генеральным подрядчикам</w:t>
      </w:r>
      <w:bookmarkEnd w:id="327"/>
      <w:bookmarkEnd w:id="328"/>
      <w:bookmarkEnd w:id="329"/>
      <w:bookmarkEnd w:id="330"/>
      <w:bookmarkEnd w:id="331"/>
      <w:bookmarkEnd w:id="332"/>
      <w:bookmarkEnd w:id="333"/>
      <w:bookmarkEnd w:id="334"/>
      <w:bookmarkEnd w:id="335"/>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336" w:name="_Ref125370187"/>
            <w:bookmarkStart w:id="337" w:name="_Ref125370187"/>
            <w:bookmarkEnd w:id="337"/>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338" w:name="_Ref125370199"/>
            <w:bookmarkStart w:id="339" w:name="_Ref125370199"/>
            <w:bookmarkEnd w:id="339"/>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30"/>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осведомлен о привлечении его в качестве субподрядчика;</w:t>
            </w:r>
          </w:p>
          <w:p>
            <w:pPr>
              <w:pStyle w:val="Style30"/>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cs=""/>
                <w:kern w:val="0"/>
                <w:sz w:val="26"/>
                <w:szCs w:val="22"/>
                <w:lang w:val="ru-RU" w:eastAsia="en-US" w:bidi="ar-SA"/>
              </w:rPr>
            </w:r>
            <w:bookmarkStart w:id="340" w:name="_Ref125370193"/>
            <w:bookmarkStart w:id="341" w:name="_Ref125370193"/>
            <w:bookmarkEnd w:id="341"/>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bl>
    <w:p>
      <w:pPr>
        <w:sectPr>
          <w:headerReference w:type="default" r:id="rId16"/>
          <w:headerReference w:type="first" r:id="rId17"/>
          <w:footerReference w:type="default" r:id="rId18"/>
          <w:footerReference w:type="first" r:id="rId1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4294963199"/>
        </w:sectPr>
      </w:pPr>
    </w:p>
    <w:p>
      <w:pPr>
        <w:pStyle w:val="Style24"/>
        <w:rPr/>
      </w:pPr>
      <w:bookmarkStart w:id="342" w:name="_Toc186224322"/>
      <w:bookmarkStart w:id="343" w:name="Прил04_ФормыЗаявки"/>
      <w:bookmarkEnd w:id="343"/>
      <w:r>
        <w:rPr/>
        <w:t>Приложение № 4 – Образцы форм документов, включаемых в состав заявки</w:t>
      </w:r>
      <w:bookmarkEnd w:id="342"/>
    </w:p>
    <w:p>
      <w:pPr>
        <w:pStyle w:val="Style25"/>
        <w:rPr/>
      </w:pPr>
      <w:bookmarkStart w:id="344" w:name="_Toc186224323"/>
      <w:r>
        <w:rPr/>
        <w:t>Пояснения к Образцам форм документов, включаемых в состав заявки</w:t>
      </w:r>
      <w:bookmarkEnd w:id="344"/>
    </w:p>
    <w:p>
      <w:pPr>
        <w:pStyle w:val="Style26"/>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4"/>
        <w:rPr/>
      </w:pPr>
      <w:bookmarkStart w:id="345" w:name="_Toc186224324"/>
      <w:bookmarkStart w:id="346" w:name="Прил05_ФормыПобедителя"/>
      <w:bookmarkEnd w:id="346"/>
      <w:r>
        <w:rPr/>
        <w:t>Приложение № 5 – Образцы форм документов, предоставляемых Победителем</w:t>
      </w:r>
      <w:bookmarkEnd w:id="345"/>
    </w:p>
    <w:p>
      <w:pPr>
        <w:pStyle w:val="Style25"/>
        <w:rPr/>
      </w:pPr>
      <w:bookmarkStart w:id="347" w:name="_Toc186224325"/>
      <w:r>
        <w:rPr/>
        <w:t>Пояснения к Образцам форм документов, предоставляемых Победителем</w:t>
      </w:r>
      <w:bookmarkEnd w:id="347"/>
    </w:p>
    <w:p>
      <w:pPr>
        <w:pStyle w:val="Style26"/>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5"/>
        <w:rPr/>
      </w:pPr>
      <w:bookmarkStart w:id="348" w:name="_Toc186224326"/>
      <w:bookmarkStart w:id="349" w:name="_Ref130395470"/>
      <w:r>
        <w:rPr/>
        <w:t>Форма справки «Сведения о цепочке собственников, включая бенефициаров (в том числе конечных)»</w:t>
      </w:r>
      <w:bookmarkEnd w:id="348"/>
      <w:bookmarkEnd w:id="349"/>
    </w:p>
    <w:p>
      <w:pPr>
        <w:pStyle w:val="Style26"/>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6"/>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50" w:name="_MON_1741074142"/>
      <w:bookmarkEnd w:id="350"/>
    </w:p>
    <w:p>
      <w:pPr>
        <w:pStyle w:val="Style30"/>
        <w:jc w:val="center"/>
        <w:rPr/>
      </w:pPr>
      <w:r>
        <w:rPr/>
        <mc:AlternateContent>
          <mc:Choice Requires="wps">
            <w:drawing>
              <wp:anchor behindDoc="0" distT="0" distB="0" distL="635" distR="0" simplePos="0" locked="0" layoutInCell="0" allowOverlap="1" relativeHeight="4">
                <wp:simplePos x="0" y="0"/>
                <wp:positionH relativeFrom="column">
                  <wp:posOffset>635</wp:posOffset>
                </wp:positionH>
                <wp:positionV relativeFrom="paragraph">
                  <wp:posOffset>635</wp:posOffset>
                </wp:positionV>
                <wp:extent cx="635000" cy="635000"/>
                <wp:effectExtent l="635" t="0" r="0" b="0"/>
                <wp:wrapNone/>
                <wp:docPr id="4"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8">
                <wp:simplePos x="0" y="0"/>
                <wp:positionH relativeFrom="column">
                  <wp:posOffset>635</wp:posOffset>
                </wp:positionH>
                <wp:positionV relativeFrom="paragraph">
                  <wp:posOffset>635</wp:posOffset>
                </wp:positionV>
                <wp:extent cx="635000" cy="635000"/>
                <wp:effectExtent l="635" t="0" r="0" b="0"/>
                <wp:wrapNone/>
                <wp:docPr id="5"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114300" distR="0" simplePos="0" locked="0" layoutInCell="0" allowOverlap="1" relativeHeight="11">
                <wp:simplePos x="0" y="0"/>
                <wp:positionH relativeFrom="column">
                  <wp:posOffset>635</wp:posOffset>
                </wp:positionH>
                <wp:positionV relativeFrom="paragraph">
                  <wp:posOffset>635</wp:posOffset>
                </wp:positionV>
                <wp:extent cx="635000" cy="635000"/>
                <wp:effectExtent l="635" t="0" r="0" b="0"/>
                <wp:wrapNone/>
                <wp:docPr id="6"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shape id="shape_0" ID="_x0000_tole_rId20" stroked="f" o:allowincell="f" style="position:absolute;margin-left:0.05pt;margin-top:0pt;width:49.95pt;height:49.95pt;mso-wrap-style:none;v-text-anchor:middle" type="_x0000_t75">
                <v:fill o:detectmouseclick="t" on="false"/>
                <v:stroke color="#3465a4" joinstyle="round" endcap="flat"/>
                <w10:wrap type="none"/>
              </v:shape>
            </w:pict>
          </mc:Fallback>
        </mc:AlternateContent>
        <w:object>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78.9pt;height:50.1pt;mso-wrap-distance-right:0pt" filled="f" o:ole="">
            <v:imagedata r:id="rId21" o:title=""/>
          </v:shape>
          <o:OLEObject Type="Embed" ProgID="Word.Document.12" ShapeID="ole_rId20" DrawAspect="Icon" ObjectID="_1099356562" r:id="rId20"/>
        </w:object>
      </w:r>
    </w:p>
    <w:p>
      <w:pPr>
        <w:pStyle w:val="Style25"/>
        <w:rPr/>
      </w:pPr>
      <w:bookmarkStart w:id="351" w:name="_Ref130395475"/>
      <w:bookmarkStart w:id="352" w:name="_Toc186224327"/>
      <w:r>
        <w:rPr/>
        <w:t>Форма «Заверение об обстоятельствах»</w:t>
      </w:r>
      <w:bookmarkEnd w:id="351"/>
      <w:bookmarkEnd w:id="352"/>
    </w:p>
    <w:p>
      <w:pPr>
        <w:pStyle w:val="Style26"/>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6"/>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6"/>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6"/>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53" w:name="_MON_1741074184"/>
      <w:bookmarkEnd w:id="353"/>
    </w:p>
    <w:p>
      <w:pPr>
        <w:pStyle w:val="Style30"/>
        <w:spacing w:before="120" w:after="120"/>
        <w:jc w:val="center"/>
        <w:rPr/>
      </w:pPr>
      <w:r>
        <w:rPr/>
        <mc:AlternateContent>
          <mc:Choice Requires="wps">
            <w:drawing>
              <wp:anchor behindDoc="0" distT="0" distB="0" distL="635" distR="0" simplePos="0" locked="0" layoutInCell="0" allowOverlap="1" relativeHeight="5">
                <wp:simplePos x="0" y="0"/>
                <wp:positionH relativeFrom="column">
                  <wp:posOffset>635</wp:posOffset>
                </wp:positionH>
                <wp:positionV relativeFrom="paragraph">
                  <wp:posOffset>635</wp:posOffset>
                </wp:positionV>
                <wp:extent cx="635000" cy="635000"/>
                <wp:effectExtent l="635" t="0" r="0" b="0"/>
                <wp:wrapNone/>
                <wp:docPr id="7" name="_x0000_tole_rId2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inline distT="0" distB="0" distL="0" distR="0">
                <wp:extent cx="14605" cy="360045"/>
                <wp:effectExtent l="114300" t="0" r="0" b="76200"/>
                <wp:docPr id="8" name="Фигура4"/>
                <a:graphic xmlns:a="http://schemas.openxmlformats.org/drawingml/2006/main">
                  <a:graphicData uri="http://schemas.microsoft.com/office/word/2010/wordprocessingShape">
                    <wps:wsp>
                      <wps:cNvSpPr/>
                      <wps:spPr>
                        <a:xfrm>
                          <a:off x="0" y="0"/>
                          <a:ext cx="14760" cy="360000"/>
                        </a:xfrm>
                        <a:prstGeom prst="rect">
                          <a:avLst/>
                        </a:prstGeom>
                        <a:noFill/>
                        <a:ln w="0">
                          <a:noFill/>
                        </a:ln>
                      </wps:spPr>
                      <wps:style>
                        <a:lnRef idx="0"/>
                        <a:fillRef idx="0"/>
                        <a:effectRef idx="0"/>
                        <a:fontRef idx="minor"/>
                      </wps:style>
                      <wps:bodyPr/>
                    </wps:wsp>
                  </a:graphicData>
                </a:graphic>
              </wp:inline>
            </w:drawing>
          </mc:Choice>
          <mc:Fallback>
            <w:pict>
              <v:rect id="shape_0" ID="Фигура4" path="m0,0l-2147483645,0l-2147483645,-2147483646l0,-2147483646xe" stroked="f" o:allowincell="f" style="position:absolute;margin-left:0pt;margin-top:-34.4pt;width:1.1pt;height:28.3pt;mso-wrap-style:none;v-text-anchor:middle;mso-position-vertical:top">
                <v:fill o:detectmouseclick="t" on="false"/>
                <v:stroke color="#3465a4" joinstyle="round" endcap="flat"/>
                <w10:wrap type="square"/>
              </v:rect>
            </w:pict>
          </mc:Fallback>
        </mc:AlternateContent>
      </w:r>
    </w:p>
    <w:p>
      <w:pPr>
        <w:pStyle w:val="Style24"/>
        <w:rPr/>
      </w:pPr>
      <w:bookmarkStart w:id="354" w:name="_Ref125362865"/>
      <w:bookmarkStart w:id="355" w:name="_Ref125362900"/>
      <w:bookmarkStart w:id="356" w:name="_Toc186224328"/>
      <w:bookmarkStart w:id="357" w:name="Прил06_СоставЗаявки"/>
      <w:bookmarkEnd w:id="357"/>
      <w:r>
        <w:rPr/>
        <w:t>Приложение № 6 – Состав заявки</w:t>
      </w:r>
      <w:bookmarkEnd w:id="354"/>
      <w:bookmarkEnd w:id="355"/>
      <w:bookmarkEnd w:id="356"/>
    </w:p>
    <w:p>
      <w:pPr>
        <w:pStyle w:val="Style25"/>
        <w:rPr/>
      </w:pPr>
      <w:bookmarkStart w:id="358" w:name="_Toc186224329"/>
      <w:r>
        <w:rPr/>
        <w:t>Состав заявки</w:t>
      </w:r>
      <w:bookmarkEnd w:id="358"/>
    </w:p>
    <w:p>
      <w:pPr>
        <w:pStyle w:val="Style26"/>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4"/>
          </w:rPr>
          <w:t>Приложении № 4</w:t>
        </w:r>
      </w:hyperlink>
      <w:r>
        <w:rPr/>
        <w:t>):</w:t>
      </w:r>
    </w:p>
    <w:tbl>
      <w:tblPr>
        <w:tblStyle w:val="afff8"/>
        <w:tblW w:w="8783" w:type="dxa"/>
        <w:jc w:val="left"/>
        <w:tblInd w:w="1129" w:type="dxa"/>
        <w:tblLayout w:type="fixed"/>
        <w:tblCellMar>
          <w:top w:w="0" w:type="dxa"/>
          <w:left w:w="57" w:type="dxa"/>
          <w:bottom w:w="0" w:type="dxa"/>
          <w:right w:w="57" w:type="dxa"/>
        </w:tblCellMar>
        <w:tblLook w:noVBand="1" w:val="04a0"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документа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4"/>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Календарный график (форма 5);</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Анкета Участника (форма 6);</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bookmarkStart w:id="359" w:name="_Ref130389408"/>
            <w:bookmarkStart w:id="360" w:name="_Ref130389408"/>
            <w:bookmarkEnd w:id="360"/>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bookmarkStart w:id="361" w:name="_Ref130389413"/>
            <w:bookmarkStart w:id="362" w:name="_Ref130389413"/>
            <w:bookmarkEnd w:id="362"/>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bookmarkStart w:id="363" w:name="_Ref130389419"/>
            <w:bookmarkStart w:id="364" w:name="_Ref130389419"/>
            <w:bookmarkEnd w:id="364"/>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Normal"/>
              <w:widowControl w:val="false"/>
              <w:suppressAutoHyphens w:val="true"/>
              <w:spacing w:before="120" w:after="60"/>
              <w:ind w:right="75" w:hanging="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right="75"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right="75" w:hanging="284"/>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30"/>
              <w:widowControl w:val="false"/>
              <w:numPr>
                <w:ilvl w:val="0"/>
                <w:numId w:val="9"/>
              </w:numPr>
              <w:suppressAutoHyphens w:val="true"/>
              <w:spacing w:before="60" w:after="60"/>
              <w:ind w:left="284" w:right="75"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right="75"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right="75"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2"/>
          <w:headerReference w:type="first" r:id="rId23"/>
          <w:footerReference w:type="default" r:id="rId24"/>
          <w:footerReference w:type="first" r:id="rId25"/>
          <w:footnotePr>
            <w:numFmt w:val="decimal"/>
          </w:footnotePr>
          <w:type w:val="nextPage"/>
          <w:pgSz w:w="11906" w:h="16838"/>
          <w:pgMar w:left="1134" w:right="850" w:gutter="0" w:header="567" w:top="851" w:footer="567" w:bottom="851"/>
          <w:pgNumType w:fmt="decimal"/>
          <w:formProt w:val="false"/>
          <w:textDirection w:val="lrTb"/>
          <w:docGrid w:type="default" w:linePitch="360" w:charSpace="4294963199"/>
        </w:sectPr>
        <w:pStyle w:val="Style26"/>
        <w:rPr>
          <w:rStyle w:val="Style11"/>
          <w:i w:val="false"/>
          <w:i w:val="false"/>
          <w:iCs w:val="false"/>
          <w:shd w:fill="auto" w:val="clear"/>
        </w:rPr>
      </w:pPr>
      <w:r>
        <w:rPr>
          <w:rStyle w:val="Style11"/>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4"/>
        <w:rPr/>
      </w:pPr>
      <w:bookmarkStart w:id="365" w:name="_Toc186224330"/>
      <w:bookmarkStart w:id="366" w:name="_Ref125365264"/>
      <w:bookmarkStart w:id="367" w:name="Прил07_ОтборочныеКритерии"/>
      <w:bookmarkEnd w:id="367"/>
      <w:r>
        <w:rPr/>
        <w:t>Приложение № 7 – Отборочные критерии рассмотрения заявок</w:t>
      </w:r>
      <w:bookmarkEnd w:id="365"/>
      <w:bookmarkEnd w:id="366"/>
    </w:p>
    <w:p>
      <w:pPr>
        <w:pStyle w:val="Style25"/>
        <w:spacing w:before="360" w:after="120"/>
        <w:rPr>
          <w:rStyle w:val="Style11"/>
          <w:i w:val="false"/>
          <w:i w:val="false"/>
          <w:iCs w:val="false"/>
          <w:shd w:fill="auto" w:val="clear"/>
        </w:rPr>
      </w:pPr>
      <w:bookmarkStart w:id="368" w:name="_Toc186224331"/>
      <w:r>
        <w:rPr>
          <w:rStyle w:val="Style11"/>
          <w:i w:val="false"/>
          <w:iCs w:val="false"/>
          <w:shd w:fill="auto" w:val="clear"/>
        </w:rPr>
        <w:t>Отборочные критерии рассмотрения заявок</w:t>
      </w:r>
      <w:bookmarkEnd w:id="368"/>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отборочного критерия</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6"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4"/>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6" w:type="dxa"/>
            <w:tcBorders/>
          </w:tcPr>
          <w:p>
            <w:pPr>
              <w:pStyle w:val="Style30"/>
              <w:widowControl w:val="false"/>
              <w:suppressAutoHyphens w:val="true"/>
              <w:spacing w:before="60" w:after="60"/>
              <w:jc w:val="center"/>
              <w:rPr>
                <w:rStyle w:val="Style14"/>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4"/>
                  <w:rFonts w:eastAsia="Calibri" w:cs=""/>
                  <w:kern w:val="0"/>
                  <w:sz w:val="26"/>
                  <w:szCs w:val="22"/>
                  <w:lang w:val="ru-RU" w:eastAsia="en-US" w:bidi="ar-SA"/>
                </w:rPr>
                <w:t>Приложение № 6</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6"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 в части наличия сведений в реестре,</w:t>
            </w:r>
          </w:p>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Фин – в части соответствия</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6"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специальным требованиям к Участникам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Юр</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Ошибка: источник перекрёстной ссылки не найден</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4"/>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6"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9919" w:type="dxa"/>
            <w:gridSpan w:val="2"/>
            <w:tcBorders/>
          </w:tcPr>
          <w:p>
            <w:pPr>
              <w:pStyle w:val="Style30"/>
              <w:keepNext w:val="true"/>
              <w:widowControl w:val="false"/>
              <w:suppressAutoHyphens w:val="true"/>
              <w:spacing w:before="60" w:after="60"/>
              <w:rPr>
                <w:rFonts w:eastAsia="Calibri"/>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Коммерческого предложения</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4"/>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25"/>
        <w:rPr>
          <w:rStyle w:val="Style11"/>
          <w:i w:val="false"/>
          <w:i w:val="false"/>
          <w:iCs w:val="false"/>
          <w:shd w:fill="auto" w:val="clear"/>
        </w:rPr>
      </w:pPr>
      <w:bookmarkStart w:id="369" w:name="_Toc186224332"/>
      <w:r>
        <w:rPr>
          <w:rStyle w:val="Style11"/>
          <w:i w:val="false"/>
          <w:iCs w:val="false"/>
          <w:shd w:fill="auto" w:val="clear"/>
        </w:rPr>
        <w:t>Дополнительные критерии проверки заявок на соответствие условиям Документации о закупке</w:t>
      </w:r>
      <w:bookmarkEnd w:id="369"/>
    </w:p>
    <w:p>
      <w:pPr>
        <w:pStyle w:val="Style30"/>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критерия проверки</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1411" w:type="dxa"/>
            <w:tcBorders/>
          </w:tcPr>
          <w:p>
            <w:pPr>
              <w:pStyle w:val="Style30"/>
              <w:widowControl w:val="false"/>
              <w:numPr>
                <w:ilvl w:val="0"/>
                <w:numId w:val="11"/>
              </w:numPr>
              <w:suppressAutoHyphens w:val="true"/>
              <w:spacing w:before="60" w:after="60"/>
              <w:ind w:left="170" w:hanging="0"/>
              <w:jc w:val="center"/>
              <w:rPr>
                <w:rFonts w:eastAsia="Calibri"/>
              </w:rPr>
            </w:pPr>
            <w:r>
              <w:rPr>
                <w:rFonts w:eastAsia="Calibri" w:cs=""/>
                <w:kern w:val="0"/>
                <w:sz w:val="26"/>
                <w:szCs w:val="22"/>
                <w:lang w:val="ru-RU" w:eastAsia="en-US" w:bidi="ar-SA"/>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30"/>
        <w:keepNext w:val="true"/>
        <w:tabs>
          <w:tab w:val="clear" w:pos="708"/>
          <w:tab w:val="left" w:pos="851" w:leader="none"/>
        </w:tabs>
        <w:spacing w:before="240" w:after="0"/>
        <w:rPr>
          <w:b/>
          <w:bCs/>
        </w:rPr>
      </w:pPr>
      <w:r>
        <w:rPr>
          <w:b/>
          <w:bCs/>
        </w:rPr>
        <w:t>* Направления оценки заявок:</w:t>
      </w:r>
    </w:p>
    <w:p>
      <w:pPr>
        <w:pStyle w:val="Style30"/>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(https://npd.nalog.ru/check-status/);</w:t>
      </w:r>
    </w:p>
    <w:p>
      <w:pPr>
        <w:pStyle w:val="Style30"/>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70"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70"/>
      <w:r>
        <w:rPr/>
        <w:t>;</w:t>
      </w:r>
    </w:p>
    <w:p>
      <w:pPr>
        <w:pStyle w:val="Style30"/>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30"/>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30"/>
        <w:tabs>
          <w:tab w:val="clear" w:pos="708"/>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26"/>
          <w:headerReference w:type="first" r:id="rId27"/>
          <w:footerReference w:type="default" r:id="rId28"/>
          <w:footerReference w:type="first" r:id="rId2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4294963199"/>
        </w:sectPr>
        <w:pStyle w:val="Style30"/>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5"/>
        <w:rPr/>
      </w:pPr>
      <w:bookmarkStart w:id="371" w:name="_Toc186224334"/>
      <w:bookmarkStart w:id="372" w:name="Прил08_ПорядокОценки"/>
      <w:bookmarkEnd w:id="372"/>
      <w:r>
        <w:rPr/>
        <w:t>Порядок и критерии оценки и сопоставления заявок</w:t>
      </w:r>
      <w:bookmarkEnd w:id="371"/>
    </w:p>
    <w:p>
      <w:pPr>
        <w:pStyle w:val="Style26"/>
        <w:spacing w:before="0" w:after="0"/>
        <w:rPr/>
      </w:pPr>
      <w:r>
        <w:rPr/>
        <w:t>Расчет итоговой оценки предпочтительности каждой заявки, успешно прошедшей отборочную стадию (подраздел </w:t>
      </w:r>
      <w:r>
        <w:rPr/>
        <w:fldChar w:fldCharType="begin"/>
      </w:r>
      <w:r>
        <w:rPr/>
        <w:instrText xml:space="preserve"> REF _Ref125362364 \w \h </w:instrText>
      </w:r>
      <w:r>
        <w:rPr/>
        <w:fldChar w:fldCharType="separate"/>
      </w:r>
      <w:r>
        <w:rPr/>
        <w:t>4.9</w:t>
      </w:r>
      <w:r>
        <w:rPr/>
        <w:fldChar w:fldCharType="end"/>
      </w:r>
      <w:r>
        <w:rPr/>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11"/>
        <w:tblW w:w="15304"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530"/>
        <w:gridCol w:w="1270"/>
        <w:gridCol w:w="1595"/>
        <w:gridCol w:w="1700"/>
        <w:gridCol w:w="1844"/>
        <w:gridCol w:w="1985"/>
        <w:gridCol w:w="5379"/>
      </w:tblGrid>
      <w:tr>
        <w:trPr>
          <w:cnfStyle w:val="100000000000" w:firstRow="1" w:lastRow="0" w:firstColumn="0" w:lastColumn="0" w:oddVBand="0" w:evenVBand="0" w:oddHBand="0" w:evenHBand="0" w:firstRowFirstColumn="0" w:firstRowLastColumn="0" w:lastRowFirstColumn="0" w:lastRowLastColumn="0"/>
        </w:trPr>
        <w:tc>
          <w:tcPr>
            <w:tcW w:w="1530"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b/>
                <w:kern w:val="0"/>
                <w:sz w:val="20"/>
                <w:szCs w:val="20"/>
                <w:lang w:val="ru-RU" w:eastAsia="en-US" w:bidi="ar-SA"/>
              </w:rPr>
              <w:t>Номер критерия оценки в</w:t>
            </w:r>
            <w:r>
              <w:rPr>
                <w:rFonts w:eastAsia="Calibri" w:cs="Times New Roman" w:ascii="Calibri" w:hAnsi="Calibri"/>
                <w:b/>
                <w:kern w:val="0"/>
                <w:sz w:val="20"/>
                <w:szCs w:val="20"/>
                <w:lang w:val="en-US" w:eastAsia="en-US" w:bidi="ar-SA"/>
              </w:rPr>
              <w:t> </w:t>
            </w:r>
            <w:r>
              <w:rPr>
                <w:rFonts w:eastAsia="Calibri" w:cs="Times New Roman" w:ascii="Calibri" w:hAnsi="Calibri"/>
                <w:b/>
                <w:kern w:val="0"/>
                <w:sz w:val="20"/>
                <w:szCs w:val="20"/>
                <w:lang w:val="ru-RU" w:eastAsia="en-US" w:bidi="ar-SA"/>
              </w:rPr>
              <w:t>структуре</w:t>
            </w:r>
          </w:p>
        </w:tc>
        <w:tc>
          <w:tcPr>
            <w:tcW w:w="1270"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Вид критерия оценки / направление оценки заявок</w:t>
            </w:r>
          </w:p>
        </w:tc>
        <w:tc>
          <w:tcPr>
            <w:tcW w:w="3295" w:type="dxa"/>
            <w:gridSpan w:val="2"/>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Наименование критерия оценки</w:t>
            </w:r>
          </w:p>
        </w:tc>
        <w:tc>
          <w:tcPr>
            <w:tcW w:w="1844"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Значимость</w:t>
              <w:br/>
              <w:t>критерия оценки</w:t>
            </w:r>
          </w:p>
        </w:tc>
        <w:tc>
          <w:tcPr>
            <w:tcW w:w="1985"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Содержание частного критерия оценки</w:t>
            </w:r>
          </w:p>
        </w:tc>
        <w:tc>
          <w:tcPr>
            <w:tcW w:w="5379"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Расчет оценки предпочтительности заявки</w:t>
            </w:r>
          </w:p>
        </w:tc>
      </w:tr>
      <w:tr>
        <w:trPr/>
        <w:tc>
          <w:tcPr>
            <w:tcW w:w="1530"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r>
          </w:p>
        </w:tc>
        <w:tc>
          <w:tcPr>
            <w:tcW w:w="1270"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r>
          </w:p>
        </w:tc>
        <w:tc>
          <w:tcPr>
            <w:tcW w:w="1595" w:type="dxa"/>
            <w:tcBorders/>
          </w:tcPr>
          <w:p>
            <w:pPr>
              <w:pStyle w:val="Normal"/>
              <w:widowControl w:val="false"/>
              <w:suppressAutoHyphens w:val="true"/>
              <w:spacing w:before="0" w:after="60"/>
              <w:jc w:val="both"/>
              <w:rPr>
                <w:rFonts w:ascii="Times New Roman" w:hAnsi="Times New Roman" w:eastAsia="Calibri" w:cs="Times New Roman"/>
                <w:b/>
                <w:bCs/>
                <w:sz w:val="20"/>
                <w:szCs w:val="20"/>
              </w:rPr>
            </w:pPr>
            <w:r>
              <w:rPr>
                <w:rFonts w:eastAsia="Calibri" w:cs="Times New Roman"/>
                <w:b/>
                <w:bCs/>
                <w:kern w:val="0"/>
                <w:sz w:val="20"/>
                <w:szCs w:val="20"/>
                <w:lang w:val="ru-RU" w:eastAsia="en-US" w:bidi="ar-SA"/>
              </w:rPr>
              <w:t>критерий оценки первого уровня</w:t>
            </w:r>
          </w:p>
        </w:tc>
        <w:tc>
          <w:tcPr>
            <w:tcW w:w="1700" w:type="dxa"/>
            <w:tcBorders/>
          </w:tcPr>
          <w:p>
            <w:pPr>
              <w:pStyle w:val="Normal"/>
              <w:widowControl w:val="false"/>
              <w:suppressAutoHyphens w:val="true"/>
              <w:spacing w:before="0" w:after="60"/>
              <w:jc w:val="both"/>
              <w:rPr>
                <w:rFonts w:ascii="Times New Roman" w:hAnsi="Times New Roman" w:eastAsia="Calibri" w:cs="Times New Roman"/>
                <w:b/>
                <w:bCs/>
                <w:sz w:val="20"/>
                <w:szCs w:val="20"/>
              </w:rPr>
            </w:pPr>
            <w:r>
              <w:rPr>
                <w:rFonts w:eastAsia="Calibri" w:cs="Times New Roman"/>
                <w:b/>
                <w:bCs/>
                <w:kern w:val="0"/>
                <w:sz w:val="20"/>
                <w:szCs w:val="20"/>
                <w:lang w:val="ru-RU" w:eastAsia="en-US" w:bidi="ar-SA"/>
              </w:rPr>
              <w:t>критерий оценки второго уровня</w:t>
            </w:r>
          </w:p>
        </w:tc>
        <w:tc>
          <w:tcPr>
            <w:tcW w:w="1844"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r>
          </w:p>
        </w:tc>
        <w:tc>
          <w:tcPr>
            <w:tcW w:w="1985"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r>
          </w:p>
        </w:tc>
        <w:tc>
          <w:tcPr>
            <w:tcW w:w="5379"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r>
          </w:p>
        </w:tc>
      </w:tr>
      <w:tr>
        <w:trPr/>
        <w:tc>
          <w:tcPr>
            <w:tcW w:w="1530" w:type="dxa"/>
            <w:tcBorders/>
            <w:shd w:color="auto" w:fill="auto" w:val="clear"/>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1.</w:t>
            </w:r>
          </w:p>
        </w:tc>
        <w:tc>
          <w:tcPr>
            <w:tcW w:w="1270" w:type="dxa"/>
            <w:tcBorders/>
          </w:tcPr>
          <w:p>
            <w:pPr>
              <w:pStyle w:val="Normal"/>
              <w:widowControl w:val="false"/>
              <w:suppressAutoHyphens w:val="true"/>
              <w:spacing w:before="0" w:after="60"/>
              <w:jc w:val="both"/>
              <w:rPr>
                <w:rFonts w:ascii="Times New Roman" w:hAnsi="Times New Roman" w:eastAsia="Calibri" w:cs="Times New Roman"/>
                <w:iCs/>
                <w:sz w:val="20"/>
                <w:szCs w:val="20"/>
                <w:shd w:fill="FFFF99" w:val="clear"/>
              </w:rPr>
            </w:pPr>
            <w:r>
              <w:rPr>
                <w:rFonts w:eastAsia="Times New Roman" w:cs="Times New Roman"/>
                <w:kern w:val="0"/>
                <w:sz w:val="20"/>
                <w:szCs w:val="20"/>
                <w:lang w:val="ru-RU" w:eastAsia="ru-RU" w:bidi="ar-SA"/>
              </w:rPr>
              <w:t>Ценовой (стоимостный) частный критерий оценки первого уровня / ЦЕНА</w:t>
            </w:r>
          </w:p>
        </w:tc>
        <w:tc>
          <w:tcPr>
            <w:tcW w:w="1595"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Times New Roman" w:cs="Times New Roman"/>
                <w:kern w:val="0"/>
                <w:sz w:val="20"/>
                <w:szCs w:val="20"/>
                <w:lang w:val="ru-RU" w:eastAsia="ru-RU" w:bidi="ar-SA"/>
              </w:rPr>
              <w:t>Цена договора (заявки)</w:t>
            </w:r>
          </w:p>
        </w:tc>
        <w:tc>
          <w:tcPr>
            <w:tcW w:w="1700" w:type="dxa"/>
            <w:tcBorders>
              <w:left w:val="single" w:sz="4" w:space="0" w:color="000000"/>
              <w:right w:val="single" w:sz="4" w:space="0" w:color="000000"/>
            </w:tcBorders>
            <w:shd w:color="auto" w:fill="auto" w:val="clear"/>
          </w:tcPr>
          <w:p>
            <w:pPr>
              <w:pStyle w:val="Normal"/>
              <w:widowControl w:val="false"/>
              <w:suppressAutoHyphens w:val="true"/>
              <w:spacing w:before="0" w:after="60"/>
              <w:jc w:val="both"/>
              <w:rPr>
                <w:rFonts w:ascii="Times New Roman" w:hAnsi="Times New Roman" w:eastAsia="Calibri" w:cs="Times New Roman"/>
                <w:iCs/>
                <w:sz w:val="20"/>
                <w:szCs w:val="20"/>
                <w:shd w:fill="FFFF99" w:val="clear"/>
              </w:rPr>
            </w:pPr>
            <w:r>
              <w:rPr>
                <w:rFonts w:eastAsia="Calibri" w:cs="Times New Roman"/>
                <w:kern w:val="0"/>
                <w:sz w:val="20"/>
                <w:szCs w:val="20"/>
                <w:lang w:val="ru-RU" w:eastAsia="en-US" w:bidi="ar-SA"/>
              </w:rPr>
              <w:t>отсутствует</w:t>
            </w:r>
          </w:p>
        </w:tc>
        <w:tc>
          <w:tcPr>
            <w:tcW w:w="1844" w:type="dxa"/>
            <w:tcBorders>
              <w:left w:val="single" w:sz="4" w:space="0" w:color="000000"/>
              <w:right w:val="single" w:sz="4" w:space="0" w:color="000000"/>
            </w:tcBorders>
            <w:shd w:color="auto" w:fill="auto" w:val="clear"/>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 xml:space="preserve">75% </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(В</w:t>
            </w:r>
            <w:r>
              <w:rPr>
                <w:rFonts w:eastAsia="Calibri" w:cs="Times New Roman" w:ascii="Calibri" w:hAnsi="Calibri"/>
                <w:kern w:val="0"/>
                <w:sz w:val="20"/>
                <w:szCs w:val="20"/>
                <w:vertAlign w:val="subscript"/>
                <w:lang w:val="ru-RU" w:eastAsia="en-US" w:bidi="ar-SA"/>
              </w:rPr>
              <w:t>1</w:t>
            </w:r>
            <w:r>
              <w:rPr>
                <w:rFonts w:eastAsia="Calibri" w:cs="Times New Roman" w:ascii="Calibri" w:hAnsi="Calibri"/>
                <w:kern w:val="0"/>
                <w:sz w:val="20"/>
                <w:szCs w:val="20"/>
                <w:lang w:val="ru-RU" w:eastAsia="en-US" w:bidi="ar-SA"/>
              </w:rPr>
              <w:t xml:space="preserve"> = 0,75)</w:t>
            </w:r>
          </w:p>
        </w:tc>
        <w:tc>
          <w:tcPr>
            <w:tcW w:w="1985" w:type="dxa"/>
            <w:tcBorders>
              <w:left w:val="single" w:sz="4" w:space="0" w:color="000000"/>
              <w:right w:val="single" w:sz="4" w:space="0" w:color="000000"/>
            </w:tcBorders>
            <w:shd w:color="auto" w:fill="auto" w:val="clear"/>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Чем меньше цена договора, тем выше предпочтительность</w:t>
            </w:r>
          </w:p>
        </w:tc>
        <w:tc>
          <w:tcPr>
            <w:tcW w:w="5379" w:type="dxa"/>
            <w:tcBorders>
              <w:left w:val="single" w:sz="4" w:space="0" w:color="000000"/>
            </w:tcBorders>
            <w:shd w:color="auto" w:fill="auto" w:val="clear"/>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Расчет оценки предпочтительности по частному критерию по методу «Математическая формула, задающая «функцию ценности»»:</w:t>
            </w:r>
          </w:p>
          <w:p>
            <w:pPr>
              <w:pStyle w:val="Normal"/>
              <w:widowControl w:val="false"/>
              <w:suppressAutoHyphens w:val="true"/>
              <w:spacing w:before="0" w:after="60"/>
              <w:jc w:val="center"/>
              <w:rPr>
                <w:rFonts w:ascii="Times New Roman" w:hAnsi="Times New Roman" w:eastAsia="Calibri" w:cs="Times New Roman"/>
                <w:sz w:val="20"/>
                <w:szCs w:val="20"/>
              </w:rPr>
            </w:pPr>
            <w:r>
              <w:rPr>
                <w:kern w:val="0"/>
                <w:lang w:val="ru-RU" w:eastAsia="en-US" w:bidi="ar-SA"/>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где:</w:t>
            </w:r>
          </w:p>
          <w:p>
            <w:pPr>
              <w:pStyle w:val="Normal"/>
              <w:widowControl w:val="false"/>
              <w:tabs>
                <w:tab w:val="clear" w:pos="708"/>
                <w:tab w:val="left" w:pos="742" w:leader="none"/>
                <w:tab w:val="left" w:pos="1167" w:leader="none"/>
              </w:tabs>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Б</w:t>
            </w:r>
            <w:r>
              <w:rPr>
                <w:rFonts w:eastAsia="Calibri" w:cs="Times New Roman" w:ascii="Calibri" w:hAnsi="Calibri"/>
                <w:kern w:val="0"/>
                <w:sz w:val="20"/>
                <w:szCs w:val="20"/>
                <w:vertAlign w:val="subscript"/>
                <w:lang w:val="ru-RU" w:eastAsia="en-US" w:bidi="ar-SA"/>
              </w:rPr>
              <w:t>1</w:t>
            </w:r>
            <w:r>
              <w:rPr>
                <w:rFonts w:eastAsia="Calibri" w:cs="Times New Roman" w:ascii="Calibri" w:hAnsi="Calibri"/>
                <w:kern w:val="0"/>
                <w:sz w:val="20"/>
                <w:szCs w:val="20"/>
                <w:lang w:val="ru-RU" w:eastAsia="en-US" w:bidi="ar-SA"/>
              </w:rPr>
              <w:tab/>
              <w:t>–</w:t>
              <w:tab/>
              <w:t>рассчитанная оценка предпочтительности по данному частному критерию оценки в баллах;</w:t>
            </w:r>
          </w:p>
          <w:p>
            <w:pPr>
              <w:pStyle w:val="Normal"/>
              <w:widowControl w:val="false"/>
              <w:tabs>
                <w:tab w:val="clear" w:pos="708"/>
                <w:tab w:val="left" w:pos="742" w:leader="none"/>
                <w:tab w:val="left" w:pos="1167" w:leader="none"/>
              </w:tabs>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ЦЕНА</w:t>
            </w:r>
            <w:r>
              <w:rPr>
                <w:rFonts w:eastAsia="Calibri" w:cs="Times New Roman" w:ascii="Calibri" w:hAnsi="Calibri"/>
                <w:kern w:val="0"/>
                <w:sz w:val="20"/>
                <w:szCs w:val="20"/>
                <w:vertAlign w:val="subscript"/>
                <w:lang w:val="en-US" w:eastAsia="en-US" w:bidi="ar-SA"/>
              </w:rPr>
              <w:t>i</w:t>
            </w:r>
            <w:r>
              <w:rPr>
                <w:rFonts w:eastAsia="Calibri" w:cs="Times New Roman" w:ascii="Calibri" w:hAnsi="Calibri"/>
                <w:kern w:val="0"/>
                <w:sz w:val="20"/>
                <w:szCs w:val="20"/>
                <w:lang w:val="ru-RU" w:eastAsia="en-US" w:bidi="ar-SA"/>
              </w:rPr>
              <w:tab/>
              <w:t>–</w:t>
              <w:tab/>
              <w:t xml:space="preserve">цена договора, указанная в </w:t>
            </w:r>
            <w:r>
              <w:rPr>
                <w:rFonts w:eastAsia="Calibri" w:cs="Times New Roman" w:ascii="Calibri" w:hAnsi="Calibri"/>
                <w:kern w:val="0"/>
                <w:sz w:val="20"/>
                <w:szCs w:val="20"/>
                <w:lang w:val="en-US" w:eastAsia="en-US" w:bidi="ar-SA"/>
              </w:rPr>
              <w:t>i</w:t>
            </w:r>
            <w:r>
              <w:rPr>
                <w:rFonts w:eastAsia="Calibri" w:cs="Times New Roman" w:ascii="Calibri" w:hAnsi="Calibri"/>
                <w:kern w:val="0"/>
                <w:sz w:val="20"/>
                <w:szCs w:val="20"/>
                <w:lang w:val="ru-RU" w:eastAsia="en-US" w:bidi="ar-SA"/>
              </w:rPr>
              <w:t>-ой заявке, руб. без НДС;</w:t>
            </w:r>
          </w:p>
          <w:p>
            <w:pPr>
              <w:pStyle w:val="Normal"/>
              <w:widowControl w:val="false"/>
              <w:tabs>
                <w:tab w:val="clear" w:pos="708"/>
                <w:tab w:val="left" w:pos="742" w:leader="none"/>
                <w:tab w:val="left" w:pos="1167" w:leader="none"/>
              </w:tabs>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ЦЕНА</w:t>
            </w:r>
            <w:r>
              <w:rPr>
                <w:rFonts w:eastAsia="Calibri" w:cs="Times New Roman" w:ascii="Calibri" w:hAnsi="Calibri"/>
                <w:kern w:val="0"/>
                <w:sz w:val="20"/>
                <w:szCs w:val="20"/>
                <w:vertAlign w:val="subscript"/>
                <w:lang w:val="en-US" w:eastAsia="en-US" w:bidi="ar-SA"/>
              </w:rPr>
              <w:t>min</w:t>
            </w:r>
            <w:r>
              <w:rPr>
                <w:rFonts w:eastAsia="Calibri" w:cs="Times New Roman" w:ascii="Calibri" w:hAnsi="Calibri"/>
                <w:kern w:val="0"/>
                <w:sz w:val="20"/>
                <w:szCs w:val="20"/>
                <w:vertAlign w:val="subscript"/>
                <w:lang w:val="ru-RU" w:eastAsia="en-US" w:bidi="ar-SA"/>
              </w:rPr>
              <w:tab/>
              <w:tab/>
            </w:r>
            <w:r>
              <w:rPr>
                <w:rFonts w:eastAsia="Calibri" w:cs="Times New Roman" w:ascii="Calibri" w:hAnsi="Calibri"/>
                <w:kern w:val="0"/>
                <w:sz w:val="20"/>
                <w:szCs w:val="20"/>
                <w:lang w:val="ru-RU" w:eastAsia="en-US" w:bidi="ar-SA"/>
              </w:rPr>
              <w:t>минимальная цена договора среди всех допущенных заявок, руб. без НДС;</w:t>
            </w:r>
          </w:p>
          <w:p>
            <w:pPr>
              <w:pStyle w:val="Normal"/>
              <w:widowControl w:val="false"/>
              <w:tabs>
                <w:tab w:val="clear" w:pos="708"/>
                <w:tab w:val="left" w:pos="742" w:leader="none"/>
                <w:tab w:val="left" w:pos="1167" w:leader="none"/>
              </w:tabs>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Ш</w:t>
              <w:tab/>
              <w:t>–</w:t>
              <w:tab/>
              <w:t>максимально возможный балл (максимальная возможная оценка предпочтительности) по шкале оценок (Ш = 5).</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Шкала оценок от 0 до 5 баллов.</w:t>
            </w:r>
          </w:p>
        </w:tc>
      </w:tr>
      <w:tr>
        <w:trPr/>
        <w:tc>
          <w:tcPr>
            <w:tcW w:w="1530" w:type="dxa"/>
            <w:tcBorders/>
            <w:shd w:color="auto" w:fill="auto" w:val="clear"/>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2.</w:t>
            </w:r>
          </w:p>
        </w:tc>
        <w:tc>
          <w:tcPr>
            <w:tcW w:w="1270"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Times New Roman" w:cs="Times New Roman"/>
                <w:kern w:val="0"/>
                <w:sz w:val="20"/>
                <w:szCs w:val="20"/>
                <w:lang w:val="ru-RU" w:eastAsia="ru-RU" w:bidi="ar-SA"/>
              </w:rPr>
              <w:t>Неценовой частный критерий оценки первого уровня / ТЕХ</w:t>
            </w:r>
          </w:p>
        </w:tc>
        <w:tc>
          <w:tcPr>
            <w:tcW w:w="1595"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ru-RU" w:bidi="ar-SA"/>
              </w:rPr>
              <w:t>Отношение Участника закупки к производителю предлагаемой продукции</w:t>
            </w:r>
            <w:r>
              <w:rPr>
                <w:rFonts w:eastAsia="Times New Roman" w:cs="Times New Roman" w:ascii="Calibri" w:hAnsi="Calibri"/>
                <w:i/>
                <w:kern w:val="0"/>
                <w:sz w:val="20"/>
                <w:szCs w:val="20"/>
                <w:lang w:val="ru-RU" w:eastAsia="ru-RU" w:bidi="ar-SA"/>
              </w:rPr>
              <w:t xml:space="preserve"> </w:t>
            </w:r>
          </w:p>
        </w:tc>
        <w:tc>
          <w:tcPr>
            <w:tcW w:w="1700"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Times New Roman" w:cs="Times New Roman"/>
                <w:i/>
                <w:kern w:val="0"/>
                <w:sz w:val="20"/>
                <w:szCs w:val="20"/>
                <w:lang w:val="ru-RU" w:eastAsia="ru-RU" w:bidi="ar-SA"/>
              </w:rPr>
              <w:t>отсутствует</w:t>
            </w:r>
          </w:p>
        </w:tc>
        <w:tc>
          <w:tcPr>
            <w:tcW w:w="1844"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Times New Roman" w:cs="Times New Roman" w:ascii="Calibri" w:hAnsi="Calibri"/>
                <w:kern w:val="0"/>
                <w:sz w:val="20"/>
                <w:szCs w:val="20"/>
                <w:lang w:val="ru-RU" w:eastAsia="ru-RU" w:bidi="ar-SA"/>
              </w:rPr>
              <w:t>20%</w:t>
              <w:br/>
              <w:t>(В</w:t>
            </w:r>
            <w:r>
              <w:rPr>
                <w:rFonts w:eastAsia="Times New Roman" w:cs="Times New Roman" w:ascii="Calibri" w:hAnsi="Calibri"/>
                <w:kern w:val="0"/>
                <w:sz w:val="20"/>
                <w:szCs w:val="20"/>
                <w:vertAlign w:val="subscript"/>
                <w:lang w:val="ru-RU" w:eastAsia="ru-RU" w:bidi="ar-SA"/>
              </w:rPr>
              <w:t>2</w:t>
            </w:r>
            <w:r>
              <w:rPr>
                <w:rFonts w:eastAsia="Times New Roman" w:cs="Times New Roman" w:ascii="Calibri" w:hAnsi="Calibri"/>
                <w:kern w:val="0"/>
                <w:sz w:val="20"/>
                <w:szCs w:val="20"/>
                <w:lang w:val="ru-RU" w:eastAsia="ru-RU" w:bidi="ar-SA"/>
              </w:rPr>
              <w:t xml:space="preserve"> = 0,20)</w:t>
            </w:r>
          </w:p>
        </w:tc>
        <w:tc>
          <w:tcPr>
            <w:tcW w:w="1985"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ru-RU" w:bidi="ar-SA"/>
              </w:rPr>
              <w:t>Если Участник закупки является производителем оборудования, предпочтительность выше</w:t>
            </w:r>
          </w:p>
        </w:tc>
        <w:tc>
          <w:tcPr>
            <w:tcW w:w="5379" w:type="dxa"/>
            <w:tcBorders/>
          </w:tcPr>
          <w:p>
            <w:pPr>
              <w:pStyle w:val="Normal"/>
              <w:widowControl w:val="false"/>
              <w:numPr>
                <w:ilvl w:val="0"/>
                <w:numId w:val="0"/>
              </w:numPr>
              <w:tabs>
                <w:tab w:val="clear" w:pos="708"/>
                <w:tab w:val="left" w:pos="0" w:leader="none"/>
              </w:tabs>
              <w:suppressAutoHyphens w:val="true"/>
              <w:spacing w:before="0" w:after="60"/>
              <w:ind w:left="0" w:hanging="0"/>
              <w:jc w:val="both"/>
              <w:rPr>
                <w:rFonts w:ascii="Times New Roman" w:hAnsi="Times New Roman" w:eastAsia="Calibri" w:cs="Times New Roman"/>
                <w:sz w:val="20"/>
                <w:szCs w:val="20"/>
                <w:lang w:eastAsia="ru-RU"/>
              </w:rPr>
            </w:pPr>
            <w:r>
              <w:rPr>
                <w:rFonts w:eastAsia="Calibri" w:cs="Times New Roman" w:ascii="Calibri" w:hAnsi="Calibri"/>
                <w:kern w:val="0"/>
                <w:sz w:val="20"/>
                <w:szCs w:val="20"/>
                <w:lang w:val="ru-RU" w:eastAsia="ru-RU" w:bidi="ar-SA"/>
              </w:rPr>
              <w:t>Расчет оценки предпочтительности по частному критерию по методу «</w:t>
            </w:r>
            <w:r>
              <w:rPr>
                <w:rFonts w:eastAsia="Calibri" w:cs="Times New Roman" w:ascii="Calibri" w:hAnsi="Calibri"/>
                <w:kern w:val="0"/>
                <w:sz w:val="20"/>
                <w:szCs w:val="20"/>
                <w:lang w:val="ru-RU" w:eastAsia="en-US" w:bidi="ar-SA"/>
              </w:rPr>
              <w:t>Оценка предпочтительности посредством однозначной числовой шкалы измерений</w:t>
            </w:r>
            <w:r>
              <w:rPr>
                <w:rFonts w:eastAsia="Calibri" w:cs="Times New Roman" w:ascii="Calibri" w:hAnsi="Calibri"/>
                <w:kern w:val="0"/>
                <w:sz w:val="20"/>
                <w:szCs w:val="20"/>
                <w:lang w:val="ru-RU" w:eastAsia="ru-RU" w:bidi="ar-SA"/>
              </w:rPr>
              <w:t>»:</w:t>
            </w:r>
          </w:p>
          <w:p>
            <w:pPr>
              <w:pStyle w:val="Normal"/>
              <w:widowControl w:val="false"/>
              <w:numPr>
                <w:ilvl w:val="7"/>
                <w:numId w:val="16"/>
              </w:numPr>
              <w:suppressAutoHyphens w:val="true"/>
              <w:spacing w:before="0" w:after="60"/>
              <w:jc w:val="both"/>
              <w:rPr>
                <w:rFonts w:ascii="Times New Roman" w:hAnsi="Times New Roman" w:eastAsia="Calibri" w:cs="Times New Roman"/>
                <w:i/>
                <w:i/>
                <w:sz w:val="20"/>
                <w:szCs w:val="20"/>
                <w:highlight w:val="yellow"/>
              </w:rPr>
            </w:pPr>
            <w:r>
              <w:rPr>
                <w:rFonts w:eastAsia="Calibri" w:cs="Times New Roman" w:ascii="Calibri" w:hAnsi="Calibri"/>
                <w:kern w:val="0"/>
                <w:sz w:val="20"/>
                <w:szCs w:val="20"/>
                <w:lang w:val="ru-RU" w:eastAsia="ru-RU" w:bidi="ar-SA"/>
              </w:rPr>
              <w:t>Порядок осуществления оценки (значение оцениваемого параметра), в зависимости от представленных в i-ой заявке копий документов, подтверждающих статус Участника *</w:t>
            </w:r>
            <w:r>
              <w:rPr>
                <w:rFonts w:eastAsia="Calibri" w:cs="Times New Roman" w:ascii="Calibri" w:hAnsi="Calibri"/>
                <w:kern w:val="0"/>
                <w:sz w:val="20"/>
                <w:szCs w:val="20"/>
                <w:shd w:fill="FFFFEC" w:val="clear"/>
                <w:lang w:val="ru-RU" w:eastAsia="ru-RU" w:bidi="ar-SA"/>
              </w:rPr>
              <w:t>:</w:t>
            </w:r>
          </w:p>
          <w:p>
            <w:pPr>
              <w:pStyle w:val="Normal"/>
              <w:widowControl w:val="false"/>
              <w:numPr>
                <w:ilvl w:val="7"/>
                <w:numId w:val="16"/>
              </w:numPr>
              <w:suppressAutoHyphens w:val="tru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При оценке Участника данный критерий оценки применяется с учетом объема (по стоимости) предлагаемой участником в данном статусе продукции, при этом:</w:t>
            </w:r>
          </w:p>
          <w:p>
            <w:pPr>
              <w:pStyle w:val="Normal"/>
              <w:widowControl w:val="false"/>
              <w:numPr>
                <w:ilvl w:val="0"/>
                <w:numId w:val="0"/>
              </w:numPr>
              <w:tabs>
                <w:tab w:val="clear" w:pos="708"/>
                <w:tab w:val="left" w:pos="0" w:leader="none"/>
              </w:tabs>
              <w:suppressAutoHyphens w:val="true"/>
              <w:spacing w:before="0" w:after="60"/>
              <w:ind w:left="0" w:hanging="0"/>
              <w:jc w:val="both"/>
              <w:rPr>
                <w:rFonts w:ascii="Times New Roman" w:hAnsi="Times New Roman" w:eastAsia="Calibri" w:cs="Times New Roman"/>
                <w:sz w:val="20"/>
                <w:szCs w:val="20"/>
                <w:lang w:eastAsia="ru-RU"/>
              </w:rPr>
            </w:pPr>
            <w:r>
              <w:rPr>
                <w:kern w:val="0"/>
                <w:sz w:val="26"/>
                <w:szCs w:val="22"/>
                <w:lang w:val="ru-RU" w:bidi="ar-SA"/>
              </w:rPr>
            </w:r>
            <m:oMath xmlns:m="http://schemas.openxmlformats.org/officeDocument/2006/math">
              <m:sSub>
                <m:e>
                  <m:r>
                    <w:rPr>
                      <w:rFonts w:ascii="Cambria Math" w:hAnsi="Cambria Math"/>
                    </w:rPr>
                    <m:t xml:space="preserve">Б</m:t>
                  </m:r>
                </m:e>
                <m:sub>
                  <m:r>
                    <w:rPr>
                      <w:rFonts w:ascii="Cambria Math" w:hAnsi="Cambria Math"/>
                    </w:rPr>
                    <m:t xml:space="preserve">2</m:t>
                  </m:r>
                </m:sub>
              </m:sSub>
              <m:r>
                <w:rPr>
                  <w:rFonts w:ascii="Cambria Math" w:hAnsi="Cambria Math"/>
                </w:rPr>
                <m:t xml:space="preserve">=</m:t>
              </m:r>
              <m:nary>
                <m:naryPr>
                  <m:chr m:val="∑"/>
                </m:naryPr>
                <m:sub>
                  <m:r>
                    <w:rPr>
                      <w:rFonts w:ascii="Cambria Math" w:hAnsi="Cambria Math"/>
                    </w:rPr>
                    <m:t xml:space="preserve">k</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b>
                    <m:e>
                      <m:r>
                        <w:rPr>
                          <w:rFonts w:ascii="Cambria Math" w:hAnsi="Cambria Math"/>
                        </w:rPr>
                        <m:t xml:space="preserve">k</m:t>
                      </m:r>
                    </m:e>
                    <m:sub>
                      <m:r>
                        <w:rPr>
                          <w:rFonts w:ascii="Cambria Math" w:hAnsi="Cambria Math"/>
                        </w:rPr>
                        <m:t xml:space="preserve">i</m:t>
                      </m:r>
                    </m:sub>
                  </m:sSub>
                  <m:r>
                    <w:rPr>
                      <w:rFonts w:ascii="Cambria Math" w:hAnsi="Cambria Math"/>
                    </w:rPr>
                    <m:t xml:space="preserve">∗</m:t>
                  </m:r>
                  <m:r>
                    <w:rPr>
                      <w:rFonts w:ascii="Cambria Math" w:hAnsi="Cambria Math"/>
                    </w:rPr>
                    <m:t xml:space="preserve">Б</m:t>
                  </m:r>
                </m:e>
              </m:nary>
            </m:oMath>
            <w:r>
              <w:fldChar w:fldCharType="begin"/>
            </w:r>
            <w:r>
              <w:rPr>
                <w:sz w:val="26"/>
                <w:kern w:val="0"/>
                <w:szCs w:val="22"/>
                <w:lang w:val="ru-RU" w:bidi="ar-SA"/>
              </w:rPr>
              <w:instrText xml:space="preserve">QUOTE</w:instrText>
            </w:r>
            <w:r>
              <w:rPr>
                <w:kern w:val="0"/>
                <w:sz w:val="26"/>
                <w:szCs w:val="22"/>
                <w:lang w:val="ru-RU" w:bidi="ar-SA"/>
              </w:rPr>
            </w:r>
            <w:r>
              <w:rPr>
                <w:kern w:val="0"/>
                <w:sz w:val="26"/>
                <w:szCs w:val="22"/>
                <w:lang w:val="ru-RU" w:bidi="ar-SA"/>
              </w:rPr>
              <w:drawing>
                <wp:inline distT="0" distB="0" distL="0" distR="0">
                  <wp:extent cx="933450" cy="295275"/>
                  <wp:effectExtent l="0" t="0" r="0" b="0"/>
                  <wp:docPr id="9" name="Рисунок 2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32" descr=""/>
                          <pic:cNvPicPr>
                            <a:picLocks noChangeAspect="1" noChangeArrowheads="1"/>
                          </pic:cNvPicPr>
                        </pic:nvPicPr>
                        <pic:blipFill>
                          <a:blip r:embed="rId30"/>
                          <a:stretch>
                            <a:fillRect/>
                          </a:stretch>
                        </pic:blipFill>
                        <pic:spPr bwMode="auto">
                          <a:xfrm>
                            <a:off x="0" y="0"/>
                            <a:ext cx="933450" cy="295275"/>
                          </a:xfrm>
                          <a:prstGeom prst="rect">
                            <a:avLst/>
                          </a:prstGeom>
                        </pic:spPr>
                      </pic:pic>
                    </a:graphicData>
                  </a:graphic>
                </wp:inline>
              </w:drawing>
            </w:r>
            <w:r>
              <w:rPr>
                <w:sz w:val="20"/>
                <w:kern w:val="0"/>
                <w:szCs w:val="20"/>
                <w:lang w:val="ru-RU" w:bidi="ar-SA"/>
              </w:rPr>
              <w:fldChar w:fldCharType="separate"/>
            </w:r>
            <w:r>
              <w:rPr>
                <w:kern w:val="0"/>
                <w:sz w:val="20"/>
                <w:szCs w:val="20"/>
                <w:lang w:val="ru-RU" w:bidi="ar-SA"/>
              </w:rPr>
            </w:r>
            <w:r/>
            <w:r>
              <w:rPr>
                <w:sz w:val="20"/>
                <w:kern w:val="0"/>
                <w:szCs w:val="20"/>
                <w:lang w:val="ru-RU" w:bidi="ar-SA"/>
              </w:rPr>
              <w:fldChar w:fldCharType="end"/>
            </w:r>
            <w:r>
              <w:rPr>
                <w:kern w:val="0"/>
                <w:sz w:val="20"/>
                <w:szCs w:val="20"/>
                <w:lang w:val="ru-RU" w:bidi="ar-SA"/>
              </w:rPr>
            </w:r>
          </w:p>
          <w:tbl>
            <w:tblPr>
              <w:tblW w:w="531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59"/>
              <w:gridCol w:w="4222"/>
              <w:gridCol w:w="237"/>
            </w:tblGrid>
            <w:tr>
              <w:trPr>
                <w:trHeight w:val="309" w:hRule="atLeast"/>
                <w:cantSplit w:val="true"/>
              </w:trPr>
              <w:tc>
                <w:tcPr>
                  <w:tcW w:w="859" w:type="dxa"/>
                  <w:tcBorders>
                    <w:top w:val="single" w:sz="4" w:space="0" w:color="000000"/>
                    <w:bottom w:val="single" w:sz="4" w:space="0" w:color="000000"/>
                    <w:right w:val="single" w:sz="4" w:space="0" w:color="000000"/>
                  </w:tcBorders>
                  <w:shd w:color="auto" w:fill="FFFFFF" w:val="clear"/>
                </w:tcPr>
                <w:p>
                  <w:pPr>
                    <w:pStyle w:val="Normal"/>
                    <w:widowControl w:val="false"/>
                    <w:snapToGrid w:val="false"/>
                    <w:spacing w:before="0" w:after="0"/>
                    <w:ind w:left="-170" w:firstLine="142"/>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eastAsia="ru-RU"/>
                    </w:rPr>
                    <w:t>i</w:t>
                  </w:r>
                  <w:r>
                    <w:rPr>
                      <w:rFonts w:eastAsia="Calibri" w:cs="Times New Roman"/>
                      <w:sz w:val="20"/>
                      <w:szCs w:val="20"/>
                      <w:lang w:eastAsia="ru-RU"/>
                    </w:rPr>
                    <w:t>= 0</w:t>
                  </w:r>
                </w:p>
              </w:tc>
              <w:tc>
                <w:tcPr>
                  <w:tcW w:w="4459" w:type="dxa"/>
                  <w:gridSpan w:val="2"/>
                  <w:tcBorders>
                    <w:top w:val="single" w:sz="4" w:space="0" w:color="000000"/>
                    <w:left w:val="single" w:sz="4" w:space="0" w:color="000000"/>
                    <w:bottom w:val="single" w:sz="4" w:space="0" w:color="000000"/>
                  </w:tcBorders>
                  <w:shd w:color="auto" w:fill="FFFFFF" w:val="clear"/>
                </w:tcPr>
                <w:p>
                  <w:pPr>
                    <w:pStyle w:val="Normal"/>
                    <w:widowControl w:val="false"/>
                    <w:numPr>
                      <w:ilvl w:val="0"/>
                      <w:numId w:val="0"/>
                    </w:numPr>
                    <w:tabs>
                      <w:tab w:val="clear" w:pos="708"/>
                      <w:tab w:val="left" w:pos="4047" w:leader="none"/>
                    </w:tabs>
                    <w:snapToGrid w:val="false"/>
                    <w:spacing w:before="0" w:after="0"/>
                    <w:ind w:right="178" w:firstLine="93"/>
                    <w:jc w:val="both"/>
                    <w:outlineLvl w:val="4"/>
                    <w:rPr>
                      <w:rFonts w:eastAsia="Calibri" w:cs="Times New Roman"/>
                      <w:sz w:val="20"/>
                      <w:szCs w:val="20"/>
                      <w:lang w:eastAsia="ru-RU"/>
                    </w:rPr>
                  </w:pPr>
                  <w:r>
                    <w:rPr>
                      <w:rFonts w:eastAsia="Calibri" w:cs="Times New Roman"/>
                      <w:b/>
                      <w:sz w:val="20"/>
                      <w:szCs w:val="20"/>
                      <w:lang w:eastAsia="ru-RU"/>
                    </w:rPr>
                    <w:t>1. Участник не является изготовителем (производителем) и/или аффилированным изготовителю (производителю) по одному из пунктов, указанных в Таблице - Признаки аффилированности и документы, подтверждающие данные признаки (форма №__ Документации о закупке), и/или представителем изготовителя (производителя)</w:t>
                  </w:r>
                  <w:r>
                    <w:rPr>
                      <w:rFonts w:eastAsia="Calibri" w:cs="Times New Roman"/>
                      <w:sz w:val="20"/>
                      <w:szCs w:val="20"/>
                      <w:lang w:eastAsia="ru-RU"/>
                    </w:rPr>
                    <w:t>.</w:t>
                  </w:r>
                </w:p>
                <w:p>
                  <w:pPr>
                    <w:pStyle w:val="Normal"/>
                    <w:widowControl w:val="false"/>
                    <w:numPr>
                      <w:ilvl w:val="0"/>
                      <w:numId w:val="0"/>
                    </w:numPr>
                    <w:tabs>
                      <w:tab w:val="clear" w:pos="708"/>
                      <w:tab w:val="left" w:pos="4047" w:leader="none"/>
                    </w:tabs>
                    <w:snapToGrid w:val="false"/>
                    <w:spacing w:before="0" w:after="0"/>
                    <w:ind w:right="178" w:firstLine="93"/>
                    <w:jc w:val="both"/>
                    <w:outlineLvl w:val="4"/>
                    <w:rPr>
                      <w:rFonts w:eastAsia="Calibri" w:cs="Times New Roman"/>
                      <w:sz w:val="20"/>
                      <w:szCs w:val="20"/>
                      <w:lang w:eastAsia="ru-RU"/>
                    </w:rPr>
                  </w:pPr>
                  <w:r>
                    <w:rPr>
                      <w:rFonts w:eastAsia="Calibri" w:cs="Times New Roman"/>
                      <w:sz w:val="20"/>
                      <w:szCs w:val="20"/>
                      <w:lang w:eastAsia="ru-RU"/>
                    </w:rPr>
                  </w:r>
                </w:p>
                <w:p>
                  <w:pPr>
                    <w:pStyle w:val="Normal"/>
                    <w:widowControl w:val="false"/>
                    <w:numPr>
                      <w:ilvl w:val="0"/>
                      <w:numId w:val="0"/>
                    </w:numPr>
                    <w:tabs>
                      <w:tab w:val="clear" w:pos="708"/>
                      <w:tab w:val="left" w:pos="518" w:leader="none"/>
                      <w:tab w:val="left" w:pos="4047" w:leader="none"/>
                    </w:tabs>
                    <w:snapToGrid w:val="false"/>
                    <w:spacing w:before="0" w:after="0"/>
                    <w:ind w:right="178" w:firstLine="93"/>
                    <w:jc w:val="both"/>
                    <w:outlineLvl w:val="4"/>
                    <w:rPr>
                      <w:rFonts w:eastAsia="Calibri" w:cs="Times New Roman"/>
                      <w:b/>
                      <w:sz w:val="20"/>
                      <w:szCs w:val="20"/>
                      <w:lang w:eastAsia="ru-RU"/>
                    </w:rPr>
                  </w:pPr>
                  <w:r>
                    <w:rPr>
                      <w:rFonts w:eastAsia="Calibri" w:cs="Times New Roman"/>
                      <w:b/>
                      <w:sz w:val="20"/>
                      <w:szCs w:val="20"/>
                      <w:lang w:eastAsia="ru-RU"/>
                    </w:rPr>
                    <w:t>2. В случае непредставления документов, подтверждающих статус Участника.</w:t>
                  </w:r>
                </w:p>
              </w:tc>
            </w:tr>
            <w:tr>
              <w:trPr>
                <w:trHeight w:val="309" w:hRule="atLeast"/>
                <w:cantSplit w:val="true"/>
              </w:trPr>
              <w:tc>
                <w:tcPr>
                  <w:tcW w:w="859" w:type="dxa"/>
                  <w:tcBorders>
                    <w:top w:val="single" w:sz="4" w:space="0" w:color="000000"/>
                    <w:bottom w:val="single" w:sz="4" w:space="0" w:color="000000"/>
                    <w:right w:val="single" w:sz="4" w:space="0" w:color="000000"/>
                  </w:tcBorders>
                  <w:shd w:color="auto" w:fill="FFFFFF" w:val="clear"/>
                </w:tcPr>
                <w:p>
                  <w:pPr>
                    <w:pStyle w:val="Normal"/>
                    <w:widowControl w:val="false"/>
                    <w:snapToGrid w:val="false"/>
                    <w:spacing w:before="0" w:after="0"/>
                    <w:ind w:left="-170" w:firstLine="142"/>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eastAsia="ru-RU"/>
                    </w:rPr>
                    <w:t>i</w:t>
                  </w:r>
                  <w:r>
                    <w:rPr>
                      <w:rFonts w:eastAsia="Calibri" w:cs="Times New Roman"/>
                      <w:sz w:val="20"/>
                      <w:szCs w:val="20"/>
                      <w:lang w:eastAsia="ru-RU"/>
                    </w:rPr>
                    <w:t>= 1</w:t>
                  </w:r>
                </w:p>
              </w:tc>
              <w:tc>
                <w:tcPr>
                  <w:tcW w:w="4459" w:type="dxa"/>
                  <w:gridSpan w:val="2"/>
                  <w:tcBorders>
                    <w:top w:val="single" w:sz="4" w:space="0" w:color="000000"/>
                    <w:left w:val="single" w:sz="4" w:space="0" w:color="000000"/>
                    <w:bottom w:val="single" w:sz="4" w:space="0" w:color="000000"/>
                  </w:tcBorders>
                  <w:shd w:color="auto" w:fill="FFFFFF" w:val="clear"/>
                </w:tcPr>
                <w:p>
                  <w:pPr>
                    <w:pStyle w:val="Normal"/>
                    <w:widowControl w:val="false"/>
                    <w:numPr>
                      <w:ilvl w:val="0"/>
                      <w:numId w:val="0"/>
                    </w:numPr>
                    <w:tabs>
                      <w:tab w:val="clear" w:pos="708"/>
                      <w:tab w:val="left" w:pos="4047" w:leader="none"/>
                    </w:tabs>
                    <w:snapToGrid w:val="false"/>
                    <w:spacing w:before="0" w:after="0"/>
                    <w:ind w:right="178" w:firstLine="93"/>
                    <w:jc w:val="both"/>
                    <w:outlineLvl w:val="4"/>
                    <w:rPr>
                      <w:rFonts w:eastAsia="Calibri" w:cs="Times New Roman"/>
                      <w:b/>
                      <w:sz w:val="20"/>
                      <w:szCs w:val="20"/>
                      <w:lang w:eastAsia="ru-RU"/>
                    </w:rPr>
                  </w:pPr>
                  <w:r>
                    <w:rPr>
                      <w:rFonts w:eastAsia="Calibri" w:cs="Times New Roman"/>
                      <w:b/>
                      <w:sz w:val="20"/>
                      <w:szCs w:val="20"/>
                      <w:lang w:eastAsia="ru-RU"/>
                    </w:rPr>
                    <w:t>Участник является представителем изготовителя (производителя)</w:t>
                  </w:r>
                </w:p>
                <w:p>
                  <w:pPr>
                    <w:pStyle w:val="Normal"/>
                    <w:widowControl w:val="false"/>
                    <w:numPr>
                      <w:ilvl w:val="0"/>
                      <w:numId w:val="0"/>
                    </w:numPr>
                    <w:tabs>
                      <w:tab w:val="clear" w:pos="708"/>
                      <w:tab w:val="left" w:pos="4047" w:leader="none"/>
                    </w:tabs>
                    <w:snapToGrid w:val="false"/>
                    <w:spacing w:before="0" w:after="0"/>
                    <w:ind w:right="178" w:firstLine="93"/>
                    <w:jc w:val="both"/>
                    <w:outlineLvl w:val="4"/>
                    <w:rPr>
                      <w:rFonts w:eastAsia="Calibri" w:cs="Times New Roman"/>
                      <w:sz w:val="20"/>
                      <w:szCs w:val="20"/>
                      <w:lang w:eastAsia="ru-RU"/>
                    </w:rPr>
                  </w:pPr>
                  <w:r>
                    <w:rPr>
                      <w:rFonts w:eastAsia="Calibri" w:cs="Times New Roman"/>
                      <w:sz w:val="20"/>
                      <w:szCs w:val="20"/>
                      <w:lang w:eastAsia="ru-RU"/>
                    </w:rPr>
                    <w:t>(статус подтверждается действующими на момент подачи заявки документами изготовителя (производителя), в которых указан статус Участника в качестве представителя/дилера, сроком действия не менее одного года)</w:t>
                  </w:r>
                </w:p>
              </w:tc>
            </w:tr>
            <w:tr>
              <w:trPr>
                <w:trHeight w:val="309" w:hRule="atLeast"/>
                <w:cantSplit w:val="true"/>
              </w:trPr>
              <w:tc>
                <w:tcPr>
                  <w:tcW w:w="859" w:type="dxa"/>
                  <w:tcBorders>
                    <w:top w:val="single" w:sz="4" w:space="0" w:color="000000"/>
                    <w:bottom w:val="single" w:sz="4" w:space="0" w:color="000000"/>
                    <w:right w:val="single" w:sz="4" w:space="0" w:color="000000"/>
                  </w:tcBorders>
                  <w:shd w:color="auto" w:fill="FFFFFF" w:val="clear"/>
                </w:tcPr>
                <w:p>
                  <w:pPr>
                    <w:pStyle w:val="Normal"/>
                    <w:widowControl w:val="false"/>
                    <w:snapToGrid w:val="false"/>
                    <w:spacing w:before="0" w:after="0"/>
                    <w:ind w:left="-170" w:firstLine="142"/>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eastAsia="ru-RU"/>
                    </w:rPr>
                    <w:t>i</w:t>
                  </w:r>
                  <w:r>
                    <w:rPr>
                      <w:rFonts w:eastAsia="Calibri" w:cs="Times New Roman"/>
                      <w:sz w:val="20"/>
                      <w:szCs w:val="20"/>
                      <w:lang w:eastAsia="ru-RU"/>
                    </w:rPr>
                    <w:t>= 2</w:t>
                  </w:r>
                </w:p>
              </w:tc>
              <w:tc>
                <w:tcPr>
                  <w:tcW w:w="4459" w:type="dxa"/>
                  <w:gridSpan w:val="2"/>
                  <w:tcBorders>
                    <w:top w:val="single" w:sz="4" w:space="0" w:color="000000"/>
                    <w:left w:val="single" w:sz="4" w:space="0" w:color="000000"/>
                    <w:bottom w:val="single" w:sz="4" w:space="0" w:color="000000"/>
                  </w:tcBorders>
                  <w:shd w:color="auto" w:fill="FFFFFF" w:val="clear"/>
                </w:tcPr>
                <w:p>
                  <w:pPr>
                    <w:pStyle w:val="Normal"/>
                    <w:widowControl w:val="false"/>
                    <w:numPr>
                      <w:ilvl w:val="0"/>
                      <w:numId w:val="0"/>
                    </w:numPr>
                    <w:tabs>
                      <w:tab w:val="clear" w:pos="708"/>
                      <w:tab w:val="left" w:pos="4047" w:leader="none"/>
                    </w:tabs>
                    <w:snapToGrid w:val="false"/>
                    <w:spacing w:before="0" w:after="0"/>
                    <w:ind w:right="178" w:firstLine="93"/>
                    <w:jc w:val="both"/>
                    <w:outlineLvl w:val="4"/>
                    <w:rPr>
                      <w:rFonts w:eastAsia="Calibri" w:cs="Times New Roman"/>
                      <w:b/>
                      <w:sz w:val="20"/>
                      <w:szCs w:val="20"/>
                      <w:lang w:eastAsia="ru-RU"/>
                    </w:rPr>
                  </w:pPr>
                  <w:r>
                    <w:rPr>
                      <w:rFonts w:eastAsia="Calibri" w:cs="Times New Roman"/>
                      <w:b/>
                      <w:sz w:val="20"/>
                      <w:szCs w:val="20"/>
                      <w:lang w:eastAsia="ru-RU"/>
                    </w:rPr>
                    <w:t>Участник является официальным представителем изготовителя (производителя)</w:t>
                  </w:r>
                </w:p>
                <w:p>
                  <w:pPr>
                    <w:pStyle w:val="Normal"/>
                    <w:widowControl w:val="false"/>
                    <w:numPr>
                      <w:ilvl w:val="0"/>
                      <w:numId w:val="0"/>
                    </w:numPr>
                    <w:tabs>
                      <w:tab w:val="clear" w:pos="708"/>
                      <w:tab w:val="left" w:pos="4047" w:leader="none"/>
                    </w:tabs>
                    <w:snapToGrid w:val="false"/>
                    <w:spacing w:before="0" w:after="0"/>
                    <w:ind w:right="178" w:firstLine="93"/>
                    <w:jc w:val="both"/>
                    <w:outlineLvl w:val="4"/>
                    <w:rPr>
                      <w:rFonts w:eastAsia="Calibri" w:cs="Times New Roman"/>
                      <w:sz w:val="20"/>
                      <w:szCs w:val="20"/>
                      <w:lang w:eastAsia="ru-RU"/>
                    </w:rPr>
                  </w:pPr>
                  <w:r>
                    <w:rPr>
                      <w:rFonts w:eastAsia="Calibri" w:cs="Times New Roman"/>
                      <w:sz w:val="20"/>
                      <w:szCs w:val="20"/>
                      <w:lang w:eastAsia="ru-RU"/>
                    </w:rPr>
                    <w:t>(статус подтверждается копией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предлагаемой реализации продукции (товара))</w:t>
                  </w:r>
                </w:p>
              </w:tc>
            </w:tr>
            <w:tr>
              <w:trPr>
                <w:trHeight w:val="309" w:hRule="atLeast"/>
                <w:cantSplit w:val="true"/>
              </w:trPr>
              <w:tc>
                <w:tcPr>
                  <w:tcW w:w="859" w:type="dxa"/>
                  <w:tcBorders>
                    <w:top w:val="single" w:sz="4" w:space="0" w:color="000000"/>
                    <w:bottom w:val="single" w:sz="4" w:space="0" w:color="000000"/>
                    <w:right w:val="single" w:sz="4" w:space="0" w:color="000000"/>
                  </w:tcBorders>
                  <w:shd w:color="auto" w:fill="FFFFFF" w:val="clear"/>
                </w:tcPr>
                <w:p>
                  <w:pPr>
                    <w:pStyle w:val="Normal"/>
                    <w:widowControl w:val="false"/>
                    <w:snapToGrid w:val="false"/>
                    <w:spacing w:before="0" w:after="0"/>
                    <w:ind w:left="-171" w:firstLine="143"/>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eastAsia="ru-RU"/>
                    </w:rPr>
                    <w:t>i</w:t>
                  </w:r>
                  <w:r>
                    <w:rPr>
                      <w:rFonts w:eastAsia="Calibri" w:cs="Times New Roman"/>
                      <w:sz w:val="20"/>
                      <w:szCs w:val="20"/>
                      <w:lang w:eastAsia="ru-RU"/>
                    </w:rPr>
                    <w:t>= 3</w:t>
                  </w:r>
                </w:p>
              </w:tc>
              <w:tc>
                <w:tcPr>
                  <w:tcW w:w="4222" w:type="dxa"/>
                  <w:tcBorders>
                    <w:top w:val="single" w:sz="4" w:space="0" w:color="000000"/>
                    <w:left w:val="single" w:sz="4" w:space="0" w:color="000000"/>
                    <w:bottom w:val="single" w:sz="4" w:space="0" w:color="000000"/>
                  </w:tcBorders>
                  <w:shd w:color="auto" w:fill="FFFFFF" w:val="clear"/>
                </w:tcPr>
                <w:p>
                  <w:pPr>
                    <w:pStyle w:val="Normal"/>
                    <w:widowControl w:val="false"/>
                    <w:numPr>
                      <w:ilvl w:val="0"/>
                      <w:numId w:val="0"/>
                    </w:numPr>
                    <w:tabs>
                      <w:tab w:val="clear" w:pos="708"/>
                      <w:tab w:val="left" w:pos="0" w:leader="none"/>
                    </w:tabs>
                    <w:snapToGrid w:val="false"/>
                    <w:spacing w:before="0" w:after="0"/>
                    <w:ind w:right="39" w:firstLine="93"/>
                    <w:jc w:val="both"/>
                    <w:outlineLvl w:val="4"/>
                    <w:rPr>
                      <w:rFonts w:eastAsia="Calibri" w:cs="Times New Roman"/>
                      <w:b/>
                      <w:sz w:val="20"/>
                      <w:szCs w:val="20"/>
                      <w:lang w:eastAsia="ru-RU"/>
                    </w:rPr>
                  </w:pPr>
                  <w:r>
                    <w:rPr>
                      <w:rFonts w:eastAsia="Calibri" w:cs="Times New Roman"/>
                      <w:b/>
                      <w:sz w:val="20"/>
                      <w:szCs w:val="20"/>
                      <w:lang w:eastAsia="ru-RU"/>
                    </w:rPr>
                    <w:t xml:space="preserve">Участник является аффилированным изготовителю (производителю) по одному из следующих пунктов 7, 9, указанных в Таблице - Признаки аффилированности и документы, подтверждающие данные признаки (форма №__ Документации о закупке). </w:t>
                  </w:r>
                  <w:r>
                    <w:rPr>
                      <w:rFonts w:eastAsia="Calibri" w:cs="Times New Roman"/>
                      <w:sz w:val="20"/>
                      <w:szCs w:val="20"/>
                      <w:lang w:eastAsia="ru-RU"/>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c>
                <w:tcPr>
                  <w:tcW w:w="237" w:type="dxa"/>
                  <w:tcBorders/>
                </w:tcPr>
                <w:p>
                  <w:pPr>
                    <w:pStyle w:val="Normal"/>
                    <w:widowControl w:val="false"/>
                    <w:spacing w:before="0" w:after="0"/>
                    <w:ind w:firstLine="567"/>
                    <w:jc w:val="both"/>
                    <w:rPr>
                      <w:rFonts w:eastAsia="Times New Roman" w:cs="Times New Roman"/>
                      <w:sz w:val="20"/>
                      <w:szCs w:val="20"/>
                      <w:lang w:eastAsia="ru-RU"/>
                    </w:rPr>
                  </w:pPr>
                  <w:r>
                    <w:rPr>
                      <w:rFonts w:eastAsia="Times New Roman" w:cs="Times New Roman"/>
                      <w:sz w:val="20"/>
                      <w:szCs w:val="20"/>
                      <w:lang w:eastAsia="ru-RU"/>
                    </w:rPr>
                  </w:r>
                </w:p>
              </w:tc>
            </w:tr>
            <w:tr>
              <w:trPr>
                <w:trHeight w:val="309" w:hRule="atLeast"/>
                <w:cantSplit w:val="true"/>
              </w:trPr>
              <w:tc>
                <w:tcPr>
                  <w:tcW w:w="859" w:type="dxa"/>
                  <w:tcBorders>
                    <w:top w:val="single" w:sz="4" w:space="0" w:color="000000"/>
                    <w:bottom w:val="single" w:sz="4" w:space="0" w:color="000000"/>
                    <w:right w:val="single" w:sz="4" w:space="0" w:color="000000"/>
                  </w:tcBorders>
                  <w:shd w:color="auto" w:fill="FFFFFF" w:val="clear"/>
                </w:tcPr>
                <w:p>
                  <w:pPr>
                    <w:pStyle w:val="Normal"/>
                    <w:widowControl w:val="false"/>
                    <w:snapToGrid w:val="false"/>
                    <w:spacing w:before="0" w:after="0"/>
                    <w:ind w:left="-171" w:firstLine="143"/>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eastAsia="ru-RU"/>
                    </w:rPr>
                    <w:t>i</w:t>
                  </w:r>
                  <w:r>
                    <w:rPr>
                      <w:rFonts w:eastAsia="Calibri" w:cs="Times New Roman"/>
                      <w:sz w:val="20"/>
                      <w:szCs w:val="20"/>
                      <w:lang w:eastAsia="ru-RU"/>
                    </w:rPr>
                    <w:t>= 4</w:t>
                  </w:r>
                </w:p>
              </w:tc>
              <w:tc>
                <w:tcPr>
                  <w:tcW w:w="4222" w:type="dxa"/>
                  <w:tcBorders>
                    <w:top w:val="single" w:sz="4" w:space="0" w:color="000000"/>
                    <w:left w:val="single" w:sz="4" w:space="0" w:color="000000"/>
                    <w:bottom w:val="single" w:sz="4" w:space="0" w:color="000000"/>
                  </w:tcBorders>
                  <w:shd w:color="auto" w:fill="FFFFFF" w:val="clear"/>
                </w:tcPr>
                <w:p>
                  <w:pPr>
                    <w:pStyle w:val="Normal"/>
                    <w:widowControl w:val="false"/>
                    <w:numPr>
                      <w:ilvl w:val="0"/>
                      <w:numId w:val="0"/>
                    </w:numPr>
                    <w:snapToGrid w:val="false"/>
                    <w:spacing w:before="0" w:after="0"/>
                    <w:ind w:right="39" w:firstLine="93"/>
                    <w:jc w:val="both"/>
                    <w:outlineLvl w:val="4"/>
                    <w:rPr>
                      <w:rFonts w:eastAsia="Calibri" w:cs="Times New Roman"/>
                      <w:b/>
                      <w:sz w:val="20"/>
                      <w:szCs w:val="20"/>
                      <w:lang w:eastAsia="ru-RU"/>
                    </w:rPr>
                  </w:pPr>
                  <w:r>
                    <w:rPr>
                      <w:rFonts w:eastAsia="Calibri" w:cs="Times New Roman"/>
                      <w:b/>
                      <w:sz w:val="20"/>
                      <w:szCs w:val="20"/>
                      <w:lang w:eastAsia="ru-RU"/>
                    </w:rPr>
                    <w:t>Участник является аффилированным изготовителю (производителю) по одному из следующих пунктов 4, 5, 8, 10, указанных в Таблице - Признаки аффилированности и документы, подтверждающие данные признаки (форма №__ Документации о закупке).</w:t>
                  </w:r>
                </w:p>
                <w:p>
                  <w:pPr>
                    <w:pStyle w:val="Normal"/>
                    <w:widowControl w:val="false"/>
                    <w:numPr>
                      <w:ilvl w:val="0"/>
                      <w:numId w:val="0"/>
                    </w:numPr>
                    <w:snapToGrid w:val="false"/>
                    <w:spacing w:before="0" w:after="0"/>
                    <w:ind w:right="39" w:firstLine="93"/>
                    <w:jc w:val="both"/>
                    <w:outlineLvl w:val="4"/>
                    <w:rPr>
                      <w:rFonts w:eastAsia="Calibri" w:cs="Times New Roman"/>
                      <w:b/>
                      <w:sz w:val="20"/>
                      <w:szCs w:val="20"/>
                      <w:lang w:eastAsia="ru-RU"/>
                    </w:rPr>
                  </w:pPr>
                  <w:r>
                    <w:rPr>
                      <w:rFonts w:eastAsia="Calibri" w:cs="Times New Roman"/>
                      <w:sz w:val="20"/>
                      <w:szCs w:val="20"/>
                      <w:lang w:eastAsia="ru-RU"/>
                    </w:rPr>
                    <w:t>(статус аффилированности</w:t>
                  </w:r>
                  <w:bookmarkStart w:id="373" w:name="_GoBack_Копия_1"/>
                  <w:bookmarkEnd w:id="373"/>
                  <w:r>
                    <w:rPr>
                      <w:rFonts w:eastAsia="Calibri" w:cs="Times New Roman"/>
                      <w:sz w:val="20"/>
                      <w:szCs w:val="20"/>
                      <w:lang w:eastAsia="ru-RU"/>
                    </w:rPr>
                    <w:t xml:space="preserve">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c>
                <w:tcPr>
                  <w:tcW w:w="237" w:type="dxa"/>
                  <w:tcBorders/>
                </w:tcPr>
                <w:p>
                  <w:pPr>
                    <w:pStyle w:val="Normal"/>
                    <w:widowControl w:val="false"/>
                    <w:spacing w:before="0" w:after="0"/>
                    <w:ind w:firstLine="567"/>
                    <w:jc w:val="both"/>
                    <w:rPr>
                      <w:rFonts w:eastAsia="Times New Roman" w:cs="Times New Roman"/>
                      <w:sz w:val="20"/>
                      <w:szCs w:val="20"/>
                      <w:lang w:eastAsia="ru-RU"/>
                    </w:rPr>
                  </w:pPr>
                  <w:r>
                    <w:rPr>
                      <w:rFonts w:eastAsia="Times New Roman" w:cs="Times New Roman"/>
                      <w:sz w:val="20"/>
                      <w:szCs w:val="20"/>
                      <w:lang w:eastAsia="ru-RU"/>
                    </w:rPr>
                  </w:r>
                </w:p>
              </w:tc>
            </w:tr>
            <w:tr>
              <w:trPr>
                <w:trHeight w:val="309" w:hRule="atLeast"/>
                <w:cantSplit w:val="true"/>
              </w:trPr>
              <w:tc>
                <w:tcPr>
                  <w:tcW w:w="859" w:type="dxa"/>
                  <w:tcBorders>
                    <w:top w:val="single" w:sz="4" w:space="0" w:color="000000"/>
                    <w:right w:val="single" w:sz="4" w:space="0" w:color="000000"/>
                  </w:tcBorders>
                  <w:shd w:color="auto" w:fill="FFFFFF" w:val="clear"/>
                </w:tcPr>
                <w:p>
                  <w:pPr>
                    <w:pStyle w:val="Normal"/>
                    <w:widowControl w:val="false"/>
                    <w:snapToGrid w:val="false"/>
                    <w:spacing w:before="0" w:after="0"/>
                    <w:ind w:left="-171" w:firstLine="143"/>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i/>
                      <w:sz w:val="20"/>
                      <w:szCs w:val="20"/>
                      <w:vertAlign w:val="subscript"/>
                      <w:lang w:eastAsia="ru-RU"/>
                    </w:rPr>
                    <w:t>i</w:t>
                  </w:r>
                  <w:r>
                    <w:rPr>
                      <w:rFonts w:eastAsia="Calibri" w:cs="Times New Roman"/>
                      <w:sz w:val="20"/>
                      <w:szCs w:val="20"/>
                      <w:lang w:eastAsia="ru-RU"/>
                    </w:rPr>
                    <w:t>= 5</w:t>
                  </w:r>
                </w:p>
              </w:tc>
              <w:tc>
                <w:tcPr>
                  <w:tcW w:w="4459" w:type="dxa"/>
                  <w:gridSpan w:val="2"/>
                  <w:tcBorders>
                    <w:top w:val="single" w:sz="4" w:space="0" w:color="000000"/>
                    <w:left w:val="single" w:sz="4" w:space="0" w:color="000000"/>
                  </w:tcBorders>
                  <w:shd w:color="auto" w:fill="FFFFFF" w:val="clear"/>
                </w:tcPr>
                <w:p>
                  <w:pPr>
                    <w:pStyle w:val="Normal"/>
                    <w:widowControl w:val="false"/>
                    <w:numPr>
                      <w:ilvl w:val="0"/>
                      <w:numId w:val="0"/>
                    </w:numPr>
                    <w:tabs>
                      <w:tab w:val="clear" w:pos="708"/>
                      <w:tab w:val="left" w:pos="93" w:leader="none"/>
                      <w:tab w:val="left" w:pos="4047" w:leader="none"/>
                    </w:tabs>
                    <w:snapToGrid w:val="false"/>
                    <w:spacing w:before="0" w:after="0"/>
                    <w:ind w:right="175" w:firstLine="93"/>
                    <w:jc w:val="both"/>
                    <w:outlineLvl w:val="4"/>
                    <w:rPr>
                      <w:rFonts w:eastAsia="Calibri" w:cs="Times New Roman"/>
                      <w:b/>
                      <w:sz w:val="20"/>
                      <w:szCs w:val="20"/>
                      <w:lang w:eastAsia="ru-RU"/>
                    </w:rPr>
                  </w:pPr>
                  <w:r>
                    <w:rPr>
                      <w:rFonts w:eastAsia="Calibri" w:cs="Times New Roman"/>
                      <w:b/>
                      <w:sz w:val="20"/>
                      <w:szCs w:val="20"/>
                      <w:lang w:eastAsia="ru-RU"/>
                    </w:rPr>
                    <w:t>1. Участник является изготовителем (производителем)</w:t>
                  </w:r>
                </w:p>
                <w:p>
                  <w:pPr>
                    <w:pStyle w:val="Normal"/>
                    <w:widowControl w:val="false"/>
                    <w:numPr>
                      <w:ilvl w:val="0"/>
                      <w:numId w:val="0"/>
                    </w:numPr>
                    <w:tabs>
                      <w:tab w:val="clear" w:pos="708"/>
                      <w:tab w:val="left" w:pos="93" w:leader="none"/>
                      <w:tab w:val="left" w:pos="4047" w:leader="none"/>
                    </w:tabs>
                    <w:snapToGrid w:val="false"/>
                    <w:spacing w:before="0" w:after="0"/>
                    <w:ind w:right="175" w:firstLine="93"/>
                    <w:jc w:val="both"/>
                    <w:outlineLvl w:val="4"/>
                    <w:rPr>
                      <w:rFonts w:eastAsia="Calibri" w:cs="Times New Roman"/>
                      <w:sz w:val="20"/>
                      <w:szCs w:val="20"/>
                      <w:lang w:eastAsia="ru-RU"/>
                    </w:rPr>
                  </w:pPr>
                  <w:r>
                    <w:rPr>
                      <w:rFonts w:eastAsia="Calibri" w:cs="Times New Roman"/>
                      <w:sz w:val="20"/>
                      <w:szCs w:val="20"/>
                      <w:lang w:eastAsia="ru-RU"/>
                    </w:rPr>
                    <w:t>(подтверждается документами на предлагаемую продукцию (товар), в которых указан изготовитель (производитель))</w:t>
                  </w:r>
                  <w:r>
                    <w:rPr>
                      <w:rFonts w:eastAsia="Calibri" w:cs="Times New Roman"/>
                      <w:b/>
                      <w:sz w:val="20"/>
                      <w:szCs w:val="20"/>
                      <w:lang w:eastAsia="ru-RU"/>
                    </w:rPr>
                    <w:t xml:space="preserve"> **</w:t>
                  </w:r>
                  <w:r>
                    <w:rPr>
                      <w:rFonts w:eastAsia="Calibri" w:cs="Times New Roman"/>
                      <w:sz w:val="20"/>
                      <w:szCs w:val="20"/>
                      <w:lang w:eastAsia="ru-RU"/>
                    </w:rPr>
                    <w:t>.</w:t>
                  </w:r>
                  <w:r>
                    <w:rPr>
                      <w:rFonts w:eastAsia="Times New Roman" w:cs="Times New Roman"/>
                      <w:sz w:val="20"/>
                      <w:szCs w:val="20"/>
                      <w:lang w:eastAsia="ru-RU"/>
                    </w:rPr>
                    <w:t xml:space="preserve"> </w:t>
                  </w:r>
                  <w:r>
                    <w:rPr>
                      <w:rFonts w:eastAsia="Calibri" w:cs="Times New Roman"/>
                      <w:sz w:val="20"/>
                      <w:szCs w:val="20"/>
                      <w:lang w:eastAsia="ru-RU"/>
                    </w:rPr>
                    <w:t>При этом в документах на предлагаемую продукцию (товар) и в Техническом / Коммерческом предложении должен быть указан один и тот же изготовитель (производитель).</w:t>
                  </w:r>
                </w:p>
                <w:p>
                  <w:pPr>
                    <w:pStyle w:val="Normal"/>
                    <w:widowControl w:val="false"/>
                    <w:numPr>
                      <w:ilvl w:val="0"/>
                      <w:numId w:val="0"/>
                    </w:numPr>
                    <w:tabs>
                      <w:tab w:val="clear" w:pos="708"/>
                      <w:tab w:val="left" w:pos="93" w:leader="none"/>
                      <w:tab w:val="left" w:pos="4047" w:leader="none"/>
                    </w:tabs>
                    <w:snapToGrid w:val="false"/>
                    <w:spacing w:before="0" w:after="0"/>
                    <w:ind w:right="175" w:firstLine="93"/>
                    <w:jc w:val="both"/>
                    <w:outlineLvl w:val="4"/>
                    <w:rPr>
                      <w:rFonts w:eastAsia="Calibri" w:cs="Times New Roman"/>
                      <w:sz w:val="20"/>
                      <w:szCs w:val="20"/>
                      <w:lang w:eastAsia="ru-RU"/>
                    </w:rPr>
                  </w:pPr>
                  <w:r>
                    <w:rPr>
                      <w:rFonts w:eastAsia="Calibri" w:cs="Times New Roman"/>
                      <w:sz w:val="20"/>
                      <w:szCs w:val="20"/>
                      <w:lang w:eastAsia="ru-RU"/>
                    </w:rPr>
                  </w:r>
                </w:p>
                <w:p>
                  <w:pPr>
                    <w:pStyle w:val="Normal"/>
                    <w:widowControl w:val="false"/>
                    <w:numPr>
                      <w:ilvl w:val="0"/>
                      <w:numId w:val="0"/>
                    </w:numPr>
                    <w:tabs>
                      <w:tab w:val="clear" w:pos="708"/>
                      <w:tab w:val="left" w:pos="93" w:leader="none"/>
                      <w:tab w:val="left" w:pos="4047" w:leader="none"/>
                    </w:tabs>
                    <w:snapToGrid w:val="false"/>
                    <w:spacing w:before="0" w:after="0"/>
                    <w:ind w:right="175" w:firstLine="93"/>
                    <w:jc w:val="both"/>
                    <w:outlineLvl w:val="4"/>
                    <w:rPr>
                      <w:rFonts w:eastAsia="Calibri" w:cs="Times New Roman"/>
                      <w:b/>
                      <w:sz w:val="20"/>
                      <w:szCs w:val="20"/>
                      <w:lang w:eastAsia="ru-RU"/>
                    </w:rPr>
                  </w:pPr>
                  <w:r>
                    <w:rPr>
                      <w:rFonts w:eastAsia="Calibri" w:cs="Times New Roman"/>
                      <w:b/>
                      <w:sz w:val="20"/>
                      <w:szCs w:val="20"/>
                      <w:lang w:eastAsia="ru-RU"/>
                    </w:rPr>
                    <w:t>2. Участник является аффилированным изготовителю (производителю) по одному из следующих пунктов 1, 2, 3, 6, 11, указанных в Таблице - Признаки аффилированности и документы, подтверждающие данные признаки (форма №__ Документации о закупке).</w:t>
                  </w:r>
                </w:p>
                <w:p>
                  <w:pPr>
                    <w:pStyle w:val="Normal"/>
                    <w:widowControl w:val="false"/>
                    <w:numPr>
                      <w:ilvl w:val="0"/>
                      <w:numId w:val="0"/>
                    </w:numPr>
                    <w:tabs>
                      <w:tab w:val="clear" w:pos="708"/>
                      <w:tab w:val="left" w:pos="93" w:leader="none"/>
                      <w:tab w:val="left" w:pos="4047" w:leader="none"/>
                    </w:tabs>
                    <w:snapToGrid w:val="false"/>
                    <w:spacing w:before="0" w:after="0"/>
                    <w:ind w:right="175" w:firstLine="93"/>
                    <w:jc w:val="both"/>
                    <w:outlineLvl w:val="4"/>
                    <w:rPr>
                      <w:rFonts w:eastAsia="Calibri" w:cs="Times New Roman"/>
                      <w:sz w:val="20"/>
                      <w:szCs w:val="20"/>
                      <w:lang w:eastAsia="ru-RU"/>
                    </w:rPr>
                  </w:pPr>
                  <w:r>
                    <w:rPr>
                      <w:rFonts w:eastAsia="Calibri" w:cs="Times New Roman"/>
                      <w:sz w:val="20"/>
                      <w:szCs w:val="20"/>
                      <w:lang w:eastAsia="ru-RU"/>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bl>
          <w:p>
            <w:pPr>
              <w:pStyle w:val="Normal"/>
              <w:widowControl w:val="false"/>
              <w:numPr>
                <w:ilvl w:val="0"/>
                <w:numId w:val="0"/>
              </w:numPr>
              <w:tabs>
                <w:tab w:val="clear" w:pos="708"/>
                <w:tab w:val="left" w:pos="0" w:leader="none"/>
              </w:tabs>
              <w:suppressAutoHyphens w:val="true"/>
              <w:spacing w:before="0" w:after="60"/>
              <w:ind w:left="0" w:right="80" w:hanging="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r>
          </w:p>
          <w:p>
            <w:pPr>
              <w:pStyle w:val="Normal"/>
              <w:keepNext w:val="true"/>
              <w:widowControl w:val="false"/>
              <w:suppressAutoHyphens w:val="tru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где:</w:t>
            </w:r>
          </w:p>
          <w:p>
            <w:pPr>
              <w:pStyle w:val="Normal"/>
              <w:widowControl w:val="false"/>
              <w:tabs>
                <w:tab w:val="clear" w:pos="708"/>
                <w:tab w:val="left" w:pos="742" w:leader="none"/>
                <w:tab w:val="left" w:pos="1167" w:leader="none"/>
              </w:tabs>
              <w:suppressAutoHyphens w:val="true"/>
              <w:spacing w:before="0" w:after="60"/>
              <w:ind w:firstLine="567"/>
              <w:jc w:val="both"/>
              <w:rPr>
                <w:rFonts w:ascii="Times New Roman" w:hAnsi="Times New Roman" w:eastAsia="Calibri" w:cs="Times New Roman"/>
                <w:sz w:val="20"/>
                <w:szCs w:val="20"/>
                <w:lang w:eastAsia="ru-RU"/>
              </w:rPr>
            </w:pPr>
            <w:r>
              <w:rPr>
                <w:rFonts w:eastAsia="Calibri" w:cs="Times New Roman" w:ascii="Calibri" w:hAnsi="Calibri"/>
                <w:kern w:val="0"/>
                <w:sz w:val="20"/>
                <w:szCs w:val="20"/>
                <w:lang w:val="ru-RU" w:eastAsia="ru-RU" w:bidi="ar-SA"/>
              </w:rPr>
              <w:t>Б</w:t>
            </w:r>
            <w:r>
              <w:rPr>
                <w:rFonts w:eastAsia="Calibri" w:cs="Times New Roman" w:ascii="Calibri" w:hAnsi="Calibri"/>
                <w:i/>
                <w:kern w:val="0"/>
                <w:sz w:val="20"/>
                <w:szCs w:val="20"/>
                <w:vertAlign w:val="subscript"/>
                <w:lang w:val="en-US" w:eastAsia="ru-RU" w:bidi="ar-SA"/>
              </w:rPr>
              <w:t>r</w:t>
            </w:r>
            <w:r>
              <w:rPr>
                <w:rFonts w:eastAsia="Calibri" w:cs="Times New Roman" w:ascii="Calibri" w:hAnsi="Calibri"/>
                <w:kern w:val="0"/>
                <w:sz w:val="20"/>
                <w:szCs w:val="20"/>
                <w:lang w:val="ru-RU" w:eastAsia="ru-RU" w:bidi="ar-SA"/>
              </w:rPr>
              <w:t xml:space="preserve"> – рассчитанная оценка по данному частному критерию оценки в баллах.</w:t>
            </w:r>
          </w:p>
          <w:p>
            <w:pPr>
              <w:pStyle w:val="Normal"/>
              <w:widowControl w:val="false"/>
              <w:tabs>
                <w:tab w:val="clear" w:pos="708"/>
                <w:tab w:val="left" w:pos="742" w:leader="none"/>
                <w:tab w:val="left" w:pos="1167" w:leader="none"/>
              </w:tabs>
              <w:suppressAutoHyphens w:val="true"/>
              <w:spacing w:before="0" w:after="60"/>
              <w:ind w:firstLine="567"/>
              <w:jc w:val="both"/>
              <w:rPr>
                <w:rFonts w:ascii="Times New Roman" w:hAnsi="Times New Roman" w:eastAsia="Calibri" w:cs="Times New Roman"/>
                <w:sz w:val="20"/>
                <w:szCs w:val="20"/>
                <w:lang w:eastAsia="ru-RU"/>
              </w:rPr>
            </w:pPr>
            <w:r>
              <w:rPr>
                <w:rFonts w:eastAsia="Calibri" w:cs="Times New Roman" w:ascii="Calibri" w:hAnsi="Calibri"/>
                <w:kern w:val="0"/>
                <w:sz w:val="20"/>
                <w:szCs w:val="20"/>
                <w:lang w:val="ru-RU" w:eastAsia="ru-RU" w:bidi="ar-SA"/>
              </w:rPr>
              <w:t>Б</w:t>
            </w:r>
            <w:r>
              <w:rPr>
                <w:rFonts w:eastAsia="Calibri" w:cs="Times New Roman" w:ascii="Calibri" w:hAnsi="Calibri"/>
                <w:i/>
                <w:kern w:val="0"/>
                <w:sz w:val="20"/>
                <w:szCs w:val="20"/>
                <w:vertAlign w:val="subscript"/>
                <w:lang w:val="ru-RU" w:eastAsia="ru-RU" w:bidi="ar-SA"/>
              </w:rPr>
              <w:t>i</w:t>
            </w:r>
            <w:r>
              <w:rPr>
                <w:rFonts w:eastAsia="Calibri" w:cs="Times New Roman" w:ascii="Calibri" w:hAnsi="Calibri"/>
                <w:kern w:val="0"/>
                <w:sz w:val="20"/>
                <w:szCs w:val="20"/>
                <w:lang w:val="ru-RU" w:eastAsia="ru-RU" w:bidi="ar-SA"/>
              </w:rPr>
              <w:t xml:space="preserve"> – балл, соответствующий отношению Участника к изготовителю (производителю) предлагаемой продукции (товара).</w:t>
            </w:r>
          </w:p>
          <w:p>
            <w:pPr>
              <w:pStyle w:val="Normal"/>
              <w:widowControl w:val="false"/>
              <w:suppressAutoHyphens w:val="true"/>
              <w:spacing w:before="0" w:after="60"/>
              <w:ind w:firstLine="567"/>
              <w:jc w:val="both"/>
              <w:rPr>
                <w:rFonts w:ascii="Times New Roman" w:hAnsi="Times New Roman" w:eastAsia="Calibri" w:cs="Times New Roman"/>
                <w:sz w:val="20"/>
                <w:szCs w:val="20"/>
                <w:lang w:eastAsia="ru-RU"/>
              </w:rPr>
            </w:pPr>
            <w:r>
              <w:rPr>
                <w:rFonts w:eastAsia="Calibri" w:cs="Times New Roman" w:ascii="Calibri" w:hAnsi="Calibri"/>
                <w:kern w:val="0"/>
                <w:sz w:val="20"/>
                <w:szCs w:val="20"/>
                <w:lang w:val="en-US" w:eastAsia="ru-RU" w:bidi="ar-SA"/>
              </w:rPr>
              <w:t>k</w:t>
            </w:r>
            <w:r>
              <w:rPr>
                <w:rFonts w:eastAsia="Calibri" w:cs="Times New Roman" w:ascii="Calibri" w:hAnsi="Calibri"/>
                <w:i/>
                <w:kern w:val="0"/>
                <w:sz w:val="20"/>
                <w:szCs w:val="20"/>
                <w:vertAlign w:val="subscript"/>
                <w:lang w:val="en-US" w:eastAsia="ru-RU" w:bidi="ar-SA"/>
              </w:rPr>
              <w:t>i</w:t>
            </w:r>
            <w:r>
              <w:rPr>
                <w:rFonts w:eastAsia="Calibri" w:cs="Times New Roman" w:ascii="Calibri" w:hAnsi="Calibri"/>
                <w:kern w:val="0"/>
                <w:sz w:val="20"/>
                <w:szCs w:val="20"/>
                <w:lang w:val="ru-RU" w:eastAsia="ru-RU" w:bidi="ar-SA"/>
              </w:rPr>
              <w:t xml:space="preserve"> – коэффициент, пропорциональный </w:t>
            </w:r>
            <w:r>
              <w:rPr>
                <w:rFonts w:eastAsia="Times New Roman" w:cs="Times New Roman" w:ascii="Calibri" w:hAnsi="Calibri"/>
                <w:kern w:val="0"/>
                <w:sz w:val="20"/>
                <w:szCs w:val="20"/>
                <w:lang w:val="ru-RU" w:eastAsia="ru-RU" w:bidi="ar-SA"/>
              </w:rPr>
              <w:t>объему (по стоимости) предлагаемой Участником в данном статусе продукции (товара).</w:t>
            </w:r>
          </w:p>
          <w:p>
            <w:pPr>
              <w:pStyle w:val="Normal"/>
              <w:widowControl w:val="false"/>
              <w:suppressAutoHyphens w:val="true"/>
              <w:spacing w:before="0" w:after="60"/>
              <w:ind w:firstLine="567"/>
              <w:jc w:val="both"/>
              <w:rPr>
                <w:rFonts w:ascii="Times New Roman" w:hAnsi="Times New Roman" w:eastAsia="Calibri" w:cs="Times New Roman"/>
                <w:b/>
                <w:sz w:val="20"/>
                <w:szCs w:val="20"/>
                <w:lang w:eastAsia="ru-RU"/>
              </w:rPr>
            </w:pPr>
            <w:r>
              <w:rPr>
                <w:rFonts w:eastAsia="Calibri" w:cs="Times New Roman"/>
                <w:b/>
                <w:kern w:val="0"/>
                <w:sz w:val="20"/>
                <w:szCs w:val="20"/>
                <w:lang w:val="ru-RU" w:eastAsia="ru-RU" w:bidi="ar-SA"/>
              </w:rPr>
              <w:t>* В случае если Участник является Коллективным Участником, то осуществляется оценка каждого члена Коллективного Участника (включая лидера Коллективного Участника) с учетом объема (по стоимости) поставки в соответствии с Коммерческим / Техническим предложением и/или с Планом распределения объемов поставки продукции внутри Коллективного Участника, представленными в составе заявки Участника. Оценки каждого члена Коллективного Участника (включая лидера Коллективного Участника) суммируются. При этом итоговая (общая) оценка (итоговый балл) Коллективного Участника по данному критерию присваивается с учетом статуса Лидера Коллективного Участника:</w:t>
            </w:r>
          </w:p>
          <w:p>
            <w:pPr>
              <w:pStyle w:val="Normal"/>
              <w:widowControl w:val="false"/>
              <w:suppressAutoHyphens w:val="true"/>
              <w:spacing w:before="0" w:after="60"/>
              <w:ind w:firstLine="567"/>
              <w:jc w:val="both"/>
              <w:rPr>
                <w:rFonts w:ascii="Times New Roman" w:hAnsi="Times New Roman" w:eastAsia="Calibri" w:cs="Times New Roman"/>
                <w:b/>
                <w:sz w:val="20"/>
                <w:szCs w:val="20"/>
                <w:lang w:eastAsia="ru-RU"/>
              </w:rPr>
            </w:pPr>
            <w:r>
              <w:rPr>
                <w:rFonts w:eastAsia="Calibri" w:cs="Times New Roman"/>
                <w:b/>
                <w:kern w:val="0"/>
                <w:sz w:val="20"/>
                <w:szCs w:val="20"/>
                <w:lang w:val="ru-RU" w:eastAsia="ru-RU" w:bidi="ar-SA"/>
              </w:rPr>
              <w:t>- Лидер Коллективного Участника не является изготовителем (производителем) предлагаемой продукции — итоговый балл не может превышать 2 балла;</w:t>
            </w:r>
          </w:p>
          <w:p>
            <w:pPr>
              <w:pStyle w:val="Normal"/>
              <w:widowControl w:val="false"/>
              <w:suppressAutoHyphens w:val="true"/>
              <w:spacing w:before="0" w:after="60"/>
              <w:ind w:firstLine="567"/>
              <w:jc w:val="both"/>
              <w:rPr>
                <w:rFonts w:ascii="Times New Roman" w:hAnsi="Times New Roman" w:eastAsia="Calibri" w:cs="Times New Roman"/>
                <w:b/>
                <w:sz w:val="20"/>
                <w:szCs w:val="20"/>
                <w:lang w:eastAsia="ru-RU"/>
              </w:rPr>
            </w:pPr>
            <w:r>
              <w:rPr>
                <w:rFonts w:eastAsia="Calibri" w:cs="Times New Roman"/>
                <w:b/>
                <w:kern w:val="0"/>
                <w:sz w:val="20"/>
                <w:szCs w:val="20"/>
                <w:lang w:val="ru-RU" w:eastAsia="ru-RU" w:bidi="ar-SA"/>
              </w:rPr>
              <w:t>- Лидер Коллективного Участника является изготовителем (производителем) предлагаемой продукции — ограничений по итоговому баллу нет.</w:t>
            </w:r>
          </w:p>
          <w:p>
            <w:pPr>
              <w:pStyle w:val="Normal"/>
              <w:widowControl w:val="false"/>
              <w:suppressAutoHyphens w:val="true"/>
              <w:snapToGrid w:val="false"/>
              <w:spacing w:before="0" w:after="60"/>
              <w:ind w:firstLine="567"/>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Шкала оценок от 0 до 5 баллов.</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Такими документами на предлагаемую продукцию могут являться:</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а) Сертификат/декларация соответствия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Протокол испытаний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Сертификат качества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Паспорт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Технические условия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Руководство по эксплуатации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Техническое описание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Инспекционный (аналитический) отчёт (сертификат)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Сертификат отбора проб и анализа (испытаний)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Номер реестровой записи из Единого реестра российской радиоэлектронной продукции (ПП РФ 878) и/или;</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Номер реестровой записи из Реестра российской промышленной продукции (ПП РФ 719 от 17.07.2015).</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Либо:</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 xml:space="preserve">   </w:t>
            </w:r>
            <w:r>
              <w:rPr>
                <w:rFonts w:eastAsia="Calibri" w:cs="Times New Roman"/>
                <w:kern w:val="0"/>
                <w:sz w:val="20"/>
                <w:szCs w:val="20"/>
                <w:lang w:val="ru-RU" w:eastAsia="ru-RU" w:bidi="ar-SA"/>
              </w:rPr>
              <w:t>б) Иной документ на предлагаемую продукцию, предусмотренный условиями Технических требований Документации о закупке (применяется в исключительных случаях при невозможности применить пункт а));</w:t>
            </w:r>
          </w:p>
          <w:p>
            <w:pPr>
              <w:pStyle w:val="Normal"/>
              <w:widowControl w:val="false"/>
              <w:suppressAutoHyphens w:val="true"/>
              <w:snapToGrid w:val="false"/>
              <w:spacing w:before="0" w:after="60"/>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r>
          </w:p>
          <w:p>
            <w:pPr>
              <w:pStyle w:val="Normal"/>
              <w:widowControl w:val="false"/>
              <w:numPr>
                <w:ilvl w:val="0"/>
                <w:numId w:val="0"/>
              </w:numPr>
              <w:tabs>
                <w:tab w:val="clear" w:pos="708"/>
                <w:tab w:val="left" w:pos="0" w:leader="none"/>
              </w:tabs>
              <w:suppressAutoHyphens w:val="true"/>
              <w:spacing w:before="0" w:after="60"/>
              <w:ind w:left="0" w:right="80" w:hanging="0"/>
              <w:jc w:val="both"/>
              <w:rPr>
                <w:rFonts w:ascii="Times New Roman" w:hAnsi="Times New Roman" w:eastAsia="Calibri" w:cs="Times New Roman"/>
                <w:sz w:val="20"/>
                <w:szCs w:val="20"/>
              </w:rPr>
            </w:pPr>
            <w:r>
              <w:rPr>
                <w:rFonts w:eastAsia="Calibri" w:cs="Times New Roman"/>
                <w:kern w:val="0"/>
                <w:sz w:val="20"/>
                <w:szCs w:val="20"/>
                <w:lang w:val="ru-RU" w:eastAsia="en-US" w:bidi="ar-SA"/>
              </w:rPr>
            </w:r>
          </w:p>
        </w:tc>
      </w:tr>
      <w:tr>
        <w:trPr/>
        <w:tc>
          <w:tcPr>
            <w:tcW w:w="1530" w:type="dxa"/>
            <w:tcBorders/>
          </w:tcPr>
          <w:p>
            <w:pPr>
              <w:pStyle w:val="Normal"/>
              <w:widowControl w:val="false"/>
              <w:suppressAutoHyphens w:val="true"/>
              <w:spacing w:before="0" w:after="60"/>
              <w:jc w:val="both"/>
              <w:rPr>
                <w:rFonts w:ascii="Times New Roman" w:hAnsi="Times New Roman" w:eastAsia="Calibri" w:cs="Times New Roman"/>
                <w:sz w:val="20"/>
                <w:szCs w:val="20"/>
              </w:rPr>
            </w:pPr>
            <w:bookmarkStart w:id="374" w:name="_Ref143679939"/>
            <w:r>
              <w:rPr>
                <w:rFonts w:eastAsia="Calibri" w:cs="Times New Roman"/>
                <w:kern w:val="0"/>
                <w:sz w:val="20"/>
                <w:szCs w:val="20"/>
                <w:lang w:val="ru-RU" w:eastAsia="ru-RU" w:bidi="ar-SA"/>
              </w:rPr>
              <w:t>3.</w:t>
            </w:r>
            <w:bookmarkEnd w:id="374"/>
          </w:p>
        </w:tc>
        <w:tc>
          <w:tcPr>
            <w:tcW w:w="1270"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Times New Roman" w:cs="Times New Roman"/>
                <w:kern w:val="0"/>
                <w:sz w:val="20"/>
                <w:szCs w:val="20"/>
                <w:lang w:val="ru-RU" w:eastAsia="ru-RU" w:bidi="ar-SA"/>
              </w:rPr>
              <w:t>Неценовой критерий оценки первого уровня / ОРГ</w:t>
            </w:r>
          </w:p>
        </w:tc>
        <w:tc>
          <w:tcPr>
            <w:tcW w:w="1595" w:type="dxa"/>
            <w:tcBorders/>
          </w:tcPr>
          <w:p>
            <w:pPr>
              <w:pStyle w:val="Normal"/>
              <w:widowControl w:val="false"/>
              <w:suppressAutoHyphens w:val="true"/>
              <w:spacing w:before="0" w:after="60"/>
              <w:jc w:val="both"/>
              <w:rPr>
                <w:rFonts w:ascii="Times New Roman" w:hAnsi="Times New Roman" w:eastAsia="Calibri" w:cs="Times New Roman"/>
                <w:sz w:val="20"/>
                <w:szCs w:val="20"/>
              </w:rPr>
            </w:pPr>
            <w:bookmarkStart w:id="375" w:name="Финсостояние"/>
            <w:r>
              <w:rPr>
                <w:rFonts w:eastAsia="Calibri" w:cs="Times New Roman"/>
                <w:kern w:val="0"/>
                <w:sz w:val="20"/>
                <w:szCs w:val="20"/>
                <w:lang w:val="ru-RU" w:eastAsia="ru-RU" w:bidi="ar-SA"/>
              </w:rPr>
              <w:t>Финансовое состояние (устойчивость) Участника</w:t>
            </w:r>
            <w:bookmarkEnd w:id="375"/>
          </w:p>
        </w:tc>
        <w:tc>
          <w:tcPr>
            <w:tcW w:w="1700"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i/>
                <w:kern w:val="0"/>
                <w:sz w:val="20"/>
                <w:szCs w:val="20"/>
                <w:lang w:val="ru-RU" w:eastAsia="ru-RU" w:bidi="ar-SA"/>
              </w:rPr>
              <w:t>отсутствует</w:t>
            </w:r>
          </w:p>
        </w:tc>
        <w:tc>
          <w:tcPr>
            <w:tcW w:w="1844"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ru-RU" w:bidi="ar-SA"/>
              </w:rPr>
              <w:t>5%</w:t>
              <w:br/>
              <w:t>(В</w:t>
            </w:r>
            <w:r>
              <w:rPr>
                <w:rFonts w:eastAsia="Calibri" w:cs="Times New Roman" w:ascii="Calibri" w:hAnsi="Calibri"/>
                <w:kern w:val="0"/>
                <w:sz w:val="20"/>
                <w:szCs w:val="20"/>
                <w:vertAlign w:val="subscript"/>
                <w:lang w:val="ru-RU" w:eastAsia="ru-RU" w:bidi="ar-SA"/>
              </w:rPr>
              <w:t>3</w:t>
            </w:r>
            <w:r>
              <w:rPr>
                <w:rFonts w:eastAsia="Calibri" w:cs="Times New Roman" w:ascii="Calibri" w:hAnsi="Calibri"/>
                <w:kern w:val="0"/>
                <w:sz w:val="20"/>
                <w:szCs w:val="20"/>
                <w:lang w:val="ru-RU" w:eastAsia="ru-RU" w:bidi="ar-SA"/>
              </w:rPr>
              <w:t xml:space="preserve"> = 0,05)</w:t>
            </w:r>
          </w:p>
        </w:tc>
        <w:tc>
          <w:tcPr>
            <w:tcW w:w="1985" w:type="dxa"/>
            <w:tcBorders/>
          </w:tcPr>
          <w:p>
            <w:pPr>
              <w:pStyle w:val="Normal"/>
              <w:widowControl w:val="false"/>
              <w:suppressAutoHyphens w:val="true"/>
              <w:spacing w:before="0" w:after="60"/>
              <w:jc w:val="both"/>
              <w:rPr>
                <w:rFonts w:ascii="Times New Roman" w:hAnsi="Times New Roman" w:eastAsia="Times New Roman" w:cs="Times New Roman"/>
                <w:sz w:val="20"/>
                <w:szCs w:val="20"/>
                <w:lang w:eastAsia="ru-RU"/>
              </w:rPr>
            </w:pPr>
            <w:r>
              <w:rPr>
                <w:rFonts w:eastAsia="Calibri" w:cs="Times New Roman"/>
                <w:kern w:val="0"/>
                <w:sz w:val="20"/>
                <w:szCs w:val="20"/>
                <w:lang w:val="ru-RU" w:eastAsia="en-US" w:bidi="ar-SA"/>
              </w:rPr>
              <w:t>Чем выше результат оценки финансового состояния (устойчивости) Участника, тем выше предпочтительность</w:t>
            </w:r>
          </w:p>
        </w:tc>
        <w:tc>
          <w:tcPr>
            <w:tcW w:w="5379"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ru-RU" w:bidi="ar-SA"/>
              </w:rPr>
              <w:t xml:space="preserve">Порядок осуществления оценки (значение оцениваемого параметра), в зависимости от </w:t>
            </w:r>
            <w:r>
              <w:rPr>
                <w:rFonts w:eastAsia="Calibri" w:cs="Times New Roman" w:ascii="Calibri" w:hAnsi="Calibri"/>
                <w:kern w:val="0"/>
                <w:sz w:val="20"/>
                <w:szCs w:val="20"/>
                <w:lang w:val="ru-RU" w:eastAsia="en-US" w:bidi="ar-SA"/>
              </w:rPr>
              <w:t>полученного</w:t>
            </w:r>
            <w:r>
              <w:rPr>
                <w:rFonts w:eastAsia="Calibri" w:cs="Times New Roman" w:ascii="Calibri" w:hAnsi="Calibri"/>
                <w:kern w:val="0"/>
                <w:sz w:val="20"/>
                <w:szCs w:val="20"/>
                <w:lang w:val="ru-RU" w:eastAsia="ru-RU" w:bidi="ar-SA"/>
              </w:rPr>
              <w:t xml:space="preserve"> </w:t>
            </w:r>
            <w:r>
              <w:rPr>
                <w:rFonts w:eastAsia="Calibri" w:cs="Times New Roman" w:ascii="Calibri" w:hAnsi="Calibri"/>
                <w:kern w:val="0"/>
                <w:sz w:val="20"/>
                <w:szCs w:val="20"/>
                <w:lang w:val="ru-RU" w:eastAsia="en-US" w:bidi="ar-SA"/>
              </w:rPr>
              <w:t xml:space="preserve">Участником (с </w:t>
            </w:r>
            <w:r>
              <w:rPr>
                <w:rFonts w:eastAsia="Calibri" w:cs="Times New Roman" w:ascii="Calibri" w:hAnsi="Calibri"/>
                <w:i/>
                <w:kern w:val="0"/>
                <w:sz w:val="20"/>
                <w:szCs w:val="20"/>
                <w:lang w:val="en-US" w:eastAsia="ru-RU" w:bidi="ar-SA"/>
              </w:rPr>
              <w:t>i</w:t>
            </w:r>
            <w:r>
              <w:rPr>
                <w:rFonts w:eastAsia="Calibri" w:cs="Times New Roman" w:ascii="Calibri" w:hAnsi="Calibri"/>
                <w:kern w:val="0"/>
                <w:sz w:val="20"/>
                <w:szCs w:val="20"/>
                <w:lang w:val="ru-RU" w:eastAsia="ru-RU" w:bidi="ar-SA"/>
              </w:rPr>
              <w:t>-</w:t>
            </w:r>
            <w:r>
              <w:rPr>
                <w:rFonts w:eastAsia="Calibri" w:cs="Times New Roman" w:ascii="Calibri" w:hAnsi="Calibri"/>
                <w:kern w:val="0"/>
                <w:sz w:val="20"/>
                <w:szCs w:val="20"/>
                <w:lang w:val="ru-RU" w:eastAsia="en-US" w:bidi="ar-SA"/>
              </w:rPr>
              <w:t>ой</w:t>
            </w:r>
            <w:r>
              <w:rPr>
                <w:rFonts w:eastAsia="Calibri" w:cs="Times New Roman" w:ascii="Calibri" w:hAnsi="Calibri"/>
                <w:kern w:val="0"/>
                <w:sz w:val="20"/>
                <w:szCs w:val="20"/>
                <w:lang w:val="ru-RU" w:eastAsia="ru-RU" w:bidi="ar-SA"/>
              </w:rPr>
              <w:t xml:space="preserve"> заяв</w:t>
            </w:r>
            <w:r>
              <w:rPr>
                <w:rFonts w:eastAsia="Calibri" w:cs="Times New Roman" w:ascii="Calibri" w:hAnsi="Calibri"/>
                <w:kern w:val="0"/>
                <w:sz w:val="20"/>
                <w:szCs w:val="20"/>
                <w:lang w:val="ru-RU" w:eastAsia="en-US" w:bidi="ar-SA"/>
              </w:rPr>
              <w:t xml:space="preserve">кой) значения расчетного балла </w:t>
            </w:r>
            <w:bookmarkStart w:id="376" w:name="_Hlk140493522"/>
            <w:r>
              <w:rPr>
                <w:rFonts w:eastAsia="Calibri" w:cs="Times New Roman" w:ascii="Calibri" w:hAnsi="Calibri"/>
                <w:kern w:val="0"/>
                <w:sz w:val="20"/>
                <w:szCs w:val="20"/>
                <w:lang w:val="ru-RU" w:eastAsia="en-US" w:bidi="ar-SA"/>
              </w:rPr>
              <w:t>(интегрального показателя финансового состояния)</w:t>
            </w:r>
            <w:bookmarkEnd w:id="376"/>
            <w:r>
              <w:rPr>
                <w:rFonts w:eastAsia="Calibri" w:cs="Times New Roman" w:ascii="Calibri" w:hAnsi="Calibri"/>
                <w:kern w:val="0"/>
                <w:sz w:val="20"/>
                <w:szCs w:val="20"/>
                <w:lang w:val="ru-RU" w:eastAsia="en-US" w:bidi="ar-SA"/>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Normal"/>
              <w:widowControl w:val="false"/>
              <w:numPr>
                <w:ilvl w:val="0"/>
                <w:numId w:val="17"/>
              </w:numPr>
              <w:suppressAutoHyphens w:val="true"/>
              <w:spacing w:before="0" w:after="60"/>
              <w:ind w:left="346" w:hanging="284"/>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порядок проведения оценки финансового состояния (устойчивости) Участника</w:t>
            </w:r>
            <w:r>
              <w:rPr>
                <w:rStyle w:val="FootnoteReference"/>
                <w:rFonts w:eastAsia="Calibri" w:cs="Times New Roman" w:ascii="Calibri" w:hAnsi="Calibri"/>
                <w:kern w:val="0"/>
                <w:sz w:val="20"/>
                <w:szCs w:val="20"/>
                <w:vertAlign w:val="superscript"/>
                <w:lang w:val="ru-RU" w:eastAsia="en-US" w:bidi="ar-SA"/>
              </w:rPr>
              <w:footnoteReference w:id="16"/>
            </w:r>
            <w:r>
              <w:rPr>
                <w:rFonts w:eastAsia="Calibri" w:cs="Times New Roman" w:ascii="Calibri" w:hAnsi="Calibri"/>
                <w:kern w:val="0"/>
                <w:sz w:val="20"/>
                <w:szCs w:val="20"/>
                <w:lang w:val="ru-RU" w:eastAsia="en-US" w:bidi="ar-SA"/>
              </w:rPr>
              <w:t xml:space="preserve"> установлен Приложением 4 к Положению об аккредитации;</w:t>
            </w:r>
          </w:p>
          <w:p>
            <w:pPr>
              <w:pStyle w:val="Normal"/>
              <w:widowControl w:val="false"/>
              <w:numPr>
                <w:ilvl w:val="0"/>
                <w:numId w:val="17"/>
              </w:numPr>
              <w:suppressAutoHyphens w:val="true"/>
              <w:spacing w:before="0" w:after="60"/>
              <w:ind w:left="346" w:hanging="284"/>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31">
              <w:r>
                <w:rPr>
                  <w:rFonts w:eastAsia="Calibri" w:cs="Times New Roman" w:ascii="Calibri" w:hAnsi="Calibri"/>
                  <w:color w:val="0563C1"/>
                  <w:kern w:val="0"/>
                  <w:sz w:val="20"/>
                  <w:szCs w:val="20"/>
                  <w:u w:val="single"/>
                  <w:lang w:val="ru-RU" w:eastAsia="en-US" w:bidi="ar-SA"/>
                </w:rPr>
                <w:t>https://bo.nalog.ru</w:t>
              </w:r>
            </w:hyperlink>
            <w:r>
              <w:rPr>
                <w:rFonts w:eastAsia="Calibri" w:cs="Times New Roman" w:ascii="Calibri" w:hAnsi="Calibri"/>
                <w:kern w:val="0"/>
                <w:sz w:val="20"/>
                <w:szCs w:val="20"/>
                <w:lang w:val="ru-RU" w:eastAsia="en-US" w:bidi="ar-SA"/>
              </w:rPr>
              <w:t xml:space="preserve">) за предыдущий отчетный период (год). </w:t>
            </w:r>
          </w:p>
          <w:p>
            <w:pPr>
              <w:pStyle w:val="Normal"/>
              <w:widowControl w:val="false"/>
              <w:suppressAutoHyphens w:val="true"/>
              <w:spacing w:before="0" w:after="60"/>
              <w:ind w:left="346" w:hanging="0"/>
              <w:jc w:val="both"/>
              <w:rPr>
                <w:rFonts w:ascii="Times New Roman" w:hAnsi="Times New Roman" w:eastAsia="Calibri" w:cs="Times New Roman"/>
                <w:sz w:val="20"/>
                <w:szCs w:val="20"/>
              </w:rPr>
            </w:pPr>
            <w:r>
              <w:rPr>
                <w:rFonts w:eastAsia="Calibri" w:cs="Times New Roman"/>
                <w:kern w:val="0"/>
                <w:sz w:val="20"/>
                <w:szCs w:val="20"/>
                <w:lang w:val="ru-RU" w:eastAsia="en-US" w:bidi="ar-SA"/>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Normal"/>
              <w:widowControl w:val="false"/>
              <w:numPr>
                <w:ilvl w:val="0"/>
                <w:numId w:val="17"/>
              </w:numPr>
              <w:suppressAutoHyphens w:val="true"/>
              <w:spacing w:before="0" w:after="60"/>
              <w:ind w:left="346" w:hanging="284"/>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оценки предпочтительности по частному критерию</w:t>
            </w:r>
            <w:r>
              <w:rPr>
                <w:rFonts w:eastAsia="Calibri" w:cs="Times New Roman" w:ascii="Calibri" w:hAnsi="Calibri"/>
                <w:kern w:val="0"/>
                <w:sz w:val="20"/>
                <w:szCs w:val="20"/>
                <w:lang w:val="ru-RU" w:eastAsia="ru-RU" w:bidi="ar-SA"/>
              </w:rPr>
              <w:t xml:space="preserve"> осуществляется в соответствии со </w:t>
            </w:r>
            <w:r>
              <w:rPr>
                <w:rFonts w:eastAsia="Calibri" w:cs="Times New Roman" w:ascii="Calibri" w:hAnsi="Calibri"/>
                <w:kern w:val="0"/>
                <w:sz w:val="20"/>
                <w:szCs w:val="20"/>
                <w:lang w:val="ru-RU" w:eastAsia="en-US" w:bidi="ar-SA"/>
              </w:rPr>
              <w:t>шкалой</w:t>
            </w:r>
            <w:r>
              <w:rPr>
                <w:rFonts w:eastAsia="Calibri" w:cs="Times New Roman" w:ascii="Calibri" w:hAnsi="Calibri"/>
                <w:kern w:val="0"/>
                <w:sz w:val="20"/>
                <w:szCs w:val="20"/>
                <w:lang w:val="ru-RU" w:eastAsia="ru-RU" w:bidi="ar-SA"/>
              </w:rPr>
              <w:t>:</w:t>
            </w:r>
          </w:p>
          <w:tbl>
            <w:tblPr>
              <w:tblW w:w="476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82"/>
              <w:gridCol w:w="3879"/>
            </w:tblGrid>
            <w:tr>
              <w:trPr>
                <w:cantSplit w:val="true"/>
              </w:trPr>
              <w:tc>
                <w:tcPr>
                  <w:tcW w:w="882" w:type="dxa"/>
                  <w:tcBorders>
                    <w:bottom w:val="single" w:sz="4" w:space="0" w:color="000000"/>
                    <w:right w:val="single" w:sz="4" w:space="0" w:color="000000"/>
                  </w:tcBorders>
                </w:tcPr>
                <w:p>
                  <w:pPr>
                    <w:pStyle w:val="Normal"/>
                    <w:widowControl w:val="false"/>
                    <w:spacing w:before="0" w:after="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0</w:t>
                  </w:r>
                </w:p>
              </w:tc>
              <w:tc>
                <w:tcPr>
                  <w:tcW w:w="3879" w:type="dxa"/>
                  <w:tcBorders>
                    <w:left w:val="single" w:sz="4" w:space="0" w:color="000000"/>
                    <w:bottom w:val="single" w:sz="4" w:space="0" w:color="000000"/>
                  </w:tcBorders>
                </w:tcPr>
                <w:p>
                  <w:pPr>
                    <w:pStyle w:val="Normal"/>
                    <w:widowControl w:val="false"/>
                    <w:spacing w:before="0" w:after="0"/>
                    <w:jc w:val="both"/>
                    <w:rPr>
                      <w:rFonts w:eastAsia="Calibri" w:cs="Times New Roman"/>
                      <w:sz w:val="20"/>
                      <w:szCs w:val="20"/>
                    </w:rPr>
                  </w:pPr>
                  <w:r>
                    <w:rPr>
                      <w:rFonts w:eastAsia="Calibri" w:cs="Times New Roman"/>
                      <w:sz w:val="20"/>
                      <w:szCs w:val="20"/>
                    </w:rPr>
                    <w:t>Результат оценки финансового состояния (устойчивости): менее 0,45 балла – Кризисное финансовое состояние;</w:t>
                  </w:r>
                </w:p>
                <w:p>
                  <w:pPr>
                    <w:pStyle w:val="Normal"/>
                    <w:widowControl w:val="false"/>
                    <w:spacing w:before="0" w:after="0"/>
                    <w:jc w:val="both"/>
                    <w:rPr>
                      <w:rFonts w:eastAsia="Calibri" w:cs="Times New Roman"/>
                      <w:i/>
                      <w:i/>
                      <w:iCs/>
                      <w:sz w:val="20"/>
                      <w:szCs w:val="20"/>
                    </w:rPr>
                  </w:pPr>
                  <w:r>
                    <w:rPr>
                      <w:rFonts w:eastAsia="Calibri" w:cs="Times New Roman"/>
                      <w:i/>
                      <w:iCs/>
                      <w:sz w:val="20"/>
                      <w:szCs w:val="20"/>
                    </w:rPr>
                    <w:t>или</w:t>
                  </w:r>
                </w:p>
                <w:p>
                  <w:pPr>
                    <w:pStyle w:val="Normal"/>
                    <w:widowControl w:val="false"/>
                    <w:spacing w:before="0" w:after="0"/>
                    <w:jc w:val="both"/>
                    <w:rPr>
                      <w:rFonts w:eastAsia="Calibri" w:cs="Times New Roman"/>
                      <w:sz w:val="20"/>
                      <w:szCs w:val="20"/>
                    </w:rPr>
                  </w:pPr>
                  <w:r>
                    <w:rPr>
                      <w:rFonts w:eastAsia="Calibri" w:cs="Times New Roman"/>
                      <w:sz w:val="20"/>
                      <w:szCs w:val="20"/>
                    </w:rPr>
                    <w:t xml:space="preserve">в случае отсутствия исходных данных для оценки финансового состояния Участника, в том числе если он является: </w:t>
                  </w:r>
                </w:p>
                <w:p>
                  <w:pPr>
                    <w:pStyle w:val="Normal"/>
                    <w:widowControl w:val="false"/>
                    <w:numPr>
                      <w:ilvl w:val="4"/>
                      <w:numId w:val="16"/>
                    </w:numPr>
                    <w:spacing w:before="0" w:after="0"/>
                    <w:ind w:left="209" w:hanging="209"/>
                    <w:jc w:val="both"/>
                    <w:outlineLvl w:val="4"/>
                    <w:rPr>
                      <w:rFonts w:eastAsia="Calibri" w:cs="Times New Roman"/>
                      <w:sz w:val="20"/>
                      <w:szCs w:val="20"/>
                    </w:rPr>
                  </w:pPr>
                  <w:r>
                    <w:rPr>
                      <w:rFonts w:eastAsia="Calibri" w:cs="Times New Roman"/>
                      <w:sz w:val="20"/>
                      <w:szCs w:val="20"/>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pPr>
                    <w:pStyle w:val="Normal"/>
                    <w:widowControl w:val="false"/>
                    <w:numPr>
                      <w:ilvl w:val="4"/>
                      <w:numId w:val="16"/>
                    </w:numPr>
                    <w:spacing w:before="0" w:after="0"/>
                    <w:ind w:left="209" w:hanging="209"/>
                    <w:jc w:val="both"/>
                    <w:outlineLvl w:val="4"/>
                    <w:rPr>
                      <w:rFonts w:eastAsia="Calibri" w:cs="Times New Roman"/>
                      <w:sz w:val="20"/>
                      <w:szCs w:val="20"/>
                      <w:lang w:eastAsia="ru-RU"/>
                    </w:rPr>
                  </w:pPr>
                  <w:r>
                    <w:rPr>
                      <w:rFonts w:eastAsia="Calibri" w:cs="Times New Roman"/>
                      <w:sz w:val="20"/>
                      <w:szCs w:val="20"/>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trPr>
                <w:cantSplit w:val="true"/>
              </w:trPr>
              <w:tc>
                <w:tcPr>
                  <w:tcW w:w="882" w:type="dxa"/>
                  <w:tcBorders>
                    <w:top w:val="single" w:sz="4" w:space="0" w:color="000000"/>
                    <w:bottom w:val="single" w:sz="4" w:space="0" w:color="000000"/>
                    <w:right w:val="single" w:sz="4" w:space="0" w:color="000000"/>
                  </w:tcBorders>
                </w:tcPr>
                <w:p>
                  <w:pPr>
                    <w:pStyle w:val="Normal"/>
                    <w:widowControl w:val="false"/>
                    <w:spacing w:before="0" w:after="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3</w:t>
                  </w:r>
                </w:p>
              </w:tc>
              <w:tc>
                <w:tcPr>
                  <w:tcW w:w="3879" w:type="dxa"/>
                  <w:tcBorders>
                    <w:top w:val="single" w:sz="4" w:space="0" w:color="000000"/>
                    <w:left w:val="single" w:sz="4" w:space="0" w:color="000000"/>
                    <w:bottom w:val="single" w:sz="4" w:space="0" w:color="000000"/>
                  </w:tcBorders>
                </w:tcPr>
                <w:p>
                  <w:pPr>
                    <w:pStyle w:val="Normal"/>
                    <w:widowControl w:val="false"/>
                    <w:numPr>
                      <w:ilvl w:val="0"/>
                      <w:numId w:val="0"/>
                    </w:numPr>
                    <w:spacing w:before="0" w:after="0"/>
                    <w:jc w:val="both"/>
                    <w:outlineLvl w:val="4"/>
                    <w:rPr>
                      <w:rFonts w:eastAsia="Calibri" w:cs="Times New Roman"/>
                      <w:sz w:val="20"/>
                      <w:szCs w:val="20"/>
                      <w:lang w:eastAsia="ru-RU"/>
                    </w:rPr>
                  </w:pPr>
                  <w:r>
                    <w:rPr>
                      <w:rFonts w:eastAsia="Calibri" w:cs="Times New Roman"/>
                      <w:sz w:val="20"/>
                      <w:szCs w:val="20"/>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trPr>
                <w:cantSplit w:val="true"/>
              </w:trPr>
              <w:tc>
                <w:tcPr>
                  <w:tcW w:w="882" w:type="dxa"/>
                  <w:tcBorders>
                    <w:top w:val="single" w:sz="4" w:space="0" w:color="000000"/>
                    <w:bottom w:val="single" w:sz="4" w:space="0" w:color="000000"/>
                    <w:right w:val="single" w:sz="4" w:space="0" w:color="000000"/>
                  </w:tcBorders>
                </w:tcPr>
                <w:p>
                  <w:pPr>
                    <w:pStyle w:val="Normal"/>
                    <w:widowControl w:val="false"/>
                    <w:spacing w:before="0" w:after="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5</w:t>
                  </w:r>
                </w:p>
              </w:tc>
              <w:tc>
                <w:tcPr>
                  <w:tcW w:w="3879" w:type="dxa"/>
                  <w:tcBorders>
                    <w:top w:val="single" w:sz="4" w:space="0" w:color="000000"/>
                    <w:left w:val="single" w:sz="4" w:space="0" w:color="000000"/>
                    <w:bottom w:val="single" w:sz="4" w:space="0" w:color="000000"/>
                  </w:tcBorders>
                </w:tcPr>
                <w:p>
                  <w:pPr>
                    <w:pStyle w:val="Normal"/>
                    <w:widowControl w:val="false"/>
                    <w:numPr>
                      <w:ilvl w:val="0"/>
                      <w:numId w:val="0"/>
                    </w:numPr>
                    <w:spacing w:before="0" w:after="0"/>
                    <w:jc w:val="both"/>
                    <w:outlineLvl w:val="4"/>
                    <w:rPr>
                      <w:rFonts w:eastAsia="Calibri" w:cs="Times New Roman"/>
                      <w:sz w:val="20"/>
                      <w:szCs w:val="20"/>
                      <w:lang w:eastAsia="ru-RU"/>
                    </w:rPr>
                  </w:pPr>
                  <w:r>
                    <w:rPr>
                      <w:rFonts w:eastAsia="Calibri" w:cs="Times New Roman"/>
                      <w:sz w:val="20"/>
                      <w:szCs w:val="20"/>
                    </w:rPr>
                    <w:t>Результат оценки финансового состояния (устойчивости): более 0,90 балла – Удовлетворительное финансовое состояние.</w:t>
                  </w:r>
                </w:p>
              </w:tc>
            </w:tr>
          </w:tbl>
          <w:p>
            <w:pPr>
              <w:pStyle w:val="Normal"/>
              <w:widowControl w:val="false"/>
              <w:numPr>
                <w:ilvl w:val="6"/>
                <w:numId w:val="19"/>
              </w:numPr>
              <w:suppressAutoHyphens w:val="true"/>
              <w:spacing w:before="0" w:after="60"/>
              <w:ind w:left="0" w:firstLine="567"/>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где:</w:t>
            </w:r>
          </w:p>
          <w:p>
            <w:pPr>
              <w:pStyle w:val="Normal"/>
              <w:widowControl w:val="false"/>
              <w:numPr>
                <w:ilvl w:val="6"/>
                <w:numId w:val="16"/>
              </w:numPr>
              <w:tabs>
                <w:tab w:val="clear" w:pos="708"/>
                <w:tab w:val="left" w:pos="742" w:leader="none"/>
                <w:tab w:val="left" w:pos="1167" w:leader="none"/>
              </w:tabs>
              <w:suppressAutoHyphens w:val="true"/>
              <w:spacing w:before="0" w:after="60"/>
              <w:ind w:left="349" w:hanging="349"/>
              <w:jc w:val="both"/>
              <w:rPr>
                <w:rFonts w:ascii="Times New Roman" w:hAnsi="Times New Roman" w:eastAsia="Calibri" w:cs="Times New Roman"/>
                <w:sz w:val="20"/>
                <w:szCs w:val="20"/>
                <w:lang w:eastAsia="ru-RU"/>
              </w:rPr>
            </w:pPr>
            <w:r>
              <w:rPr>
                <w:rFonts w:eastAsia="Calibri" w:cs="Times New Roman" w:ascii="Calibri" w:hAnsi="Calibri"/>
                <w:kern w:val="0"/>
                <w:sz w:val="20"/>
                <w:szCs w:val="20"/>
                <w:lang w:val="ru-RU" w:eastAsia="ru-RU" w:bidi="ar-SA"/>
              </w:rPr>
              <w:t>Б</w:t>
            </w:r>
            <w:r>
              <w:rPr>
                <w:rFonts w:eastAsia="Calibri" w:cs="Times New Roman" w:ascii="Calibri" w:hAnsi="Calibri"/>
                <w:kern w:val="0"/>
                <w:sz w:val="20"/>
                <w:szCs w:val="20"/>
                <w:vertAlign w:val="subscript"/>
                <w:lang w:val="ru-RU" w:eastAsia="ru-RU" w:bidi="ar-SA"/>
              </w:rPr>
              <w:t>3</w:t>
            </w:r>
            <w:r>
              <w:rPr>
                <w:rFonts w:eastAsia="Calibri" w:cs="Times New Roman" w:ascii="Calibri" w:hAnsi="Calibri"/>
                <w:kern w:val="0"/>
                <w:sz w:val="20"/>
                <w:szCs w:val="20"/>
                <w:lang w:val="ru-RU" w:eastAsia="ru-RU" w:bidi="ar-SA"/>
              </w:rPr>
              <w:tab/>
              <w:t>–</w:t>
              <w:tab/>
              <w:t>рассчитанная оценка предпочтительности по данному частному критерию оценки в баллах.</w:t>
            </w:r>
          </w:p>
          <w:p>
            <w:pPr>
              <w:pStyle w:val="Normal"/>
              <w:widowControl w:val="false"/>
              <w:numPr>
                <w:ilvl w:val="0"/>
                <w:numId w:val="0"/>
              </w:numPr>
              <w:suppressAutoHyphens w:val="true"/>
              <w:spacing w:before="0" w:after="60"/>
              <w:jc w:val="both"/>
              <w:outlineLvl w:val="2"/>
              <w:rPr>
                <w:rFonts w:ascii="Times New Roman" w:hAnsi="Times New Roman" w:eastAsia="Calibri" w:cs="Times New Roman"/>
                <w:sz w:val="20"/>
                <w:szCs w:val="20"/>
              </w:rPr>
            </w:pPr>
            <w:bookmarkStart w:id="377" w:name="_Toc151555394"/>
            <w:r>
              <w:rPr>
                <w:rFonts w:eastAsia="Calibri" w:cs="Times New Roman"/>
                <w:kern w:val="0"/>
                <w:sz w:val="20"/>
                <w:szCs w:val="20"/>
                <w:lang w:val="ru-RU" w:eastAsia="en-US" w:bidi="ar-SA"/>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77"/>
          </w:p>
          <w:p>
            <w:pPr>
              <w:pStyle w:val="Normal"/>
              <w:widowControl w:val="false"/>
              <w:suppressAutoHyphens w:val="true"/>
              <w:spacing w:before="0" w:after="60"/>
              <w:jc w:val="both"/>
              <w:rPr>
                <w:rFonts w:ascii="Times New Roman" w:hAnsi="Times New Roman" w:eastAsia="Calibri" w:cs="Times New Roman"/>
                <w:sz w:val="20"/>
                <w:szCs w:val="20"/>
                <w:lang w:eastAsia="ru-RU"/>
              </w:rPr>
            </w:pPr>
            <w:r>
              <w:rPr>
                <w:rFonts w:eastAsia="Calibri" w:cs="Times New Roman" w:ascii="Calibri" w:hAnsi="Calibri"/>
                <w:kern w:val="0"/>
                <w:sz w:val="20"/>
                <w:szCs w:val="20"/>
                <w:lang w:val="ru-RU" w:eastAsia="en-US" w:bidi="ar-SA"/>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w:t>
            </w:r>
            <w:r>
              <w:rPr>
                <w:rFonts w:eastAsia="Calibri" w:cs="Times New Roman" w:ascii="Calibri" w:hAnsi="Calibri"/>
                <w:kern w:val="0"/>
                <w:sz w:val="20"/>
                <w:szCs w:val="20"/>
                <w:lang w:val="ru-RU" w:eastAsia="ru-RU" w:bidi="ar-SA"/>
              </w:rPr>
              <w:t xml:space="preserve"> 11)</w:t>
            </w:r>
            <w:r>
              <w:rPr>
                <w:rFonts w:eastAsia="Calibri" w:cs="Times New Roman" w:ascii="Calibri" w:hAnsi="Calibri"/>
                <w:kern w:val="0"/>
                <w:sz w:val="20"/>
                <w:szCs w:val="20"/>
                <w:lang w:val="ru-RU" w:eastAsia="en-US" w:bidi="ar-SA"/>
              </w:rPr>
              <w:t>.</w:t>
            </w:r>
          </w:p>
          <w:p>
            <w:pPr>
              <w:pStyle w:val="Normal"/>
              <w:widowControl w:val="false"/>
              <w:suppressAutoHyphens w:val="true"/>
              <w:spacing w:before="0" w:after="60"/>
              <w:ind w:right="224" w:hanging="0"/>
              <w:jc w:val="both"/>
              <w:rPr>
                <w:rFonts w:ascii="Times New Roman" w:hAnsi="Times New Roman" w:eastAsia="Times New Roman" w:cs="Times New Roman"/>
                <w:color w:val="000000"/>
                <w:sz w:val="20"/>
                <w:szCs w:val="20"/>
                <w:lang w:eastAsia="ru-RU"/>
              </w:rPr>
            </w:pPr>
            <w:r>
              <w:rPr>
                <w:rFonts w:eastAsia="Calibri" w:cs="Times New Roman"/>
                <w:kern w:val="0"/>
                <w:sz w:val="20"/>
                <w:szCs w:val="20"/>
                <w:lang w:val="ru-RU" w:eastAsia="ru-RU" w:bidi="ar-SA"/>
              </w:rPr>
              <w:t>Шкала оценок от 0 до 5 баллов.</w:t>
            </w:r>
          </w:p>
        </w:tc>
      </w:tr>
      <w:tr>
        <w:trPr/>
        <w:tc>
          <w:tcPr>
            <w:tcW w:w="6095" w:type="dxa"/>
            <w:gridSpan w:val="4"/>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Итоговая оценка предпочтительности заявки:</w:t>
            </w:r>
          </w:p>
        </w:tc>
        <w:tc>
          <w:tcPr>
            <w:tcW w:w="9208" w:type="dxa"/>
            <w:gridSpan w:val="3"/>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 xml:space="preserve">Расчет итоговой оценки предпочтительности </w:t>
            </w:r>
            <w:r>
              <w:rPr>
                <w:rFonts w:eastAsia="Calibri" w:cs="" w:ascii="Calibri" w:hAnsi="Calibri"/>
                <w:kern w:val="0"/>
                <w:sz w:val="26"/>
                <w:szCs w:val="22"/>
                <w:lang w:val="ru-RU" w:eastAsia="en-US" w:bidi="ar-SA"/>
              </w:rPr>
            </w:r>
            <m:oMath xmlns:m="http://schemas.openxmlformats.org/officeDocument/2006/math">
              <m:r>
                <w:rPr>
                  <w:rFonts w:ascii="Cambria Math" w:hAnsi="Cambria Math"/>
                </w:rPr>
                <m:t xml:space="preserve">i</m:t>
              </m:r>
            </m:oMath>
            <w:r>
              <w:rPr>
                <w:rFonts w:eastAsia="Calibri" w:cs="Times New Roman" w:ascii="Calibri" w:hAnsi="Calibri"/>
                <w:kern w:val="0"/>
                <w:sz w:val="20"/>
                <w:szCs w:val="20"/>
                <w:lang w:val="ru-RU" w:eastAsia="en-US" w:bidi="ar-SA"/>
              </w:rPr>
              <w:t>-ой заявки:</w:t>
            </w:r>
          </w:p>
          <w:p>
            <w:pPr>
              <w:pStyle w:val="Normal"/>
              <w:widowControl w:val="false"/>
              <w:suppressAutoHyphens w:val="true"/>
              <w:spacing w:before="0" w:after="60"/>
              <w:jc w:val="center"/>
              <w:rPr>
                <w:rFonts w:ascii="Times New Roman" w:hAnsi="Times New Roman" w:eastAsia="Calibri" w:cs="Times New Roman"/>
                <w:sz w:val="20"/>
                <w:szCs w:val="20"/>
                <w:lang w:val="en-US"/>
              </w:rPr>
            </w:pPr>
            <w:r>
              <w:rPr>
                <w:kern w:val="0"/>
                <w:lang w:eastAsia="en-US" w:bidi="ar-SA"/>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уровеньk</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уровеньk</m:t>
                            </m:r>
                          </m:sub>
                        </m:sSub>
                      </m:e>
                    </m:d>
                  </m:e>
                </m:nary>
                <m:r>
                  <w:rPr>
                    <w:rFonts w:ascii="Cambria Math" w:hAnsi="Cambria Math"/>
                  </w:rPr>
                  <m:t xml:space="preserve">,</m:t>
                </m:r>
              </m:oMath>
            </m:oMathPara>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где:</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 w:ascii="Calibri" w:hAnsi="Calibri"/>
                <w:kern w:val="0"/>
                <w:sz w:val="26"/>
                <w:szCs w:val="22"/>
                <w:lang w:val="ru-RU" w:eastAsia="en-US" w:bidi="ar-SA"/>
              </w:rPr>
            </w:r>
            <m:oMath xmlns:m="http://schemas.openxmlformats.org/officeDocument/2006/math">
              <m:sSub>
                <m:e>
                  <m:r>
                    <w:rPr>
                      <w:rFonts w:ascii="Cambria Math" w:hAnsi="Cambria Math"/>
                    </w:rPr>
                    <m:t xml:space="preserve">Б</m:t>
                  </m:r>
                </m:e>
                <m:sub>
                  <m:r>
                    <w:rPr>
                      <w:rFonts w:ascii="Cambria Math" w:hAnsi="Cambria Math"/>
                    </w:rPr>
                    <m:t xml:space="preserve">ИТОГ</m:t>
                  </m:r>
                </m:sub>
              </m:sSub>
            </m:oMath>
            <w:r>
              <w:rPr>
                <w:rFonts w:eastAsia="Calibri" w:cs="Times New Roman" w:ascii="Calibri" w:hAnsi="Calibri"/>
                <w:kern w:val="0"/>
                <w:sz w:val="20"/>
                <w:szCs w:val="20"/>
                <w:lang w:val="ru-RU" w:eastAsia="en-US" w:bidi="ar-SA"/>
              </w:rPr>
              <w:t xml:space="preserve"> – </w:t>
            </w:r>
            <w:r>
              <w:rPr>
                <w:rFonts w:eastAsia="Calibri" w:cs="Times New Roman" w:ascii="Calibri" w:hAnsi="Calibri"/>
                <w:kern w:val="0"/>
                <w:sz w:val="20"/>
                <w:szCs w:val="20"/>
                <w:lang w:val="ru-RU" w:eastAsia="en-US" w:bidi="ar-SA"/>
              </w:rPr>
              <w:t>рассчитанная итоговая оценка предпочтительности в баллах;</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 w:ascii="Calibri" w:hAnsi="Calibri"/>
                <w:kern w:val="0"/>
                <w:sz w:val="26"/>
                <w:szCs w:val="22"/>
                <w:lang w:val="ru-RU" w:eastAsia="en-US" w:bidi="ar-SA"/>
              </w:rPr>
            </w:r>
            <m:oMath xmlns:m="http://schemas.openxmlformats.org/officeDocument/2006/math">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уровеньk</m:t>
                  </m:r>
                </m:sub>
              </m:sSub>
            </m:oMath>
            <w:r>
              <w:rPr>
                <w:rFonts w:eastAsia="Calibri" w:cs="Times New Roman" w:ascii="Calibri" w:hAnsi="Calibri"/>
                <w:kern w:val="0"/>
                <w:sz w:val="20"/>
                <w:szCs w:val="20"/>
                <w:lang w:val="ru-RU" w:eastAsia="en-US" w:bidi="ar-SA"/>
              </w:rPr>
              <w:t xml:space="preserve"> – </w:t>
            </w:r>
            <w:r>
              <w:rPr>
                <w:rFonts w:eastAsia="Calibri" w:cs="Times New Roman" w:ascii="Calibri" w:hAnsi="Calibri"/>
                <w:kern w:val="0"/>
                <w:sz w:val="20"/>
                <w:szCs w:val="20"/>
                <w:lang w:val="ru-RU" w:eastAsia="en-US" w:bidi="ar-SA"/>
              </w:rPr>
              <w:t xml:space="preserve">оценка предпочтительности по </w:t>
            </w:r>
            <w:r>
              <w:rPr>
                <w:rFonts w:eastAsia="Calibri" w:cs="" w:ascii="Calibri" w:hAnsi="Calibri"/>
                <w:kern w:val="0"/>
                <w:sz w:val="26"/>
                <w:szCs w:val="22"/>
                <w:lang w:val="ru-RU" w:eastAsia="en-US" w:bidi="ar-SA"/>
              </w:rPr>
            </w:r>
            <m:oMath xmlns:m="http://schemas.openxmlformats.org/officeDocument/2006/math">
              <m:r>
                <w:rPr>
                  <w:rFonts w:ascii="Cambria Math" w:hAnsi="Cambria Math"/>
                </w:rPr>
                <m:t xml:space="preserve">k</m:t>
              </m:r>
            </m:oMath>
            <w:r>
              <w:rPr>
                <w:rFonts w:eastAsia="Calibri" w:cs="Times New Roman" w:ascii="Calibri" w:hAnsi="Calibri"/>
                <w:kern w:val="0"/>
                <w:sz w:val="20"/>
                <w:szCs w:val="20"/>
                <w:lang w:val="ru-RU" w:eastAsia="en-US" w:bidi="ar-SA"/>
              </w:rPr>
              <w:t>-тому критерию оценки первого уровня в баллах;</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 w:ascii="Calibri" w:hAnsi="Calibri"/>
                <w:kern w:val="0"/>
                <w:sz w:val="26"/>
                <w:szCs w:val="22"/>
                <w:lang w:val="ru-RU" w:eastAsia="en-US" w:bidi="ar-SA"/>
              </w:rPr>
            </w:r>
            <m:oMath xmlns:m="http://schemas.openxmlformats.org/officeDocument/2006/math">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уровеньk</m:t>
                  </m:r>
                </m:sub>
              </m:sSub>
            </m:oMath>
            <w:r>
              <w:rPr>
                <w:rFonts w:eastAsia="Calibri" w:cs="Times New Roman" w:ascii="Calibri" w:hAnsi="Calibri"/>
                <w:kern w:val="0"/>
                <w:sz w:val="20"/>
                <w:szCs w:val="20"/>
                <w:lang w:val="ru-RU" w:eastAsia="en-US" w:bidi="ar-SA"/>
              </w:rPr>
              <w:t xml:space="preserve"> – </w:t>
            </w:r>
            <w:r>
              <w:rPr>
                <w:rFonts w:eastAsia="Calibri" w:cs="Times New Roman" w:ascii="Calibri" w:hAnsi="Calibri"/>
                <w:kern w:val="0"/>
                <w:sz w:val="20"/>
                <w:szCs w:val="20"/>
                <w:lang w:val="ru-RU" w:eastAsia="en-US" w:bidi="ar-SA"/>
              </w:rPr>
              <w:t xml:space="preserve">значимость </w:t>
            </w:r>
            <w:r>
              <w:rPr>
                <w:rFonts w:eastAsia="Calibri" w:cs="" w:ascii="Calibri" w:hAnsi="Calibri"/>
                <w:kern w:val="0"/>
                <w:sz w:val="26"/>
                <w:szCs w:val="22"/>
                <w:lang w:val="ru-RU" w:eastAsia="en-US" w:bidi="ar-SA"/>
              </w:rPr>
            </w:r>
            <m:oMath xmlns:m="http://schemas.openxmlformats.org/officeDocument/2006/math">
              <m:r>
                <w:rPr>
                  <w:rFonts w:ascii="Cambria Math" w:hAnsi="Cambria Math"/>
                </w:rPr>
                <m:t xml:space="preserve">k</m:t>
              </m:r>
            </m:oMath>
            <w:r>
              <w:rPr>
                <w:rFonts w:eastAsia="Calibri" w:cs="Times New Roman" w:ascii="Calibri" w:hAnsi="Calibri"/>
                <w:kern w:val="0"/>
                <w:sz w:val="20"/>
                <w:szCs w:val="20"/>
                <w:lang w:val="ru-RU" w:eastAsia="en-US" w:bidi="ar-SA"/>
              </w:rPr>
              <w:t xml:space="preserve">-ого критерия оценки первого уровня, выраженная в диапазоне от 1% до 100% (или от 0,01 до 1,00) – вес </w:t>
            </w:r>
            <w:r>
              <w:rPr>
                <w:rFonts w:eastAsia="Calibri" w:cs="" w:ascii="Calibri" w:hAnsi="Calibri"/>
                <w:kern w:val="0"/>
                <w:sz w:val="26"/>
                <w:szCs w:val="22"/>
                <w:lang w:val="ru-RU" w:eastAsia="en-US" w:bidi="ar-SA"/>
              </w:rPr>
            </w:r>
            <m:oMath xmlns:m="http://schemas.openxmlformats.org/officeDocument/2006/math">
              <m:r>
                <w:rPr>
                  <w:rFonts w:ascii="Cambria Math" w:hAnsi="Cambria Math"/>
                </w:rPr>
                <m:t xml:space="preserve">k</m:t>
              </m:r>
            </m:oMath>
            <w:r>
              <w:rPr>
                <w:rFonts w:eastAsia="Calibri" w:cs="Times New Roman" w:ascii="Calibri" w:hAnsi="Calibri"/>
                <w:kern w:val="0"/>
                <w:sz w:val="20"/>
                <w:szCs w:val="20"/>
                <w:lang w:val="ru-RU" w:eastAsia="en-US" w:bidi="ar-SA"/>
              </w:rPr>
              <w:t>-ого критерия оценки первого уровня.</w:t>
            </w:r>
          </w:p>
          <w:p>
            <w:pPr>
              <w:pStyle w:val="Normal"/>
              <w:widowControl w:val="false"/>
              <w:suppressAutoHyphens w:val="true"/>
              <w:spacing w:before="0" w:after="60"/>
              <w:jc w:val="both"/>
              <w:rPr>
                <w:rFonts w:ascii="Times New Roman" w:hAnsi="Times New Roman" w:eastAsia="Calibri" w:cs="Times New Roman"/>
                <w:iCs/>
                <w:sz w:val="20"/>
                <w:szCs w:val="20"/>
              </w:rPr>
            </w:pPr>
            <w:r>
              <w:rPr>
                <w:rFonts w:eastAsia="Calibri" w:cs="Times New Roman"/>
                <w:iCs/>
                <w:kern w:val="0"/>
                <w:sz w:val="20"/>
                <w:szCs w:val="20"/>
                <w:lang w:val="ru-RU" w:eastAsia="en-US" w:bidi="ar-SA"/>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6"/>
        <w:spacing w:before="0" w:after="0"/>
        <w:rPr/>
      </w:pPr>
      <w:r>
        <w:rP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w:t>
      </w:r>
      <w:bookmarkStart w:id="378" w:name="_GoBack"/>
      <w:bookmarkEnd w:id="378"/>
      <w:r>
        <w:rPr/>
        <w:t>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6"/>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pStyle w:val="Style26"/>
        <w:rPr/>
      </w:pPr>
      <w:r>
        <w:rP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pPr>
        <w:sectPr>
          <w:headerReference w:type="default" r:id="rId32"/>
          <w:headerReference w:type="first" r:id="rId33"/>
          <w:footerReference w:type="default" r:id="rId34"/>
          <w:footerReference w:type="first" r:id="rId35"/>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4294963199"/>
        </w:sectPr>
        <w:pStyle w:val="Style26"/>
        <w:rPr/>
      </w:pPr>
      <w:r>
        <w:rPr/>
        <w:t>В установленных случаях оценка и сопоставление заявок производится с учетом применения приоритета в порядке,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pStyle w:val="Style24"/>
        <w:rPr/>
      </w:pPr>
      <w:bookmarkStart w:id="379" w:name="_Toc186224336"/>
      <w:bookmarkStart w:id="380" w:name="Прил09_ОбоснованиеНМЦ"/>
      <w:bookmarkStart w:id="381" w:name="_Ref125360420"/>
      <w:bookmarkStart w:id="382" w:name="_Toc136261769"/>
      <w:bookmarkStart w:id="383" w:name="_Toc136261692"/>
      <w:bookmarkStart w:id="384" w:name="_Toc136249263"/>
      <w:bookmarkStart w:id="385" w:name="_Toc136261768"/>
      <w:bookmarkStart w:id="386" w:name="_Toc136261691"/>
      <w:bookmarkStart w:id="387" w:name="_Toc136249262"/>
      <w:bookmarkStart w:id="388" w:name="_Toc136261767"/>
      <w:bookmarkStart w:id="389" w:name="_Toc136261690"/>
      <w:bookmarkStart w:id="390" w:name="_Toc136249261"/>
      <w:bookmarkStart w:id="391" w:name="_Toc136261766"/>
      <w:bookmarkStart w:id="392" w:name="_Toc136261689"/>
      <w:bookmarkStart w:id="393" w:name="_Toc136249260"/>
      <w:bookmarkEnd w:id="382"/>
      <w:bookmarkEnd w:id="383"/>
      <w:bookmarkEnd w:id="384"/>
      <w:bookmarkEnd w:id="385"/>
      <w:bookmarkEnd w:id="386"/>
      <w:bookmarkEnd w:id="387"/>
      <w:bookmarkEnd w:id="388"/>
      <w:bookmarkEnd w:id="389"/>
      <w:bookmarkEnd w:id="390"/>
      <w:bookmarkEnd w:id="391"/>
      <w:bookmarkEnd w:id="392"/>
      <w:bookmarkEnd w:id="393"/>
      <w:r>
        <w:rPr/>
        <w:t>Приложение № 9 – Обоснование НМЦ</w:t>
      </w:r>
      <w:bookmarkEnd w:id="379"/>
      <w:bookmarkEnd w:id="380"/>
      <w:bookmarkEnd w:id="381"/>
    </w:p>
    <w:p>
      <w:pPr>
        <w:pStyle w:val="Style25"/>
        <w:rPr/>
      </w:pPr>
      <w:bookmarkStart w:id="394" w:name="_Toc186224337"/>
      <w:r>
        <w:rPr/>
        <w:t>Пояснения к Обоснованию НМЦ</w:t>
      </w:r>
      <w:bookmarkEnd w:id="394"/>
    </w:p>
    <w:p>
      <w:pPr>
        <w:pStyle w:val="Style26"/>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4"/>
        <w:rPr/>
      </w:pPr>
      <w:bookmarkStart w:id="395" w:name="_Toc186224338"/>
      <w:bookmarkStart w:id="396" w:name="Прил10_ЗаявкаНаАккредитацию"/>
      <w:bookmarkEnd w:id="396"/>
      <w:r>
        <w:rPr/>
        <w:t>Приложение № 10 – Форма Заявки на аккредитацию</w:t>
      </w:r>
      <w:bookmarkEnd w:id="395"/>
    </w:p>
    <w:p>
      <w:pPr>
        <w:pStyle w:val="Style25"/>
        <w:rPr/>
      </w:pPr>
      <w:bookmarkStart w:id="397" w:name="_Toc186224339"/>
      <w:r>
        <w:rPr/>
        <w:t>Пояснения к форме Заявки на аккредитацию</w:t>
      </w:r>
      <w:bookmarkEnd w:id="397"/>
    </w:p>
    <w:p>
      <w:pPr>
        <w:pStyle w:val="Style26"/>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30"/>
        <w:jc w:val="center"/>
        <w:rPr/>
      </w:pPr>
      <w:r>
        <w:rPr/>
        <mc:AlternateContent>
          <mc:Choice Requires="wps">
            <w:drawing>
              <wp:anchor behindDoc="0" distT="0" distB="0" distL="635" distR="0" simplePos="0" locked="0" layoutInCell="0" allowOverlap="1" relativeHeight="6">
                <wp:simplePos x="0" y="0"/>
                <wp:positionH relativeFrom="column">
                  <wp:posOffset>635</wp:posOffset>
                </wp:positionH>
                <wp:positionV relativeFrom="paragraph">
                  <wp:posOffset>635</wp:posOffset>
                </wp:positionV>
                <wp:extent cx="635000" cy="635000"/>
                <wp:effectExtent l="635" t="0" r="0" b="0"/>
                <wp:wrapNone/>
                <wp:docPr id="10" name="_x0000_tole_rId38"/>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8"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9">
                <wp:simplePos x="0" y="0"/>
                <wp:positionH relativeFrom="column">
                  <wp:posOffset>635</wp:posOffset>
                </wp:positionH>
                <wp:positionV relativeFrom="paragraph">
                  <wp:posOffset>635</wp:posOffset>
                </wp:positionV>
                <wp:extent cx="635000" cy="635000"/>
                <wp:effectExtent l="635" t="0" r="0" b="0"/>
                <wp:wrapNone/>
                <wp:docPr id="11" name="_x0000_tole_rId36"/>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114300" distR="0" simplePos="0" locked="0" layoutInCell="0" allowOverlap="1" relativeHeight="12">
                <wp:simplePos x="0" y="0"/>
                <wp:positionH relativeFrom="column">
                  <wp:posOffset>635</wp:posOffset>
                </wp:positionH>
                <wp:positionV relativeFrom="paragraph">
                  <wp:posOffset>635</wp:posOffset>
                </wp:positionV>
                <wp:extent cx="635000" cy="635000"/>
                <wp:effectExtent l="635" t="0" r="0" b="0"/>
                <wp:wrapNone/>
                <wp:docPr id="12" name="_x0000_tole_rId36"/>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shape id="shape_0" ID="_x0000_tole_rId36" stroked="f" o:allowincell="f" style="position:absolute;margin-left:0.05pt;margin-top:0pt;width:49.95pt;height:49.95pt;mso-wrap-style:none;v-text-anchor:middle" type="_x0000_t75">
                <v:fill o:detectmouseclick="t" on="false"/>
                <v:stroke color="#3465a4" joinstyle="round" endcap="flat"/>
                <w10:wrap type="none"/>
              </v:shape>
            </w:pict>
          </mc:Fallback>
        </mc:AlternateContent>
        <w:object>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78.35pt;height:50.1pt;mso-wrap-distance-right:0pt" filled="f" o:ole="">
            <v:imagedata r:id="rId37" o:title=""/>
          </v:shape>
          <o:OLEObject Type="Embed" ProgID="Excel.Sheet.12" ShapeID="ole_rId36" DrawAspect="Icon" ObjectID="_1816584592" r:id="rId36"/>
        </w:object>
      </w:r>
    </w:p>
    <w:sectPr>
      <w:headerReference w:type="default" r:id="rId38"/>
      <w:headerReference w:type="first" r:id="rId39"/>
      <w:footerReference w:type="default" r:id="rId40"/>
      <w:footerReference w:type="first" r:id="rId41"/>
      <w:footnotePr>
        <w:numFmt w:val="decimal"/>
      </w:footnotePr>
      <w:type w:val="nextPage"/>
      <w:pgSz w:w="11906" w:h="16838"/>
      <w:pgMar w:left="1134" w:right="850" w:gutter="0" w:header="567" w:top="851" w:footer="567" w:bottom="851"/>
      <w:pgNumType w:fmt="decimal"/>
      <w:formProt w:val="false"/>
      <w:textDirection w:val="lrTb"/>
      <w:docGrid w:type="default" w:linePitch="36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righ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01973262"/>
    </w:sdtPr>
    <w:sdtContent>
      <w:p>
        <w:pPr>
          <w:pStyle w:val="Footer"/>
          <w:spacing w:before="120" w:after="0"/>
          <w:rPr/>
        </w:pPr>
        <w:r>
          <w:rPr/>
          <w:fldChar w:fldCharType="begin"/>
        </w:r>
        <w:r>
          <w:rPr/>
          <w:instrText xml:space="preserve"> PAGE </w:instrText>
        </w:r>
        <w:r>
          <w:rPr/>
          <w:fldChar w:fldCharType="separate"/>
        </w:r>
        <w:r>
          <w:rPr/>
          <w:t>59</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9088977"/>
    </w:sdtPr>
    <w:sdtContent>
      <w:p>
        <w:pPr>
          <w:pStyle w:val="Footer"/>
          <w:spacing w:before="120" w:after="0"/>
          <w:rPr/>
        </w:pPr>
        <w:r>
          <w:rPr/>
          <w:fldChar w:fldCharType="begin"/>
        </w:r>
        <w:r>
          <w:rPr/>
          <w:instrText xml:space="preserve"> PAGE </w:instrText>
        </w:r>
        <w:r>
          <w:rPr/>
          <w:fldChar w:fldCharType="separate"/>
        </w:r>
        <w:r>
          <w:rPr/>
          <w:t>65</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62945256"/>
    </w:sdtPr>
    <w:sdtContent>
      <w:p>
        <w:pPr>
          <w:pStyle w:val="Footer"/>
          <w:spacing w:before="120" w:after="0"/>
          <w:rPr/>
        </w:pPr>
        <w:r>
          <w:rPr/>
          <w:fldChar w:fldCharType="begin"/>
        </w:r>
        <w:r>
          <w:rPr/>
          <w:instrText xml:space="preserve"> PAGE </w:instrText>
        </w:r>
        <w:r>
          <w:rPr/>
          <w:fldChar w:fldCharType="separate"/>
        </w:r>
        <w:r>
          <w:rPr/>
          <w:t>72</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47413793"/>
    </w:sdtPr>
    <w:sdtContent>
      <w:p>
        <w:pPr>
          <w:pStyle w:val="Footer"/>
          <w:spacing w:before="120" w:after="0"/>
          <w:rPr/>
        </w:pPr>
        <w:r>
          <w:rPr/>
          <w:fldChar w:fldCharType="begin"/>
        </w:r>
        <w:r>
          <w:rPr/>
          <w:instrText xml:space="preserve"> PAGE </w:instrText>
        </w:r>
        <w:r>
          <w:rPr/>
          <w:fldChar w:fldCharType="separate"/>
        </w:r>
        <w:r>
          <w:rPr/>
          <w:t>80</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79665960"/>
    </w:sdtPr>
    <w:sdtContent>
      <w:p>
        <w:pPr>
          <w:pStyle w:val="Footer"/>
          <w:spacing w:before="120" w:after="0"/>
          <w:rPr/>
        </w:pPr>
        <w:r>
          <w:rPr/>
          <w:fldChar w:fldCharType="begin"/>
        </w:r>
        <w:r>
          <w:rPr/>
          <w:instrText xml:space="preserve"> PAGE </w:instrText>
        </w:r>
        <w:r>
          <w:rPr/>
          <w:fldChar w:fldCharType="separate"/>
        </w:r>
        <w:r>
          <w:rPr/>
          <w:t>13</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7443501"/>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05847228"/>
    </w:sdtPr>
    <w:sdtContent>
      <w:p>
        <w:pPr>
          <w:pStyle w:val="Footer"/>
          <w:spacing w:before="120" w:after="0"/>
          <w:rPr/>
        </w:pPr>
        <w:r>
          <w:rPr/>
          <w:fldChar w:fldCharType="begin"/>
        </w:r>
        <w:r>
          <w:rPr/>
          <w:instrText xml:space="preserve"> PAGE </w:instrText>
        </w:r>
        <w:r>
          <w:rPr/>
          <w:fldChar w:fldCharType="separate"/>
        </w:r>
        <w:r>
          <w:rPr/>
          <w:t>25</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76312805"/>
    </w:sdtPr>
    <w:sdtContent>
      <w:p>
        <w:pPr>
          <w:pStyle w:val="Footer"/>
          <w:spacing w:before="120" w:after="0"/>
          <w:rPr/>
        </w:pPr>
        <w:r>
          <w:rPr/>
          <w:fldChar w:fldCharType="begin"/>
        </w:r>
        <w:r>
          <w:rPr/>
          <w:instrText xml:space="preserve"> PAGE </w:instrText>
        </w:r>
        <w:r>
          <w:rPr/>
          <w:fldChar w:fldCharType="separate"/>
        </w:r>
        <w:r>
          <w:rPr/>
          <w:t>53</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2"/>
        <w:spacing w:before="80" w:after="0"/>
        <w:ind w:left="567" w:hanging="567"/>
        <w:jc w:val="both"/>
        <w:rPr/>
      </w:pPr>
      <w:r>
        <w:rPr>
          <w:rStyle w:val="Style13"/>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2"/>
        <w:spacing w:before="80" w:after="0"/>
        <w:ind w:left="567" w:hanging="567"/>
        <w:jc w:val="both"/>
        <w:rPr/>
      </w:pPr>
      <w:r>
        <w:rPr>
          <w:rStyle w:val="Style13"/>
        </w:rPr>
        <w:footnoteRef/>
      </w:r>
      <w:r>
        <w:rPr/>
        <w:tab/>
        <w:t>Определенные в соответствии с Законом 422-ФЗ.</w:t>
      </w:r>
    </w:p>
  </w:footnote>
  <w:footnote w:id="4">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2"/>
        <w:spacing w:before="80" w:after="0"/>
        <w:ind w:left="567" w:hanging="567"/>
        <w:jc w:val="both"/>
        <w:rPr/>
      </w:pPr>
      <w:r>
        <w:rPr>
          <w:rStyle w:val="Style13"/>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2"/>
        <w:spacing w:before="80" w:after="0"/>
        <w:ind w:left="567" w:hanging="567"/>
        <w:jc w:val="both"/>
        <w:rPr/>
      </w:pPr>
      <w:r>
        <w:rPr>
          <w:rStyle w:val="Style13"/>
        </w:rPr>
        <w:footnoteRef/>
      </w:r>
      <w:r>
        <w:rPr/>
        <w:tab/>
        <w:t>С учетом пункта </w:t>
      </w:r>
      <w:r>
        <w:rPr/>
        <w:fldChar w:fldCharType="begin"/>
      </w:r>
      <w:r>
        <w:rPr/>
        <w:instrText xml:space="preserve"> REF _Ref125365558 \w \h </w:instrText>
      </w:r>
      <w:r>
        <w:rPr/>
        <w:fldChar w:fldCharType="separate"/>
      </w:r>
      <w:r>
        <w:rPr/>
        <w:t>Ошибка: источник перекрёстной ссылки не найден</w:t>
      </w:r>
      <w:r>
        <w:rPr/>
        <w:fldChar w:fldCharType="end"/>
      </w:r>
      <w:r>
        <w:rPr/>
        <w:t>.</w:t>
      </w:r>
    </w:p>
  </w:footnote>
  <w:footnote w:id="7">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2"/>
        <w:spacing w:before="80" w:after="0"/>
        <w:ind w:left="567" w:hanging="567"/>
        <w:jc w:val="both"/>
        <w:rPr/>
      </w:pPr>
      <w:r>
        <w:rPr>
          <w:rStyle w:val="Style13"/>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2"/>
        <w:spacing w:before="80" w:after="0"/>
        <w:ind w:left="567" w:hanging="567"/>
        <w:jc w:val="both"/>
        <w:rPr/>
      </w:pPr>
      <w:r>
        <w:rPr>
          <w:rStyle w:val="Style13"/>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2"/>
        <w:spacing w:before="80" w:after="0"/>
        <w:ind w:left="567" w:hanging="567"/>
        <w:jc w:val="both"/>
        <w:rPr/>
      </w:pPr>
      <w:r>
        <w:rPr>
          <w:rStyle w:val="Style13"/>
        </w:rPr>
        <w:footnoteRef/>
      </w:r>
      <w:r>
        <w:rPr/>
        <w:tab/>
        <w:t>https://minfin.gov.ru/ru/perfomance/tax_relations/policy/bankwarranty/</w:t>
      </w:r>
    </w:p>
  </w:footnote>
  <w:footnote w:id="12">
    <w:p>
      <w:pPr>
        <w:pStyle w:val="Style32"/>
        <w:spacing w:before="80" w:after="0"/>
        <w:ind w:left="567" w:hanging="567"/>
        <w:jc w:val="both"/>
        <w:rPr/>
      </w:pPr>
      <w:r>
        <w:rPr>
          <w:rStyle w:val="Style13"/>
        </w:rPr>
        <w:footnoteRef/>
      </w:r>
      <w:r>
        <w:rPr/>
        <w:tab/>
        <w:t>Коллективный участник предоставляет указанные документы на каждого члена.</w:t>
      </w:r>
    </w:p>
  </w:footnote>
  <w:footnote w:id="13">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2"/>
        <w:spacing w:before="80" w:after="0"/>
        <w:ind w:left="567" w:hanging="567"/>
        <w:jc w:val="both"/>
        <w:rPr/>
      </w:pPr>
      <w:r>
        <w:rPr>
          <w:rStyle w:val="Style13"/>
        </w:rPr>
        <w:footnoteRef/>
      </w:r>
      <w:bookmarkStart w:id="398"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398"/>
    </w:p>
  </w:footnote>
  <w:footnote w:id="15">
    <w:p>
      <w:pPr>
        <w:pStyle w:val="Style32"/>
        <w:spacing w:before="80" w:after="0"/>
        <w:ind w:left="567" w:hanging="567"/>
        <w:jc w:val="both"/>
        <w:rPr/>
      </w:pPr>
      <w:r>
        <w:rPr>
          <w:rStyle w:val="Style13"/>
        </w:rPr>
        <w:footnoteRef/>
      </w:r>
      <w:bookmarkStart w:id="399" w:name="_Hlk139028803_Копия_1_Копия_1_Копия_1_Ко"/>
      <w:bookmarkStart w:id="400"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399"/>
      <w:bookmarkEnd w:id="400"/>
    </w:p>
  </w:footnote>
  <w:footnote w:id="16">
    <w:p>
      <w:pPr>
        <w:pStyle w:val="FootnoteText"/>
        <w:widowControl w:val="false"/>
        <w:rPr/>
      </w:pPr>
      <w:r>
        <w:rPr>
          <w:rStyle w:val="Style13"/>
        </w:rPr>
        <w:footnoteRef/>
      </w:r>
      <w:r>
        <w:rPr/>
        <w:t xml:space="preserve"> </w:t>
      </w:r>
      <w:r>
        <w:rPr/>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4"/>
      <w:numFmt w:val="decimal"/>
      <w:lvlText w:val="%1."/>
      <w:lvlJc w:val="left"/>
      <w:pPr>
        <w:tabs>
          <w:tab w:val="num" w:pos="1134"/>
        </w:tabs>
        <w:ind w:left="1134" w:hanging="1134"/>
      </w:pPr>
      <w:rPr/>
    </w:lvl>
    <w:lvl w:ilvl="1">
      <w:start w:val="1"/>
      <w:pStyle w:val="Style25"/>
      <w:numFmt w:val="decimal"/>
      <w:lvlText w:val="%1.%2"/>
      <w:lvlJc w:val="left"/>
      <w:pPr>
        <w:tabs>
          <w:tab w:val="num" w:pos="1134"/>
        </w:tabs>
        <w:ind w:left="1134" w:hanging="1134"/>
      </w:pPr>
      <w:rPr/>
    </w:lvl>
    <w:lvl w:ilvl="2">
      <w:start w:val="1"/>
      <w:pStyle w:val="Style26"/>
      <w:numFmt w:val="decimal"/>
      <w:lvlText w:val="%1.%2.%3"/>
      <w:lvlJc w:val="left"/>
      <w:pPr>
        <w:tabs>
          <w:tab w:val="num" w:pos="1134"/>
        </w:tabs>
        <w:ind w:left="1134" w:hanging="1134"/>
      </w:pPr>
      <w:rPr/>
    </w:lvl>
    <w:lvl w:ilvl="3">
      <w:start w:val="1"/>
      <w:pStyle w:val="Style27"/>
      <w:numFmt w:val="russianLower"/>
      <w:lvlText w:val="%4)"/>
      <w:lvlJc w:val="left"/>
      <w:pPr>
        <w:tabs>
          <w:tab w:val="num" w:pos="1701"/>
        </w:tabs>
        <w:ind w:left="1701" w:hanging="567"/>
      </w:pPr>
      <w:rPr/>
    </w:lvl>
    <w:lvl w:ilvl="4">
      <w:start w:val="1"/>
      <w:pStyle w:val="Style28"/>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5">
    <w:lvl w:ilvl="0">
      <w:start w:val="1"/>
      <w:numFmt w:val="upperRoman"/>
      <w:lvlText w:val="Раздел %1"/>
      <w:lvlJc w:val="left"/>
      <w:pPr>
        <w:tabs>
          <w:tab w:val="num" w:pos="0"/>
        </w:tabs>
        <w:ind w:left="1701" w:hanging="1701"/>
      </w:pPr>
      <w:rPr/>
    </w:lvl>
    <w:lvl w:ilvl="1">
      <w:start w:val="1"/>
      <w:numFmt w:val="decimal"/>
      <w:lvlText w:val="Глава %2"/>
      <w:lvlJc w:val="left"/>
      <w:pPr>
        <w:tabs>
          <w:tab w:val="num" w:pos="0"/>
        </w:tabs>
        <w:ind w:left="1701" w:hanging="1701"/>
      </w:pPr>
      <w:rPr/>
    </w:lvl>
    <w:lvl w:ilvl="2">
      <w:start w:val="1"/>
      <w:numFmt w:val="decimal"/>
      <w:lvlText w:val="%2.%3"/>
      <w:lvlJc w:val="left"/>
      <w:pPr>
        <w:tabs>
          <w:tab w:val="num" w:pos="0"/>
        </w:tabs>
        <w:ind w:left="1701" w:hanging="1701"/>
      </w:pPr>
      <w:rPr/>
    </w:lvl>
    <w:lvl w:ilvl="3">
      <w:start w:val="1"/>
      <w:numFmt w:val="decimal"/>
      <w:lvlText w:val="%2.%3.%4"/>
      <w:lvlJc w:val="left"/>
      <w:pPr>
        <w:tabs>
          <w:tab w:val="num" w:pos="0"/>
        </w:tabs>
        <w:ind w:left="1701" w:hanging="1701"/>
      </w:pPr>
      <w:rPr/>
    </w:lvl>
    <w:lvl w:ilvl="4">
      <w:start w:val="1"/>
      <w:numFmt w:val="russianLower"/>
      <w:lvlText w:val="%5)"/>
      <w:lvlJc w:val="left"/>
      <w:pPr>
        <w:tabs>
          <w:tab w:val="num" w:pos="0"/>
        </w:tabs>
        <w:ind w:left="2268" w:hanging="567"/>
      </w:pPr>
      <w:r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0"/>
        </w:tabs>
        <w:ind w:left="0" w:firstLine="1134"/>
      </w:pPr>
      <w:rPr/>
    </w:lvl>
    <w:lvl w:ilvl="7">
      <w:start w:val="1"/>
      <w:numFmt w:val="none"/>
      <w:suff w:val="nothing"/>
      <w:lvlText w:val="%8"/>
      <w:lvlJc w:val="left"/>
      <w:pPr>
        <w:tabs>
          <w:tab w:val="num" w:pos="0"/>
        </w:tabs>
        <w:ind w:left="0" w:firstLine="1701"/>
      </w:pPr>
      <w:rPr/>
    </w:lvl>
    <w:lvl w:ilvl="8">
      <w:start w:val="1"/>
      <w:numFmt w:val="none"/>
      <w:suff w:val="nothing"/>
      <w:lvlText w:val="%9"/>
      <w:lvlJc w:val="left"/>
      <w:pPr>
        <w:tabs>
          <w:tab w:val="num" w:pos="0"/>
        </w:tabs>
        <w:ind w:left="0" w:firstLine="1701"/>
      </w:pPr>
      <w:rPr/>
    </w:lvl>
  </w:abstractNum>
  <w:abstractNum w:abstractNumId="1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7">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18">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w="http://schemas.openxmlformats.org/wordprocessingml/2006/main">
  <w:zoom w:percent="130"/>
  <w:revisionView w:insDel="0" w:formatting="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qFormat/>
    <w:rsid w:val="006608d1"/>
    <w:rPr>
      <w:sz w:val="20"/>
      <w:szCs w:val="20"/>
    </w:rPr>
  </w:style>
  <w:style w:type="character" w:styleId="Style13" w:customStyle="1">
    <w:name w:val="Символ сноски"/>
    <w:qFormat/>
    <w:rsid w:val="006405ec"/>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9" w:customStyle="1">
    <w:name w:val="Абзац списка Знак"/>
    <w:link w:val="ListParagraph"/>
    <w:uiPriority w:val="34"/>
    <w:qFormat/>
    <w:rsid w:val="00c47216"/>
    <w:rPr/>
  </w:style>
  <w:style w:type="character" w:styleId="2" w:customStyle="1">
    <w:name w:val="УРОВЕНЬ_Абзац_тип2 Знак"/>
    <w:basedOn w:val="DefaultParagraphFont"/>
    <w:link w:val="21"/>
    <w:qFormat/>
    <w:rsid w:val="00862fa2"/>
    <w:rPr>
      <w:rFonts w:eastAsia="Calibri" w:cs="Times New Roman"/>
      <w:szCs w:val="28"/>
    </w:rPr>
  </w:style>
  <w:style w:type="character" w:styleId="3" w:customStyle="1">
    <w:name w:val="УРОВЕНЬ_Абзац_тип3 Знак"/>
    <w:basedOn w:val="DefaultParagraphFont"/>
    <w:link w:val="31"/>
    <w:qFormat/>
    <w:rsid w:val="00862fa2"/>
    <w:rPr>
      <w:rFonts w:eastAsia="Calibri" w:cs="Times New Roman"/>
      <w:szCs w:val="28"/>
    </w:rPr>
  </w:style>
  <w:style w:type="character" w:styleId="-" w:customStyle="1">
    <w:name w:val="УРОВЕНЬ_- Знак"/>
    <w:link w:val="-1"/>
    <w:qFormat/>
    <w:locked/>
    <w:rsid w:val="0029648b"/>
    <w:rPr>
      <w:rFonts w:eastAsia="Calibri" w:cs="Times New Roman"/>
      <w:szCs w:val="28"/>
    </w:rPr>
  </w:style>
  <w:style w:type="character" w:styleId="Style20" w:customStyle="1">
    <w:name w:val="Ссылка указателя"/>
    <w:qFormat/>
    <w:rPr/>
  </w:style>
  <w:style w:type="character" w:styleId="Style21" w:customStyle="1">
    <w:name w:val="Символ концевой сноски"/>
    <w:qFormat/>
    <w:rPr>
      <w:vertAlign w:val="superscript"/>
    </w:rPr>
  </w:style>
  <w:style w:type="character" w:styleId="EndnoteReference">
    <w:name w:val="Endnote Reference"/>
    <w:rPr>
      <w:vertAlign w:val="superscript"/>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Caption11111" w:customStyle="1">
    <w:name w:val="caption11111"/>
    <w:basedOn w:val="Normal"/>
    <w:qFormat/>
    <w:pPr>
      <w:suppressLineNumbers/>
      <w:spacing w:before="120" w:after="120"/>
    </w:pPr>
    <w:rPr>
      <w:i/>
      <w:iCs/>
      <w:sz w:val="24"/>
      <w:szCs w:val="24"/>
    </w:rPr>
  </w:style>
  <w:style w:type="paragraph" w:styleId="Style24" w:customStyle="1">
    <w:name w:val="[РГ] Раздел"/>
    <w:basedOn w:val="Normal"/>
    <w:next w:val="Style25"/>
    <w:qFormat/>
    <w:rsid w:val="00c95e18"/>
    <w:pPr>
      <w:keepNext w:val="true"/>
      <w:pageBreakBefore/>
      <w:numPr>
        <w:ilvl w:val="0"/>
        <w:numId w:val="1"/>
      </w:numPr>
      <w:spacing w:before="0" w:after="360"/>
      <w:jc w:val="both"/>
      <w:outlineLvl w:val="0"/>
    </w:pPr>
    <w:rPr>
      <w:b/>
      <w:bCs/>
      <w:caps/>
    </w:rPr>
  </w:style>
  <w:style w:type="paragraph" w:styleId="Style25" w:customStyle="1">
    <w:name w:val="[РГ] Подраздел"/>
    <w:basedOn w:val="Normal"/>
    <w:next w:val="Style26"/>
    <w:qFormat/>
    <w:rsid w:val="00891546"/>
    <w:pPr>
      <w:keepNext w:val="true"/>
      <w:numPr>
        <w:ilvl w:val="1"/>
        <w:numId w:val="1"/>
      </w:numPr>
      <w:spacing w:before="360" w:after="0"/>
      <w:jc w:val="both"/>
      <w:outlineLvl w:val="1"/>
    </w:pPr>
    <w:rPr>
      <w:b/>
      <w:bCs/>
    </w:rPr>
  </w:style>
  <w:style w:type="paragraph" w:styleId="Style26" w:customStyle="1">
    <w:name w:val="[РГ] Пункт"/>
    <w:basedOn w:val="Normal"/>
    <w:qFormat/>
    <w:rsid w:val="00891546"/>
    <w:pPr>
      <w:numPr>
        <w:ilvl w:val="2"/>
        <w:numId w:val="1"/>
      </w:numPr>
      <w:jc w:val="both"/>
      <w:outlineLvl w:val="2"/>
    </w:pPr>
    <w:rPr/>
  </w:style>
  <w:style w:type="paragraph" w:styleId="Style27" w:customStyle="1">
    <w:name w:val="[РГ] Подпункт"/>
    <w:basedOn w:val="Normal"/>
    <w:qFormat/>
    <w:rsid w:val="00891546"/>
    <w:pPr>
      <w:numPr>
        <w:ilvl w:val="3"/>
        <w:numId w:val="1"/>
      </w:numPr>
      <w:jc w:val="both"/>
      <w:outlineLvl w:val="3"/>
    </w:pPr>
    <w:rPr/>
  </w:style>
  <w:style w:type="paragraph" w:styleId="Style28" w:customStyle="1">
    <w:name w:val="[РГ] Перечисление"/>
    <w:basedOn w:val="Normal"/>
    <w:qFormat/>
    <w:rsid w:val="00891546"/>
    <w:pPr>
      <w:numPr>
        <w:ilvl w:val="4"/>
        <w:numId w:val="1"/>
      </w:numPr>
      <w:jc w:val="both"/>
      <w:outlineLvl w:val="4"/>
    </w:pPr>
    <w:rPr/>
  </w:style>
  <w:style w:type="paragraph" w:styleId="Style29" w:customStyle="1">
    <w:name w:val="[РГ] Заголовок"/>
    <w:basedOn w:val="Normal"/>
    <w:next w:val="Style30"/>
    <w:qFormat/>
    <w:rsid w:val="00f87384"/>
    <w:pPr>
      <w:keepNext w:val="true"/>
      <w:pageBreakBefore/>
      <w:spacing w:before="0" w:after="360"/>
      <w:jc w:val="both"/>
    </w:pPr>
    <w:rPr>
      <w:b/>
      <w:bCs/>
      <w:caps/>
    </w:rPr>
  </w:style>
  <w:style w:type="paragraph" w:styleId="Style30" w:customStyle="1">
    <w:name w:val="[РГ] Текст"/>
    <w:basedOn w:val="Normal"/>
    <w:qFormat/>
    <w:rsid w:val="00891546"/>
    <w:pPr>
      <w:jc w:val="both"/>
    </w:pPr>
    <w:rPr/>
  </w:style>
  <w:style w:type="paragraph" w:styleId="Style31" w:customStyle="1">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unhideWhenUsed/>
    <w:rsid w:val="006608d1"/>
    <w:pPr>
      <w:spacing w:before="0" w:after="0"/>
    </w:pPr>
    <w:rPr>
      <w:sz w:val="20"/>
      <w:szCs w:val="20"/>
    </w:rPr>
  </w:style>
  <w:style w:type="paragraph" w:styleId="Style32"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3" w:customStyle="1">
    <w:name w:val="[РГ] Альтернатива / Дополнение"/>
    <w:basedOn w:val="Style30"/>
    <w:next w:val="Style30"/>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link w:val="Style19"/>
    <w:uiPriority w:val="34"/>
    <w:qFormat/>
    <w:rsid w:val="00bb1e37"/>
    <w:pPr>
      <w:spacing w:before="120" w:after="0"/>
      <w:ind w:left="720" w:hanging="0"/>
      <w:contextualSpacing/>
    </w:pPr>
    <w:rPr/>
  </w:style>
  <w:style w:type="paragraph" w:styleId="BalloonText">
    <w:name w:val="Balloon Text"/>
    <w:basedOn w:val="Normal"/>
    <w:link w:val="Style18"/>
    <w:uiPriority w:val="99"/>
    <w:semiHidden/>
    <w:unhideWhenUsed/>
    <w:qFormat/>
    <w:rsid w:val="0079507d"/>
    <w:pPr>
      <w:spacing w:before="0" w:after="0"/>
    </w:pPr>
    <w:rPr>
      <w:rFonts w:ascii="Segoe UI" w:hAnsi="Segoe UI" w:cs="Segoe UI"/>
      <w:sz w:val="18"/>
      <w:szCs w:val="18"/>
    </w:rPr>
  </w:style>
  <w:style w:type="paragraph" w:styleId="Style34" w:customStyle="1">
    <w:name w:val="УРОВЕНЬ_(а)"/>
    <w:basedOn w:val="ListParagraph"/>
    <w:qFormat/>
    <w:rsid w:val="00862fa2"/>
    <w:pPr>
      <w:numPr>
        <w:ilvl w:val="3"/>
        <w:numId w:val="14"/>
      </w:numPr>
      <w:tabs>
        <w:tab w:val="clear" w:pos="708"/>
        <w:tab w:val="left" w:pos="360" w:leader="none"/>
      </w:tabs>
      <w:spacing w:lineRule="exact" w:line="360" w:before="120" w:after="0"/>
      <w:ind w:left="2880" w:hanging="360"/>
      <w:contextualSpacing w:val="false"/>
      <w:jc w:val="both"/>
      <w:outlineLvl w:val="3"/>
    </w:pPr>
    <w:rPr>
      <w:rFonts w:eastAsia="Calibri" w:cs="Times New Roman"/>
      <w:szCs w:val="28"/>
    </w:rPr>
  </w:style>
  <w:style w:type="paragraph" w:styleId="-1" w:customStyle="1">
    <w:name w:val="УРОВЕНЬ_-"/>
    <w:basedOn w:val="ListParagraph"/>
    <w:link w:val="-"/>
    <w:qFormat/>
    <w:rsid w:val="00862fa2"/>
    <w:pPr>
      <w:numPr>
        <w:ilvl w:val="4"/>
        <w:numId w:val="14"/>
      </w:numPr>
      <w:tabs>
        <w:tab w:val="clear" w:pos="708"/>
        <w:tab w:val="left" w:pos="360" w:leader="none"/>
      </w:tabs>
      <w:spacing w:lineRule="exact" w:line="360" w:before="120" w:after="0"/>
      <w:ind w:left="3600" w:hanging="360"/>
      <w:contextualSpacing w:val="false"/>
      <w:jc w:val="both"/>
      <w:outlineLvl w:val="4"/>
    </w:pPr>
    <w:rPr>
      <w:rFonts w:eastAsia="Calibri" w:cs="Times New Roman"/>
      <w:szCs w:val="28"/>
    </w:rPr>
  </w:style>
  <w:style w:type="paragraph" w:styleId="21" w:customStyle="1">
    <w:name w:val="УРОВЕНЬ_Абзац_тип2"/>
    <w:basedOn w:val="ListParagraph"/>
    <w:link w:val="2"/>
    <w:qFormat/>
    <w:rsid w:val="00862fa2"/>
    <w:pPr>
      <w:numPr>
        <w:ilvl w:val="6"/>
        <w:numId w:val="14"/>
      </w:numPr>
      <w:spacing w:lineRule="exact" w:line="360" w:before="120" w:after="0"/>
      <w:ind w:left="5040" w:hanging="360"/>
      <w:contextualSpacing w:val="false"/>
      <w:jc w:val="both"/>
    </w:pPr>
    <w:rPr>
      <w:rFonts w:eastAsia="Calibri" w:cs="Times New Roman"/>
      <w:szCs w:val="28"/>
    </w:rPr>
  </w:style>
  <w:style w:type="paragraph" w:styleId="31" w:customStyle="1">
    <w:name w:val="УРОВЕНЬ_Абзац_тип3"/>
    <w:basedOn w:val="ListParagraph"/>
    <w:link w:val="3"/>
    <w:qFormat/>
    <w:rsid w:val="00862fa2"/>
    <w:pPr>
      <w:numPr>
        <w:ilvl w:val="7"/>
        <w:numId w:val="14"/>
      </w:numPr>
      <w:spacing w:lineRule="exact" w:line="360" w:before="120" w:after="0"/>
      <w:ind w:left="5760" w:hanging="360"/>
      <w:contextualSpacing w:val="false"/>
      <w:jc w:val="both"/>
    </w:pPr>
    <w:rPr>
      <w:rFonts w:eastAsia="Calibri" w:cs="Times New Roman"/>
      <w:szCs w:val="28"/>
    </w:rPr>
  </w:style>
  <w:style w:type="paragraph" w:styleId="Style35" w:customStyle="1">
    <w:name w:val="УРОВЕНЬ_Подпись"/>
    <w:basedOn w:val="ListParagraph"/>
    <w:qFormat/>
    <w:rsid w:val="00862fa2"/>
    <w:pPr>
      <w:keepNext w:val="true"/>
      <w:numPr>
        <w:ilvl w:val="5"/>
        <w:numId w:val="14"/>
      </w:numPr>
      <w:tabs>
        <w:tab w:val="clear" w:pos="708"/>
        <w:tab w:val="left" w:pos="360" w:leader="none"/>
      </w:tabs>
      <w:spacing w:lineRule="exact" w:line="360" w:before="120" w:after="120"/>
      <w:ind w:left="4320" w:hanging="360"/>
      <w:contextualSpacing w:val="false"/>
      <w:jc w:val="right"/>
      <w:outlineLvl w:val="3"/>
    </w:pPr>
    <w:rPr>
      <w:rFonts w:eastAsia="Calibri" w:cs="Times New Roman"/>
      <w:szCs w:val="28"/>
    </w:rPr>
  </w:style>
  <w:style w:type="paragraph" w:styleId="Style36" w:customStyle="1">
    <w:name w:val="[РусГидро] Раздел"/>
    <w:basedOn w:val="ListParagraph"/>
    <w:next w:val="Style37"/>
    <w:qFormat/>
    <w:rsid w:val="0029648b"/>
    <w:pPr>
      <w:keepNext w:val="true"/>
      <w:keepLines/>
      <w:pageBreakBefore/>
      <w:numPr>
        <w:ilvl w:val="0"/>
        <w:numId w:val="15"/>
      </w:numPr>
      <w:tabs>
        <w:tab w:val="clear" w:pos="708"/>
        <w:tab w:val="left" w:pos="360" w:leader="none"/>
      </w:tabs>
      <w:spacing w:before="0" w:after="0"/>
      <w:ind w:left="720" w:hanging="0"/>
      <w:contextualSpacing w:val="false"/>
      <w:jc w:val="both"/>
      <w:outlineLvl w:val="0"/>
    </w:pPr>
    <w:rPr>
      <w:rFonts w:cs="Times New Roman"/>
      <w:b/>
      <w:bCs/>
      <w:caps/>
      <w:szCs w:val="26"/>
    </w:rPr>
  </w:style>
  <w:style w:type="paragraph" w:styleId="Style37" w:customStyle="1">
    <w:name w:val="[РусГидро] Глава"/>
    <w:basedOn w:val="ListParagraph"/>
    <w:next w:val="Style38"/>
    <w:qFormat/>
    <w:rsid w:val="0029648b"/>
    <w:pPr>
      <w:keepNext w:val="true"/>
      <w:keepLines/>
      <w:numPr>
        <w:ilvl w:val="1"/>
        <w:numId w:val="15"/>
      </w:numPr>
      <w:tabs>
        <w:tab w:val="clear" w:pos="708"/>
        <w:tab w:val="left" w:pos="360" w:leader="none"/>
      </w:tabs>
      <w:spacing w:before="360" w:after="240"/>
      <w:ind w:left="720" w:hanging="0"/>
      <w:contextualSpacing w:val="false"/>
      <w:jc w:val="both"/>
      <w:outlineLvl w:val="1"/>
    </w:pPr>
    <w:rPr>
      <w:rFonts w:cs="Times New Roman"/>
      <w:b/>
      <w:bCs/>
      <w:caps/>
      <w:szCs w:val="26"/>
    </w:rPr>
  </w:style>
  <w:style w:type="paragraph" w:styleId="Style38" w:customStyle="1">
    <w:name w:val="[РусГидро] Пункт"/>
    <w:basedOn w:val="ListParagraph"/>
    <w:qFormat/>
    <w:rsid w:val="0029648b"/>
    <w:pPr>
      <w:numPr>
        <w:ilvl w:val="2"/>
        <w:numId w:val="15"/>
      </w:numPr>
      <w:tabs>
        <w:tab w:val="clear" w:pos="708"/>
        <w:tab w:val="left" w:pos="360" w:leader="none"/>
      </w:tabs>
      <w:spacing w:before="120" w:after="0"/>
      <w:ind w:left="720" w:hanging="0"/>
      <w:contextualSpacing w:val="false"/>
      <w:jc w:val="both"/>
      <w:outlineLvl w:val="2"/>
    </w:pPr>
    <w:rPr>
      <w:rFonts w:cs="Times New Roman"/>
      <w:szCs w:val="26"/>
    </w:rPr>
  </w:style>
  <w:style w:type="paragraph" w:styleId="Style39" w:customStyle="1">
    <w:name w:val="[РусГидро] Подпункт"/>
    <w:basedOn w:val="ListParagraph"/>
    <w:qFormat/>
    <w:rsid w:val="0029648b"/>
    <w:pPr>
      <w:numPr>
        <w:ilvl w:val="3"/>
        <w:numId w:val="15"/>
      </w:numPr>
      <w:tabs>
        <w:tab w:val="clear" w:pos="708"/>
        <w:tab w:val="left" w:pos="360" w:leader="none"/>
      </w:tabs>
      <w:spacing w:before="120" w:after="0"/>
      <w:ind w:left="720" w:hanging="0"/>
      <w:contextualSpacing w:val="false"/>
      <w:jc w:val="both"/>
      <w:outlineLvl w:val="3"/>
    </w:pPr>
    <w:rPr>
      <w:rFonts w:cs="Times New Roman"/>
      <w:szCs w:val="26"/>
    </w:rPr>
  </w:style>
  <w:style w:type="paragraph" w:styleId="Style40" w:customStyle="1">
    <w:name w:val="[РусГидро] Перечисление"/>
    <w:basedOn w:val="ListParagraph"/>
    <w:qFormat/>
    <w:rsid w:val="0029648b"/>
    <w:pPr>
      <w:numPr>
        <w:ilvl w:val="4"/>
        <w:numId w:val="15"/>
      </w:numPr>
      <w:tabs>
        <w:tab w:val="clear" w:pos="708"/>
        <w:tab w:val="left" w:pos="360" w:leader="none"/>
      </w:tabs>
      <w:spacing w:before="120" w:after="0"/>
      <w:ind w:left="720" w:hanging="0"/>
      <w:contextualSpacing w:val="false"/>
      <w:jc w:val="both"/>
      <w:outlineLvl w:val="4"/>
    </w:pPr>
    <w:rPr>
      <w:rFonts w:cs="Times New Roman"/>
      <w:szCs w:val="26"/>
    </w:rPr>
  </w:style>
  <w:style w:type="paragraph" w:styleId="Style41" w:customStyle="1">
    <w:name w:val="[РусГидро] Буллиты"/>
    <w:basedOn w:val="ListParagraph"/>
    <w:qFormat/>
    <w:rsid w:val="0029648b"/>
    <w:pPr>
      <w:numPr>
        <w:ilvl w:val="5"/>
        <w:numId w:val="15"/>
      </w:numPr>
      <w:tabs>
        <w:tab w:val="clear" w:pos="708"/>
        <w:tab w:val="left" w:pos="360" w:leader="none"/>
      </w:tabs>
      <w:spacing w:before="120" w:after="0"/>
      <w:ind w:left="720" w:hanging="0"/>
      <w:contextualSpacing w:val="false"/>
      <w:jc w:val="both"/>
      <w:outlineLvl w:val="5"/>
    </w:pPr>
    <w:rPr>
      <w:rFonts w:cs="Times New Roman"/>
      <w:szCs w:val="26"/>
    </w:rPr>
  </w:style>
  <w:style w:type="paragraph" w:styleId="Style42" w:customStyle="1">
    <w:name w:val="[РусГидро] Текст"/>
    <w:basedOn w:val="ListParagraph"/>
    <w:qFormat/>
    <w:rsid w:val="0029648b"/>
    <w:pPr>
      <w:numPr>
        <w:ilvl w:val="6"/>
        <w:numId w:val="15"/>
      </w:numPr>
      <w:tabs>
        <w:tab w:val="clear" w:pos="708"/>
        <w:tab w:val="left" w:pos="360" w:leader="none"/>
        <w:tab w:val="left" w:pos="1701" w:leader="none"/>
      </w:tabs>
      <w:spacing w:before="120" w:after="0"/>
      <w:ind w:left="720" w:hanging="0"/>
      <w:contextualSpacing w:val="false"/>
      <w:jc w:val="both"/>
      <w:outlineLvl w:val="6"/>
    </w:pPr>
    <w:rPr>
      <w:rFonts w:cs="Times New Roman"/>
      <w:szCs w:val="26"/>
    </w:rPr>
  </w:style>
  <w:style w:type="paragraph" w:styleId="Style43" w:customStyle="1">
    <w:name w:val="Содержимое таблицы"/>
    <w:basedOn w:val="Normal"/>
    <w:qFormat/>
    <w:pPr>
      <w:widowControl w:val="false"/>
      <w:suppressLineNumbers/>
    </w:pPr>
    <w:rPr/>
  </w:style>
  <w:style w:type="paragraph" w:styleId="Style44" w:customStyle="1">
    <w:name w:val="Заголовок таблицы"/>
    <w:basedOn w:val="Style43"/>
    <w:qFormat/>
    <w:pPr>
      <w:jc w:val="center"/>
    </w:pPr>
    <w:rPr>
      <w:b/>
      <w:bCs/>
    </w:rPr>
  </w:style>
  <w:style w:type="numbering" w:styleId="NoList" w:default="1">
    <w:name w:val="No List"/>
    <w:uiPriority w:val="99"/>
    <w:semiHidden/>
    <w:unhideWhenUsed/>
    <w:qFormat/>
  </w:style>
  <w:style w:type="table" w:default="1" w:styleId="af">
    <w:name w:val="Normal Table"/>
    <w:uiPriority w:val="99"/>
    <w:semiHidden/>
    <w:unhideWhenUsed/>
    <w:tblPr>
      <w:tblCellMar>
        <w:top w:w="0" w:type="dxa"/>
        <w:left w:w="108" w:type="dxa"/>
        <w:bottom w:w="0" w:type="dxa"/>
        <w:right w:w="108" w:type="dxa"/>
      </w:tblCellMar>
    </w:tblPr>
  </w:style>
  <w:style w:type="table" w:customStyle="1" w:styleId="afff8">
    <w:name w:val="[РГ] Таблица"/>
    <w:basedOn w:val="af"/>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ff9">
    <w:name w:val="Table Grid"/>
    <w:basedOn w:val="af"/>
    <w:uiPriority w:val="39"/>
    <w:rsid w:val="0061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РГ] Таблица1"/>
    <w:basedOn w:val="af"/>
    <w:uiPriority w:val="99"/>
    <w:rsid w:val="006405ec"/>
    <w:pPr>
      <w:spacing w:before="60" w:after="60"/>
    </w:p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57" w:type="dxa"/>
        <w:right w:w="57" w:type="dxa"/>
      </w:tblCellMar>
    </w:tblPr>
    <w:tblStylePr w:type="firstRow">
      <w:pPr>
        <w:wordWrap/>
        <w:jc w:val="center"/>
      </w:pPr>
      <w:rPr>
        <w:b/>
      </w:rPr>
      <w:tblPr/>
    </w:tblStylePr>
  </w:style>
  <w:style w:type="table" w:customStyle="1" w:styleId="11">
    <w:name w:val="[РГ] Таблица11"/>
    <w:basedOn w:val="af"/>
    <w:uiPriority w:val="99"/>
    <w:rsid w:val="005e0848"/>
    <w:pPr>
      <w:spacing w:before="60" w:after="60"/>
    </w:pPr>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57" w:type="dxa"/>
        <w:right w:w="57" w:type="dxa"/>
      </w:tblCellMar>
    </w:tblPr>
    <w:tblStylePr w:type="firstRow">
      <w:pPr>
        <w:wordWrap/>
        <w:jc w:val="center"/>
      </w:pPr>
      <w:rPr>
        <w:b/>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package" Target="embeddings/oleObject1.docx"/><Relationship Id="rId11" Type="http://schemas.openxmlformats.org/officeDocument/2006/relationships/image" Target="media/image1.wmf"/><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package" Target="embeddings/oleObject2.docx"/><Relationship Id="rId21" Type="http://schemas.openxmlformats.org/officeDocument/2006/relationships/image" Target="media/image2.wmf"/><Relationship Id="rId22" Type="http://schemas.openxmlformats.org/officeDocument/2006/relationships/header" Target="header8.xml"/><Relationship Id="rId23" Type="http://schemas.openxmlformats.org/officeDocument/2006/relationships/header" Target="header9.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image" Target="media/image3.png"/><Relationship Id="rId31" Type="http://schemas.openxmlformats.org/officeDocument/2006/relationships/hyperlink" Target="https://bo.nalog.ru/" TargetMode="External"/><Relationship Id="rId32" Type="http://schemas.openxmlformats.org/officeDocument/2006/relationships/header" Target="header12.xml"/><Relationship Id="rId33" Type="http://schemas.openxmlformats.org/officeDocument/2006/relationships/header" Target="header13.xml"/><Relationship Id="rId34" Type="http://schemas.openxmlformats.org/officeDocument/2006/relationships/footer" Target="footer14.xml"/><Relationship Id="rId35" Type="http://schemas.openxmlformats.org/officeDocument/2006/relationships/footer" Target="footer15.xml"/><Relationship Id="rId36" Type="http://schemas.openxmlformats.org/officeDocument/2006/relationships/package" Target="embeddings/oleObject3.xlsx"/><Relationship Id="rId37" Type="http://schemas.openxmlformats.org/officeDocument/2006/relationships/image" Target="media/image4.wmf"/><Relationship Id="rId38" Type="http://schemas.openxmlformats.org/officeDocument/2006/relationships/header" Target="header14.xml"/><Relationship Id="rId39" Type="http://schemas.openxmlformats.org/officeDocument/2006/relationships/header" Target="header15.xml"/><Relationship Id="rId40" Type="http://schemas.openxmlformats.org/officeDocument/2006/relationships/footer" Target="footer16.xml"/><Relationship Id="rId41" Type="http://schemas.openxmlformats.org/officeDocument/2006/relationships/footer" Target="footer17.xml"/><Relationship Id="rId42" Type="http://schemas.openxmlformats.org/officeDocument/2006/relationships/footnotes" Target="footnotes.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A4B2E-3CD7-4E59-BA46-7C9B80FE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Application>AlterOffice/3.4.0.9$Linux_X86_64 LibreOffice_project/b8daf9e823b1a5463a2f48435ddc2e8696e7d4fc</Application>
  <AppVersion>15.0000</AppVersion>
  <Pages>81</Pages>
  <Words>19455</Words>
  <Characters>136012</Characters>
  <CharactersWithSpaces>153474</CharactersWithSpaces>
  <Paragraphs>1157</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makarovyk@corp.gidroogk.com</cp:lastModifiedBy>
  <cp:lastPrinted>2026-03-04T04:48:00Z</cp:lastPrinted>
  <dcterms:modified xsi:type="dcterms:W3CDTF">2026-06-23T16:25:34Z</dcterms:modified>
  <cp:revision>236</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