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jc w:val="righ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bCs/>
          <w:szCs w:val="28"/>
        </w:rPr>
      </w:pPr>
      <w:r>
        <w:rPr>
          <w:rFonts w:eastAsia="Calibri"/>
          <w:bCs/>
          <w:szCs w:val="28"/>
          <w:lang w:eastAsia="en-US"/>
        </w:rPr>
        <w:t>Технические требования на оказание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ОКПД 2: 52.22.19.190  Услуги по спуску на воду и подъему с воды водного транспорта  Камского транспортного участка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Приволжского филиала АО «ТК РусГидро»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spacing w:lineRule="auto" w:line="360"/>
        <w:rPr/>
      </w:pPr>
      <w:r>
        <w:rPr>
          <w:rFonts w:eastAsia="Calibri"/>
          <w:bCs/>
          <w:szCs w:val="28"/>
          <w:lang w:eastAsia="en-US"/>
        </w:rPr>
        <w:t>Лот №5083-ЭКСП-ПРОД-2027-ТК ПриволФ</w:t>
      </w:r>
      <w:bookmarkStart w:id="0" w:name="_GoBack"/>
      <w:bookmarkEnd w:id="0"/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0"/>
        </w:numPr>
        <w:spacing w:lineRule="auto" w:line="360"/>
        <w:ind w:left="0" w:hanging="0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Cs/>
          <w:i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1"/>
          <w:numId w:val="3"/>
        </w:numPr>
        <w:ind w:left="675" w:hanging="363"/>
        <w:rPr>
          <w:sz w:val="24"/>
          <w:szCs w:val="24"/>
        </w:rPr>
      </w:pPr>
      <w:r>
        <w:rPr>
          <w:sz w:val="24"/>
          <w:szCs w:val="24"/>
        </w:rPr>
        <w:t>Обозначения и сокращения                                                                                                3</w:t>
      </w:r>
    </w:p>
    <w:p>
      <w:pPr>
        <w:pStyle w:val="Normal"/>
        <w:numPr>
          <w:ilvl w:val="1"/>
          <w:numId w:val="3"/>
        </w:numPr>
        <w:ind w:left="675" w:hanging="363"/>
        <w:rPr>
          <w:sz w:val="24"/>
          <w:szCs w:val="24"/>
        </w:rPr>
      </w:pPr>
      <w:r>
        <w:rPr>
          <w:sz w:val="24"/>
          <w:szCs w:val="24"/>
        </w:rPr>
        <w:t>Наименование закупаемой продукции                                                                              3</w:t>
      </w:r>
    </w:p>
    <w:p>
      <w:pPr>
        <w:pStyle w:val="Normal"/>
        <w:numPr>
          <w:ilvl w:val="1"/>
          <w:numId w:val="3"/>
        </w:numPr>
        <w:ind w:left="675" w:hanging="363"/>
        <w:rPr>
          <w:sz w:val="24"/>
          <w:szCs w:val="24"/>
        </w:rPr>
      </w:pPr>
      <w:r>
        <w:rPr>
          <w:sz w:val="24"/>
          <w:szCs w:val="24"/>
        </w:rPr>
        <w:t>Цели оказания услуг                                                                                                            3</w:t>
      </w:r>
    </w:p>
    <w:p>
      <w:pPr>
        <w:pStyle w:val="Normal"/>
        <w:numPr>
          <w:ilvl w:val="1"/>
          <w:numId w:val="3"/>
        </w:numPr>
        <w:ind w:left="675" w:hanging="363"/>
        <w:rPr>
          <w:b/>
          <w:bCs/>
          <w:i/>
          <w:i/>
          <w:iCs/>
          <w:sz w:val="24"/>
          <w:szCs w:val="24"/>
        </w:rPr>
      </w:pPr>
      <w:r>
        <w:rPr>
          <w:sz w:val="24"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                                                                      3</w:t>
      </w:r>
    </w:p>
    <w:p>
      <w:pPr>
        <w:pStyle w:val="Normal"/>
        <w:numPr>
          <w:ilvl w:val="0"/>
          <w:numId w:val="0"/>
        </w:numPr>
        <w:ind w:left="786" w:hanging="360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Таблица 1. Перечень объектов заказчика</w:t>
      </w:r>
      <w:r>
        <w:rPr>
          <w:b/>
          <w:bCs/>
          <w:sz w:val="24"/>
          <w:szCs w:val="24"/>
        </w:rPr>
        <w:t xml:space="preserve"> …………………………………………….….3</w:t>
      </w:r>
    </w:p>
    <w:p>
      <w:pPr>
        <w:pStyle w:val="Normal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…………………………………………………………………..3</w:t>
      </w:r>
    </w:p>
    <w:p>
      <w:pPr>
        <w:pStyle w:val="Normal"/>
        <w:ind w:left="426" w:hanging="0"/>
        <w:rPr>
          <w:bCs/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3</w:t>
      </w:r>
    </w:p>
    <w:p>
      <w:pPr>
        <w:pStyle w:val="Normal"/>
        <w:ind w:left="426" w:hanging="0"/>
        <w:rPr>
          <w:b/>
          <w:i/>
          <w:i/>
          <w:iCs/>
          <w:sz w:val="24"/>
          <w:szCs w:val="24"/>
        </w:rPr>
      </w:pPr>
      <w:r>
        <w:rPr>
          <w:bCs/>
          <w:sz w:val="24"/>
          <w:szCs w:val="24"/>
        </w:rPr>
        <w:t>2.1.1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3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Таблица 2. Перечень и объем оказываемых услуг</w:t>
      </w:r>
      <w:r>
        <w:rPr>
          <w:b/>
          <w:sz w:val="24"/>
          <w:szCs w:val="24"/>
        </w:rPr>
        <w:t xml:space="preserve"> ………………………………………..4</w:t>
      </w:r>
    </w:p>
    <w:p>
      <w:pPr>
        <w:pStyle w:val="Normal"/>
        <w:ind w:left="426" w:hanging="0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2.1.2 Требования к срокам оказания услуг                                                                             4</w:t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>Таблица 3. Требования к срокам оказания услуг………………………………………</w:t>
      </w:r>
      <w:r>
        <w:rPr>
          <w:rFonts w:ascii="Times New Roman" w:hAnsi="Times New Roman"/>
          <w:sz w:val="24"/>
          <w:szCs w:val="24"/>
        </w:rPr>
        <w:t>.….4</w:t>
      </w:r>
    </w:p>
    <w:p>
      <w:pPr>
        <w:pStyle w:val="Heading4"/>
        <w:numPr>
          <w:ilvl w:val="3"/>
          <w:numId w:val="2"/>
        </w:numPr>
        <w:spacing w:before="0" w:after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2.2. Требования к качеству услуг                                                                                             4</w:t>
      </w:r>
    </w:p>
    <w:p>
      <w:pPr>
        <w:pStyle w:val="Heading4"/>
        <w:numPr>
          <w:ilvl w:val="3"/>
          <w:numId w:val="2"/>
        </w:numPr>
        <w:spacing w:before="0" w:after="0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 xml:space="preserve">Таблица 4. Требования к качеству услуг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4</w:t>
      </w:r>
    </w:p>
    <w:p>
      <w:pPr>
        <w:pStyle w:val="Normal"/>
        <w:numPr>
          <w:ilvl w:val="0"/>
          <w:numId w:val="3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………………..6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документации по ценообразованию на этапе заключения (исполнения)</w:t>
      </w:r>
    </w:p>
    <w:p>
      <w:pPr>
        <w:pStyle w:val="Normal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b/>
          <w:sz w:val="24"/>
          <w:szCs w:val="24"/>
        </w:rPr>
        <w:t>.6</w:t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b w:val="false"/>
          <w:sz w:val="26"/>
          <w:szCs w:val="26"/>
        </w:rPr>
      </w:pPr>
      <w:r>
        <w:rPr>
          <w:rFonts w:eastAsia="Calibri"/>
          <w:b w:val="false"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4"/>
        </w:numPr>
        <w:spacing w:before="120" w:after="6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432"/>
        <w:outlineLvl w:val="3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sz w:val="24"/>
          <w:szCs w:val="24"/>
        </w:rPr>
        <w:t>1.1 Обозначения и сокращения</w:t>
      </w:r>
    </w:p>
    <w:p>
      <w:pPr>
        <w:pStyle w:val="Normal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tbl>
      <w:tblPr>
        <w:tblW w:w="97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05"/>
        <w:gridCol w:w="7490"/>
      </w:tblGrid>
      <w:tr>
        <w:trPr>
          <w:trHeight w:val="330" w:hRule="atLeast"/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trHeight w:val="445" w:hRule="atLeast"/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pacing w:val="-2"/>
                <w:sz w:val="24"/>
                <w:szCs w:val="28"/>
              </w:rPr>
            </w:pPr>
            <w:r>
              <w:rPr>
                <w:bCs/>
                <w:spacing w:val="-2"/>
                <w:sz w:val="24"/>
                <w:szCs w:val="28"/>
              </w:rPr>
              <w:t>Транспортное средство</w:t>
            </w:r>
          </w:p>
        </w:tc>
      </w:tr>
    </w:tbl>
    <w:p>
      <w:pPr>
        <w:pStyle w:val="Normal"/>
        <w:numPr>
          <w:ilvl w:val="1"/>
          <w:numId w:val="6"/>
        </w:numPr>
        <w:ind w:left="426" w:hanging="426"/>
        <w:jc w:val="both"/>
        <w:rPr>
          <w:spacing w:val="-2"/>
          <w:sz w:val="24"/>
          <w:szCs w:val="28"/>
        </w:rPr>
      </w:pPr>
      <w:r>
        <w:rPr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pacing w:val="-2"/>
          <w:sz w:val="24"/>
          <w:szCs w:val="28"/>
        </w:rPr>
      </w:pPr>
      <w:r>
        <w:rPr>
          <w:spacing w:val="-2"/>
          <w:sz w:val="24"/>
          <w:szCs w:val="28"/>
        </w:rPr>
        <w:t>ОКПД 2: 52.22.19.190</w:t>
      </w:r>
      <w:r>
        <w:rPr>
          <w:b/>
          <w:spacing w:val="-2"/>
          <w:sz w:val="24"/>
          <w:szCs w:val="28"/>
        </w:rPr>
        <w:t xml:space="preserve">  </w:t>
      </w:r>
      <w:r>
        <w:rPr>
          <w:spacing w:val="-2"/>
          <w:sz w:val="24"/>
          <w:szCs w:val="28"/>
        </w:rPr>
        <w:t>Услуги по спуску на воду и подъему с воды водного транспорта  Камского транспортного участка Приволжского филиала АО «ТК РусГидро»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6"/>
        </w:numPr>
        <w:ind w:left="426" w:hanging="426"/>
        <w:jc w:val="both"/>
        <w:outlineLvl w:val="8"/>
        <w:rPr>
          <w:bCs/>
          <w:spacing w:val="-2"/>
          <w:sz w:val="24"/>
          <w:szCs w:val="28"/>
        </w:rPr>
      </w:pPr>
      <w:r>
        <w:rPr>
          <w:b/>
          <w:bCs/>
          <w:spacing w:val="-10"/>
          <w:sz w:val="24"/>
          <w:szCs w:val="24"/>
        </w:rPr>
        <w:t>Цель оказания услуг</w:t>
      </w:r>
    </w:p>
    <w:p>
      <w:pPr>
        <w:pStyle w:val="Normal"/>
        <w:jc w:val="both"/>
        <w:rPr>
          <w:rFonts w:eastAsia="Calibri"/>
          <w:sz w:val="24"/>
          <w:szCs w:val="22"/>
          <w:lang w:eastAsia="en-US"/>
        </w:rPr>
      </w:pPr>
      <w:r>
        <w:rPr>
          <w:bCs/>
          <w:spacing w:val="-2"/>
          <w:sz w:val="24"/>
          <w:szCs w:val="28"/>
        </w:rPr>
        <w:t>1.3.1.</w:t>
        <w:tab/>
      </w:r>
      <w:bookmarkStart w:id="1" w:name="_Hlk49857604"/>
      <w:r>
        <w:rPr>
          <w:rFonts w:eastAsia="Calibri"/>
          <w:sz w:val="24"/>
          <w:szCs w:val="22"/>
          <w:lang w:eastAsia="en-US"/>
        </w:rPr>
        <w:t xml:space="preserve">Оказание услуг по спуску на воду и подъему с воды водного транспорта Камского транспортного участка Приволжского филиала АО «ТК РусГидро» при вводе судов в эксплуатацию, для проведения  ремонтных работ и  консервации. </w:t>
      </w:r>
    </w:p>
    <w:p>
      <w:pPr>
        <w:pStyle w:val="Normal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Normal"/>
        <w:jc w:val="both"/>
        <w:rPr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1.4   Информация в отношении исполнения договора, </w:t>
      </w:r>
      <w:bookmarkStart w:id="2" w:name="_Hlk46492347"/>
      <w:r>
        <w:rPr>
          <w:b/>
          <w:bCs/>
          <w:spacing w:val="-10"/>
          <w:sz w:val="24"/>
          <w:szCs w:val="24"/>
        </w:rPr>
        <w:t xml:space="preserve">которая должна быть учтена при подготовке заявки </w:t>
      </w:r>
      <w:bookmarkEnd w:id="2"/>
      <w:r>
        <w:rPr>
          <w:b/>
          <w:bCs/>
          <w:spacing w:val="-10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"/>
    </w:p>
    <w:p>
      <w:pPr>
        <w:pStyle w:val="Normal"/>
        <w:tabs>
          <w:tab w:val="clear" w:pos="720"/>
          <w:tab w:val="left" w:pos="70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1.4.1.</w:t>
        <w:tab/>
        <w:t>Не менее чем за два дня до начала оказания услуг Исполнитель согласует с представителем Заказчика дату и время начала работ.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i/>
          <w:iCs/>
          <w:spacing w:val="-10"/>
          <w:sz w:val="24"/>
          <w:szCs w:val="24"/>
        </w:rPr>
        <w:t>Таблица 1. Перечень объектов заказчика</w:t>
      </w:r>
    </w:p>
    <w:tbl>
      <w:tblPr>
        <w:tblW w:w="9782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2"/>
        <w:gridCol w:w="3693"/>
        <w:gridCol w:w="1710"/>
        <w:gridCol w:w="2550"/>
        <w:gridCol w:w="1277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4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44" w:hRule="atLeast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iCs/>
                <w:sz w:val="22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ОКПД 2: 52.22.19.190  Услуги по спуску на воду и подъему с воды водного транспорта Камского транспортного участка Приволжского филиала АО «ТК РусГидро»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614030, Пермский край, г. Пермь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Cs w:val="24"/>
              </w:rPr>
              <w:t>Катер КС-110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</w:t>
            </w:r>
            <w:r>
              <w:rPr>
                <w:bCs/>
                <w:iCs/>
                <w:szCs w:val="24"/>
              </w:rPr>
              <w:t>Приволжский филиал АО «ТК РусГидро»</w:t>
            </w:r>
          </w:p>
          <w:p>
            <w:pPr>
              <w:pStyle w:val="Normal"/>
              <w:widowControl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</w:r>
          </w:p>
        </w:tc>
      </w:tr>
      <w:tr>
        <w:trPr>
          <w:trHeight w:val="983" w:hRule="atLeast"/>
        </w:trPr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</w:r>
          </w:p>
        </w:tc>
        <w:tc>
          <w:tcPr>
            <w:tcW w:w="3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Cs w:val="24"/>
              </w:rPr>
              <w:t>СВП Хивус-6</w:t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</w:r>
          </w:p>
        </w:tc>
      </w:tr>
    </w:tbl>
    <w:p>
      <w:pPr>
        <w:pStyle w:val="Normal"/>
        <w:spacing w:before="0" w:after="0"/>
        <w:ind w:left="360" w:hanging="0"/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before="0" w:after="0"/>
        <w:ind w:left="360" w:hanging="0"/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before="0" w:after="0"/>
        <w:ind w:left="360" w:hanging="0"/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before="0" w:after="0"/>
        <w:ind w:left="360" w:hanging="0"/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before="0" w:after="0"/>
        <w:ind w:left="360" w:hanging="0"/>
        <w:contextualSpacing/>
        <w:rPr/>
      </w:pPr>
      <w:r>
        <w:rPr>
          <w:b/>
          <w:bCs/>
          <w:sz w:val="24"/>
          <w:szCs w:val="24"/>
        </w:rPr>
        <w:t>2.Требования к продукции</w:t>
      </w:r>
    </w:p>
    <w:p>
      <w:pPr>
        <w:pStyle w:val="Normal"/>
        <w:spacing w:before="0" w:after="0"/>
        <w:ind w:left="36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Требования к объемам и срокам оказания услуг</w:t>
      </w:r>
    </w:p>
    <w:p>
      <w:pPr>
        <w:pStyle w:val="Normal"/>
        <w:spacing w:before="0" w:after="0"/>
        <w:ind w:left="360" w:hanging="36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2.1.1 Требования к перечню</w:t>
      </w:r>
      <w:r>
        <w:rPr>
          <w:rFonts w:eastAsia="Calibri"/>
          <w:b/>
          <w:sz w:val="24"/>
          <w:szCs w:val="24"/>
        </w:rPr>
        <w:t xml:space="preserve"> и объему услуг</w:t>
      </w:r>
    </w:p>
    <w:p>
      <w:pPr>
        <w:pStyle w:val="Normal"/>
        <w:spacing w:before="0" w:after="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  <w:t>Таблица 2. Перечень и объем оказываемых услуг</w:t>
      </w:r>
    </w:p>
    <w:p>
      <w:pPr>
        <w:pStyle w:val="Normal"/>
        <w:spacing w:before="0" w:after="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</w:r>
    </w:p>
    <w:p>
      <w:pPr>
        <w:pStyle w:val="Normal"/>
        <w:spacing w:before="0" w:after="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</w:r>
    </w:p>
    <w:p>
      <w:pPr>
        <w:pStyle w:val="Normal"/>
        <w:spacing w:before="0" w:after="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</w:r>
    </w:p>
    <w:p>
      <w:pPr>
        <w:pStyle w:val="Normal"/>
        <w:spacing w:before="0" w:after="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</w:r>
    </w:p>
    <w:p>
      <w:pPr>
        <w:pStyle w:val="Normal"/>
        <w:spacing w:before="0" w:after="0"/>
        <w:contextualSpacing/>
        <w:rPr>
          <w:rFonts w:eastAsia="Calibri"/>
          <w:b/>
          <w:i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</w:r>
    </w:p>
    <w:tbl>
      <w:tblPr>
        <w:tblW w:w="10244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7"/>
        <w:gridCol w:w="7438"/>
        <w:gridCol w:w="1278"/>
        <w:gridCol w:w="990"/>
      </w:tblGrid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</w:t>
            </w:r>
            <w:r>
              <w:rPr>
                <w:rFonts w:eastAsia="Calibri"/>
                <w:sz w:val="21"/>
                <w:szCs w:val="21"/>
                <w:vertAlign w:val="superscript"/>
                <w:lang w:eastAsia="en-US"/>
              </w:rPr>
              <w:t>*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</w:tr>
      <w:tr>
        <w:trPr>
          <w:trHeight w:val="466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ОКПД 2: 52.22.19.190  Услуги по спуску на воду и подъему с воды водного транспорта Камского транспортного участка Приволжского филиала АО «ТК РусГидро» </w:t>
            </w:r>
          </w:p>
        </w:tc>
      </w:tr>
      <w:tr>
        <w:trPr>
          <w:trHeight w:val="466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1.1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Спуск катера КС-110 на воду </w:t>
            </w:r>
            <w:r>
              <w:rPr>
                <w:rFonts w:eastAsia="Calibri"/>
                <w:i/>
                <w:sz w:val="22"/>
                <w:szCs w:val="22"/>
              </w:rPr>
              <w:t>2013 г. выпуска, вес судна 11 000 кг, грузоподъемность 32т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466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1.2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Подъем катера КС-110 на берег,</w:t>
            </w:r>
            <w:r>
              <w:rPr>
                <w:rFonts w:eastAsia="Calibri"/>
                <w:i/>
                <w:sz w:val="22"/>
                <w:szCs w:val="22"/>
              </w:rPr>
              <w:t xml:space="preserve"> 2013 г. выпуска, вес судна 11 000 кг, грузоподъемность 32т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7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  <w:szCs w:val="22"/>
              </w:rPr>
              <w:t>1.3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Подъем СВП Хивус-6 на берег и доставка его на территорию Камского ТУ,</w:t>
            </w:r>
            <w:r>
              <w:rPr>
                <w:i/>
                <w:iCs/>
                <w:sz w:val="22"/>
                <w:szCs w:val="22"/>
              </w:rPr>
              <w:t xml:space="preserve"> 2014 г. выпуска, вес судна 1 000 кг., грузоподъемность 5т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7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  <w:szCs w:val="22"/>
              </w:rPr>
              <w:t>1.4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i/>
                <w:sz w:val="22"/>
                <w:szCs w:val="22"/>
              </w:rPr>
              <w:t>Доставка СВП Хивус-6 с территории Камского ТУ до места спуска и спуск его на воду,</w:t>
            </w:r>
            <w:r>
              <w:rPr>
                <w:i/>
                <w:iCs/>
                <w:sz w:val="22"/>
                <w:szCs w:val="22"/>
              </w:rPr>
              <w:t xml:space="preserve"> 2014 г. выпуска, вес судна 1 000 кг., грузоподъемность 5т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7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  <w:szCs w:val="22"/>
              </w:rPr>
              <w:t>1.5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Подъем/спуск в случае аварийных работ,</w:t>
            </w:r>
            <w:r>
              <w:rPr>
                <w:i/>
                <w:iCs/>
                <w:sz w:val="22"/>
                <w:szCs w:val="22"/>
              </w:rPr>
              <w:t xml:space="preserve"> СВП Хивус-6, 2014 г. выпуска, вес судна 1 000 кг., грузоподъемность 5т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rFonts w:eastAsia="Calibri"/>
          <w:b/>
          <w:sz w:val="24"/>
          <w:szCs w:val="24"/>
        </w:rPr>
      </w:pPr>
      <w:r>
        <w:rPr/>
        <w:t xml:space="preserve">*- объем оказываемых услуг является ориентировочным и Заказчик не несет ответственности за неполную выборку услуг на общую сумму договора. 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eastAsia="Calibri"/>
          <w:b/>
          <w:bCs/>
          <w:i/>
          <w:iCs/>
          <w:sz w:val="24"/>
          <w:szCs w:val="24"/>
        </w:rPr>
        <w:t xml:space="preserve">Таблица 3. </w:t>
      </w:r>
      <w:bookmarkStart w:id="3" w:name="_Hlk50465284"/>
      <w:r>
        <w:rPr>
          <w:rFonts w:eastAsia="Calibri"/>
          <w:b/>
          <w:bCs/>
          <w:i/>
          <w:iCs/>
          <w:sz w:val="24"/>
          <w:szCs w:val="24"/>
        </w:rPr>
        <w:t xml:space="preserve">Требования к срокам </w:t>
      </w:r>
      <w:bookmarkEnd w:id="3"/>
      <w:r>
        <w:rPr>
          <w:rFonts w:eastAsia="Calibri"/>
          <w:b/>
          <w:bCs/>
          <w:i/>
          <w:iCs/>
          <w:sz w:val="24"/>
          <w:szCs w:val="24"/>
        </w:rPr>
        <w:t>оказания услуг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0"/>
        <w:gridCol w:w="5391"/>
        <w:gridCol w:w="2098"/>
        <w:gridCol w:w="2160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eastAsia="Calibri"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pacing w:val="-2"/>
                <w:sz w:val="24"/>
                <w:szCs w:val="24"/>
              </w:rPr>
              <w:t>Срок действия договора: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ОКПД 2: 52.22.19.190  Услуги по спуску на воду и подъему с воды водного транспорта Камского транспортного участка Приволжского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01.04.2027г.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31.03.2028 г.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Требования к качеству продукции</w:t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Таблица 4. Требования к качеству продукции 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Наименование услуг/этапа услуг (позиция № 1-1.5. Таблицы 2): </w:t>
      </w:r>
      <w:r>
        <w:rPr>
          <w:sz w:val="24"/>
          <w:szCs w:val="24"/>
        </w:rPr>
        <w:t>ОКПД 2: 52.22.19.190  Услуги по спуску на воду и подъему с воды водного транспорта Камского транспортного участка Приволжского филиала АО «ТК РусГидро»</w:t>
      </w:r>
    </w:p>
    <w:tbl>
      <w:tblPr>
        <w:tblW w:w="103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8"/>
        <w:gridCol w:w="5840"/>
        <w:gridCol w:w="63"/>
        <w:gridCol w:w="1703"/>
        <w:gridCol w:w="31"/>
        <w:gridCol w:w="14"/>
        <w:gridCol w:w="1894"/>
      </w:tblGrid>
      <w:tr>
        <w:trPr/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1"/>
                <w:szCs w:val="21"/>
                <w:lang w:eastAsia="ru-RU"/>
              </w:rPr>
              <w:t xml:space="preserve">№ </w:t>
            </w:r>
            <w:r>
              <w:rPr>
                <w:b/>
                <w:bCs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1"/>
                <w:szCs w:val="21"/>
                <w:lang w:eastAsia="ru-RU"/>
              </w:rPr>
              <w:t xml:space="preserve">                  </w:t>
            </w:r>
            <w:r>
              <w:rPr>
                <w:b/>
                <w:bCs/>
                <w:sz w:val="21"/>
                <w:szCs w:val="21"/>
                <w:lang w:eastAsia="ru-RU"/>
              </w:rPr>
              <w:t>Требование заказчика</w:t>
            </w:r>
          </w:p>
        </w:tc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1"/>
                <w:szCs w:val="21"/>
                <w:lang w:eastAsia="ru-RU"/>
              </w:rPr>
            </w:pPr>
            <w:r>
              <w:rPr>
                <w:b/>
                <w:bCs/>
                <w:sz w:val="21"/>
                <w:szCs w:val="21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1"/>
                <w:szCs w:val="21"/>
                <w:lang w:eastAsia="ru-RU"/>
              </w:rPr>
            </w:pPr>
            <w:r>
              <w:rPr>
                <w:b/>
                <w:bCs/>
                <w:sz w:val="21"/>
                <w:szCs w:val="21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1"/>
                <w:szCs w:val="21"/>
                <w:lang w:eastAsia="ru-RU"/>
              </w:rPr>
            </w:pPr>
            <w:r>
              <w:rPr>
                <w:b/>
                <w:bCs/>
                <w:sz w:val="21"/>
                <w:szCs w:val="21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оказанию услуг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Общие требования к оказанию услуг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  <w:lang w:eastAsia="ar-SA"/>
              </w:rPr>
              <w:t>1.) Исполнитель должен полностью соответствовать требованиям, указанным в разделе 2 Приказа Федеральной службы по экологическому, технологическому и атомному надзору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  <w:lang w:eastAsia="ar-SA"/>
              </w:rPr>
              <w:t xml:space="preserve">2.) Исполнитель, при оказании услуг по спуску на воду и подъему с воды водного транспорта Камского  транспортного участка Приволжского филиала АО «ТК РусГидро», должен  предоставить  все необходимые грузозахватные приспособления, стропы и прочую оснастку, оборудование и инструменты,  соответствующие всем нормативным требованиям согласно законодательства РФ. 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  <w:lang w:eastAsia="ar-SA"/>
              </w:rPr>
              <w:t>3) Исполнитель, оказывает полный комплекс работ по спуску на воду и подъему с воды водной техники,  согласно  схемы строповки, указанной в руководстве по эксплуатации водного транспорта, с применением  грузоподъемных механизмов грузоподъемностью согласно таблице №1, инструкции по транспортировке и такелажным работам (погрузке, разгрузке) судна, с предоставлением ответственного за безопасное производство работ.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bCs/>
                <w:i/>
                <w:iCs/>
                <w:sz w:val="22"/>
                <w:szCs w:val="22"/>
                <w:lang w:eastAsia="ar-SA"/>
              </w:rPr>
              <w:t>4)  Все работы проводятся на  территории Камского транспортного участка  г. Пермь Пермского края, территория филиала ПАО «РусГидро-Камская ГЭС»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1.2.1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Применять досмотровые технические средства охраны (переносные и стационарные), имеющиеся на охраняемом Объекте, с целью недопущения проноса (провоза) на охраняемый Объект вооружения, взрывчатых веществ и самодельных взрывных устройств и их элементов, а также других запрещенных предметов</w:t>
            </w:r>
          </w:p>
        </w:tc>
        <w:tc>
          <w:tcPr>
            <w:tcW w:w="1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1.3.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1.3.1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При пересылке файлов не допускается использование открытых файло-обменных сервисов.</w:t>
            </w:r>
          </w:p>
        </w:tc>
        <w:tc>
          <w:tcPr>
            <w:tcW w:w="1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1.4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1.4.1</w:t>
            </w:r>
          </w:p>
        </w:tc>
        <w:tc>
          <w:tcPr>
            <w:tcW w:w="5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</w:rPr>
              <w:t>Все подъемные сооружения, находящиеся в эксплуатации должны быть снабжены надписями (таблицами, бирками) с указанием учетного и заводского номера, грузоподъемности и  даты следующего испытания (ЧТО, ПТО).</w:t>
            </w:r>
          </w:p>
        </w:tc>
        <w:tc>
          <w:tcPr>
            <w:tcW w:w="1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1.5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 персоналу исполнителя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1.5.1</w:t>
            </w:r>
          </w:p>
        </w:tc>
        <w:tc>
          <w:tcPr>
            <w:tcW w:w="5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</w:rPr>
              <w:t xml:space="preserve">Исполнительный технический персонал должен иметь </w:t>
            </w:r>
            <w:r>
              <w:rPr>
                <w:rFonts w:eastAsia="Calibri"/>
                <w:bCs/>
                <w:i/>
                <w:iCs/>
                <w:sz w:val="22"/>
                <w:szCs w:val="22"/>
                <w:lang w:eastAsia="ar-SA"/>
              </w:rPr>
              <w:t xml:space="preserve">  действующие Протоколы и удостоверения, подтверждающих проверку знаний по промышленной безопасности у руководителей и специалистов.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результатам услуг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2.1.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trHeight w:val="485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2.1.1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ru-RU"/>
              </w:rPr>
              <w:t>Исполнитель передает заказчику акт приемки-сдачи оказанных услуг в двух экземплярах по истечении каждого этапа  услуг</w:t>
            </w:r>
          </w:p>
        </w:tc>
        <w:tc>
          <w:tcPr>
            <w:tcW w:w="1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3.1.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i/>
                <w:iCs/>
                <w:sz w:val="22"/>
                <w:szCs w:val="22"/>
                <w:lang w:eastAsia="ar-SA"/>
              </w:rPr>
              <w:t>Качество услуг должно удовлетворять требованиям норм, нормативов и стандартов, принятых для данного вида услуг. Технология и методы оказания услуг – в полном соответствии со стандартами, и иными действующими на территории РФ нормативно-правовыми актами, Правилами техники безопасности, Требованиями охраны труда.</w:t>
            </w:r>
          </w:p>
        </w:tc>
        <w:tc>
          <w:tcPr>
            <w:tcW w:w="1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95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</w:tr>
      <w:tr>
        <w:trPr>
          <w:trHeight w:val="552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Исполнитель должен  обладать гражданской правоспособностью в полном объеме для заключения и исполнения Договора;</w:t>
            </w:r>
          </w:p>
        </w:tc>
        <w:tc>
          <w:tcPr>
            <w:tcW w:w="1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35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4.2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РФ;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rPr>
                <w:b/>
                <w:i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255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4.3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Исполнитель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4.4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платежей;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4.5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Исполнитель должен нести ответственность за качество оказанных услуг;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i/>
                <w:i/>
                <w:iCs/>
                <w:sz w:val="22"/>
                <w:szCs w:val="22"/>
                <w:lang w:eastAsia="ar-SA"/>
              </w:rPr>
            </w:pPr>
            <w:r>
              <w:rPr>
                <w:bCs/>
                <w:i/>
                <w:i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napToGrid w:val="false"/>
              <w:rPr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</w:r>
          </w:p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i/>
                <w:iCs/>
                <w:sz w:val="22"/>
                <w:szCs w:val="22"/>
                <w:lang w:eastAsia="ru-RU"/>
              </w:rPr>
              <w:t>-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Исполнитель предоставляет Коммерческое предложение.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4. Требования к документации по ценообразованию на этапе заключения (исполнения) договора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В итоговый расчет стоимости оказания 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оказания услуг. 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 Стоимость 1 (одной) единицы услуг остается неизменной в течение всего срока действия договора.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 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-2" w:hanging="0"/>
        <w:contextualSpacing/>
        <w:jc w:val="both"/>
        <w:rPr>
          <w:bCs/>
          <w:color w:val="00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572" w:gutter="0" w:header="436" w:top="1134" w:footer="0" w:bottom="41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Rockwell Condense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>
    <w:pPr>
      <w:pStyle w:val="Header"/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i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i w:val="false"/>
        <w:i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i w:val="false"/>
        <w:i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i w:val="false"/>
        <w:i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i w:val="false"/>
        <w:iCs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i w:val="false"/>
        <w:iCs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i w:val="false"/>
        <w:iCs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i w:val="false"/>
        <w:iCs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i w:val="false"/>
        <w:iCs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tabs>
        <w:tab w:val="clear" w:pos="720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i w:val="false"/>
      <w:iCs w:val="false"/>
    </w:rPr>
  </w:style>
  <w:style w:type="character" w:styleId="WW8Num3z0" w:customStyle="1">
    <w:name w:val="WW8Num3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4z0" w:customStyle="1">
    <w:name w:val="WW8Num4z0"/>
    <w:qFormat/>
    <w:rPr/>
  </w:style>
  <w:style w:type="character" w:styleId="WW8Num7z0" w:customStyle="1">
    <w:name w:val="WW8Num7z0"/>
    <w:qFormat/>
    <w:rPr/>
  </w:style>
  <w:style w:type="character" w:styleId="WW8Num1z0" w:customStyle="1">
    <w:name w:val="WW8Num1z0"/>
    <w:qFormat/>
    <w:rPr>
      <w:b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Symbol" w:hAnsi="Symbol" w:cs="Symbol"/>
      <w:color w:val="auto"/>
    </w:rPr>
  </w:style>
  <w:style w:type="character" w:styleId="WW8Num12z0" w:customStyle="1">
    <w:name w:val="WW8Num12z0"/>
    <w:qFormat/>
    <w:rPr>
      <w:b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>
      <w:b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7z0" w:customStyle="1">
    <w:name w:val="WW8Num17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>
      <w:rFonts w:ascii="Times New Roman" w:hAnsi="Times New Roman" w:cs="Times New Roman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4z3" w:customStyle="1">
    <w:name w:val="WW8Num24z3"/>
    <w:qFormat/>
    <w:rPr>
      <w:rFonts w:ascii="Symbol" w:hAnsi="Symbol" w:cs="Symbol"/>
    </w:rPr>
  </w:style>
  <w:style w:type="character" w:styleId="WW8Num24z4" w:customStyle="1">
    <w:name w:val="WW8Num24z4"/>
    <w:qFormat/>
    <w:rPr>
      <w:rFonts w:ascii="Courier New" w:hAnsi="Courier New" w:cs="Courier New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/>
  </w:style>
  <w:style w:type="character" w:styleId="WW8Num29z0" w:customStyle="1">
    <w:name w:val="WW8Num29z0"/>
    <w:qFormat/>
    <w:rPr>
      <w:rFonts w:ascii="Symbol" w:hAnsi="Symbol" w:cs="Symbol"/>
      <w:color w:val="auto"/>
    </w:rPr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>
      <w:rFonts w:ascii="Wingdings" w:hAnsi="Wingdings" w:cs="Wingdings"/>
    </w:rPr>
  </w:style>
  <w:style w:type="character" w:styleId="WW8Num33z0" w:customStyle="1">
    <w:name w:val="WW8Num33z0"/>
    <w:qFormat/>
    <w:rPr/>
  </w:style>
  <w:style w:type="character" w:styleId="WW8Num35z0" w:customStyle="1">
    <w:name w:val="WW8Num35z0"/>
    <w:qFormat/>
    <w:rPr>
      <w:rFonts w:ascii="Symbol" w:hAnsi="Symbol" w:cs="Symbol"/>
      <w:color w:val="auto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5z3" w:customStyle="1">
    <w:name w:val="WW8Num35z3"/>
    <w:qFormat/>
    <w:rPr>
      <w:rFonts w:ascii="Symbol" w:hAnsi="Symbol" w:cs="Symbol"/>
    </w:rPr>
  </w:style>
  <w:style w:type="character" w:styleId="WW8Num36z1" w:customStyle="1">
    <w:name w:val="WW8Num36z1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>
      <w:rFonts w:ascii="Symbol" w:hAnsi="Symbol" w:cs="Symbol"/>
    </w:rPr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/>
  </w:style>
  <w:style w:type="character" w:styleId="WW8Num41z0" w:customStyle="1">
    <w:name w:val="WW8Num41z0"/>
    <w:qFormat/>
    <w:rPr/>
  </w:style>
  <w:style w:type="character" w:styleId="WW8Num42z0" w:customStyle="1">
    <w:name w:val="WW8Num42z0"/>
    <w:qFormat/>
    <w:rPr/>
  </w:style>
  <w:style w:type="character" w:styleId="WW8Num43z0" w:customStyle="1">
    <w:name w:val="WW8Num43z0"/>
    <w:qFormat/>
    <w:rPr>
      <w:rFonts w:ascii="Symbol" w:hAnsi="Symbol" w:cs="Symbol"/>
      <w:color w:val="auto"/>
    </w:rPr>
  </w:style>
  <w:style w:type="character" w:styleId="WW8Num44z0" w:customStyle="1">
    <w:name w:val="WW8Num44z0"/>
    <w:qFormat/>
    <w:rPr>
      <w:rFonts w:ascii="Symbol" w:hAnsi="Symbol" w:cs="Symbol"/>
      <w:color w:val="auto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4z3" w:customStyle="1">
    <w:name w:val="WW8Num44z3"/>
    <w:qFormat/>
    <w:rPr>
      <w:rFonts w:ascii="Symbol" w:hAnsi="Symbol" w:cs="Symbol"/>
    </w:rPr>
  </w:style>
  <w:style w:type="character" w:styleId="WW8Num45z0" w:customStyle="1">
    <w:name w:val="WW8Num45z0"/>
    <w:qFormat/>
    <w:rPr>
      <w:rFonts w:ascii="Rockwell Condensed" w:hAnsi="Rockwell Condensed" w:cs="Rockwell Condensed"/>
    </w:rPr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Normal1" w:customStyle="1">
    <w:name w:val="Normal1 Знак"/>
    <w:qFormat/>
    <w:rPr>
      <w:rFonts w:eastAsia="Calibri"/>
      <w:lang w:val="ru-RU" w:bidi="ar-SA"/>
    </w:rPr>
  </w:style>
  <w:style w:type="character" w:styleId="Style6" w:customStyle="1">
    <w:name w:val="Текст сноски Знак"/>
    <w:basedOn w:val="DefaultParagraphFont"/>
    <w:qFormat/>
    <w:rPr/>
  </w:style>
  <w:style w:type="character" w:styleId="Style7" w:customStyle="1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8" w:customStyle="1">
    <w:name w:val="Верхний колонтитул Знак"/>
    <w:basedOn w:val="DefaultParagraphFont"/>
    <w:qFormat/>
    <w:rPr/>
  </w:style>
  <w:style w:type="character" w:styleId="Style9" w:customStyle="1">
    <w:name w:val="Нижний колонтитул Знак"/>
    <w:basedOn w:val="DefaultParagraphFont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jc w:val="center"/>
    </w:pPr>
    <w:rPr>
      <w:b/>
      <w:sz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/>
    </w:rPr>
  </w:style>
  <w:style w:type="paragraph" w:styleId="Style12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Style1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NoSpacing">
    <w:name w:val="No Spacing"/>
    <w:qFormat/>
    <w:rsid w:val="00644c0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FAFC-13C8-467F-987E-44245100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AlterOffice/3.4.0.9$Linux_X86_64 LibreOffice_project/b8daf9e823b1a5463a2f48435ddc2e8696e7d4fc</Application>
  <AppVersion>15.0000</AppVersion>
  <Pages>6</Pages>
  <Words>1394</Words>
  <Characters>8974</Characters>
  <CharactersWithSpaces>11072</CharactersWithSpaces>
  <Paragraphs>207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2026-06-17T09:48:00Z</dcterms:created>
  <dc:creator>Архив</dc:creator>
  <dc:description/>
  <dc:language>ru-RU</dc:language>
  <cp:lastModifiedBy>polyakovsg@corp.gidroogk.com</cp:lastModifiedBy>
  <cp:lastPrinted>2026-06-22T11:40:00Z</cp:lastPrinted>
  <dcterms:modified xsi:type="dcterms:W3CDTF">2026-06-23T13:54:41Z</dcterms:modified>
  <cp:revision>25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