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hanging="0"/>
        <w:jc w:val="center"/>
        <w:outlineLvl w:val="0"/>
        <w:rPr/>
      </w:pPr>
      <w:bookmarkStart w:id="0" w:name="__RefHeading___Toc8337_2788779144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b/>
          <w:sz w:val="24"/>
          <w:szCs w:val="24"/>
        </w:rPr>
        <w:t>ОКПД2 23.64.10.110 Поставка сухих смесей ремонтных и гидроизоляционного материала на Усть — Среднеканскую ГЭС для нужд Башкирского филиала.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Style w:val="Style8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</w:numPr>
            <w:ind w:left="284" w:hanging="0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  <w:t xml:space="preserve">Содержание: 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6"/>
            </w:rPr>
            <w:instrText xml:space="preserve"> TOC \f \o "1-9" \h</w:instrText>
          </w:r>
          <w:r>
            <w:rPr>
              <w:rStyle w:val="Style16"/>
            </w:rPr>
            <w:fldChar w:fldCharType="separate"/>
          </w:r>
          <w:hyperlink w:anchor="__RefHeading___Toc8337_2788779144">
            <w:r>
              <w:rPr>
                <w:rStyle w:val="Style16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39_2788779144">
            <w:r>
              <w:rPr>
                <w:rStyle w:val="Style16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17_2243388018">
            <w:r>
              <w:rPr>
                <w:rStyle w:val="Style16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41_2788779144">
            <w:r>
              <w:rPr>
                <w:rStyle w:val="Style16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43_2788779144">
            <w:r>
              <w:rPr>
                <w:rStyle w:val="Style16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45_2788779144">
            <w:r>
              <w:rPr>
                <w:rStyle w:val="Style16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47_2788779144">
            <w:r>
              <w:rPr>
                <w:rStyle w:val="Style16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49_2788779144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51_2788779144">
            <w:r>
              <w:rPr>
                <w:rStyle w:val="Style16"/>
              </w:rPr>
              <w:t>2.1.2. Требования к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53_2788779144">
            <w:r>
              <w:rPr>
                <w:rStyle w:val="Style16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55_2788779144">
            <w:r>
              <w:rPr>
                <w:rStyle w:val="Style16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57_2788779144">
            <w:r>
              <w:rPr>
                <w:rStyle w:val="Style16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59_2788779144">
            <w:r>
              <w:rPr>
                <w:rStyle w:val="Style16"/>
              </w:rPr>
              <w:t>3. Требования к документации по ценообразованию на этапе закупки</w:t>
              <w:tab/>
              <w:t>11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hanging="432"/>
        <w:rPr>
          <w:sz w:val="22"/>
          <w:szCs w:val="22"/>
        </w:rPr>
      </w:pPr>
      <w:bookmarkStart w:id="1" w:name="__RefHeading___Toc8339_2788779144"/>
      <w:bookmarkStart w:id="2" w:name="_Toc46743506"/>
      <w:bookmarkStart w:id="3" w:name="_Toc75446568"/>
      <w:bookmarkEnd w:id="1"/>
      <w:r>
        <w:rPr>
          <w:b/>
          <w:sz w:val="22"/>
          <w:szCs w:val="22"/>
        </w:rPr>
        <w:t>Общие сведения</w:t>
      </w:r>
      <w:bookmarkEnd w:id="2"/>
      <w:bookmarkEnd w:id="3"/>
      <w:r>
        <w:rPr>
          <w:b/>
          <w:sz w:val="22"/>
          <w:szCs w:val="22"/>
        </w:rPr>
        <w:t>.</w:t>
      </w:r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4" w:name="__RefHeading___Toc8317_2243388018"/>
      <w:bookmarkStart w:id="5" w:name="_Toc141728490"/>
      <w:bookmarkStart w:id="6" w:name="_Toc46743505"/>
      <w:bookmarkEnd w:id="4"/>
      <w:r>
        <w:rPr>
          <w:b/>
          <w:sz w:val="22"/>
          <w:szCs w:val="22"/>
        </w:rPr>
        <w:t>Обозначения и сокращения</w:t>
      </w:r>
      <w:bookmarkEnd w:id="5"/>
      <w:bookmarkEnd w:id="6"/>
      <w:r>
        <w:rPr>
          <w:b/>
          <w:sz w:val="22"/>
          <w:szCs w:val="22"/>
        </w:rPr>
        <w:t xml:space="preserve">. 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Государственный стандарт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</w:tr>
    </w:tbl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7" w:name="__RefHeading___Toc8341_2788779144"/>
      <w:bookmarkEnd w:id="7"/>
      <w:r>
        <w:rPr>
          <w:b/>
          <w:sz w:val="22"/>
          <w:szCs w:val="22"/>
        </w:rPr>
        <w:t>Наименование закупаемой продукции.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ОКПД2 23.64.10.110 Поставка сухих смесей ремонтных и гидроизоляционного материала на Усть — Среднеканскую ГЭС для нужд Башкирского филиала.</w:t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6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1.2 </w:t>
        <w:tab/>
        <w:t xml:space="preserve">Цель использования закупаемой продукции.  </w:t>
      </w:r>
    </w:p>
    <w:p>
      <w:pPr>
        <w:pStyle w:val="Normal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>Закупаемая продукция предназначена для выполнения работ по договору №574-РЕМ от 05.08.2025г.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обоснования закупки у взаимозависимого лица по лоту № 0004-РЕМ ПРОД-2025-УСГЭС, подписанного между АО «Усть-Среднеканская ГЭС им. А.Ф. Дьякова» и АО «Гидроремонт-ВКК».</w:t>
      </w:r>
    </w:p>
    <w:p>
      <w:pPr>
        <w:pStyle w:val="Heading1"/>
        <w:numPr>
          <w:ilvl w:val="0"/>
          <w:numId w:val="3"/>
        </w:numPr>
        <w:ind w:left="432" w:hanging="432"/>
        <w:rPr>
          <w:sz w:val="22"/>
          <w:szCs w:val="22"/>
        </w:rPr>
      </w:pPr>
      <w:bookmarkStart w:id="8" w:name="__RefHeading___Toc8343_2788779144"/>
      <w:bookmarkStart w:id="9" w:name="_Toc51339693"/>
      <w:bookmarkStart w:id="10" w:name="_Toc75446573"/>
      <w:bookmarkStart w:id="11" w:name="_Toc50125126"/>
      <w:bookmarkEnd w:id="8"/>
      <w:bookmarkEnd w:id="11"/>
      <w:r>
        <w:rPr>
          <w:b/>
          <w:sz w:val="22"/>
          <w:szCs w:val="22"/>
        </w:rPr>
        <w:t>Требования к продукции</w:t>
      </w:r>
      <w:bookmarkEnd w:id="9"/>
      <w:bookmarkEnd w:id="10"/>
      <w:r>
        <w:rPr>
          <w:b/>
          <w:caps/>
          <w:sz w:val="22"/>
          <w:szCs w:val="22"/>
        </w:rPr>
        <w:t>.</w:t>
      </w:r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12" w:name="__RefHeading___Toc8345_2788779144"/>
      <w:bookmarkStart w:id="13" w:name="_Toc75446574"/>
      <w:bookmarkEnd w:id="12"/>
      <w:r>
        <w:rPr>
          <w:b/>
          <w:sz w:val="22"/>
          <w:szCs w:val="22"/>
        </w:rPr>
        <w:t>Требования к объемам и срокам поставки</w:t>
      </w:r>
      <w:bookmarkEnd w:id="13"/>
      <w:r>
        <w:rPr>
          <w:b/>
          <w:sz w:val="22"/>
          <w:szCs w:val="22"/>
        </w:rPr>
        <w:t>.</w:t>
      </w:r>
    </w:p>
    <w:p>
      <w:pPr>
        <w:pStyle w:val="Heading3"/>
        <w:numPr>
          <w:ilvl w:val="2"/>
          <w:numId w:val="3"/>
        </w:numPr>
        <w:ind w:left="1224" w:hanging="504"/>
        <w:rPr>
          <w:sz w:val="22"/>
          <w:szCs w:val="22"/>
        </w:rPr>
      </w:pPr>
      <w:bookmarkStart w:id="14" w:name="__RefHeading___Toc8347_2788779144"/>
      <w:bookmarkStart w:id="15" w:name="_Toc75446575"/>
      <w:bookmarkEnd w:id="14"/>
      <w:r>
        <w:rPr>
          <w:b/>
          <w:sz w:val="22"/>
          <w:szCs w:val="22"/>
        </w:rPr>
        <w:t>Перечень и объем закупаемой продукции</w:t>
      </w:r>
      <w:bookmarkEnd w:id="15"/>
      <w:r>
        <w:rPr>
          <w:b/>
          <w:sz w:val="22"/>
          <w:szCs w:val="22"/>
        </w:rPr>
        <w:t>.</w:t>
      </w:r>
    </w:p>
    <w:p>
      <w:pPr>
        <w:pStyle w:val="Heading1"/>
        <w:numPr>
          <w:ilvl w:val="0"/>
        </w:numPr>
        <w:ind w:left="284" w:hanging="0"/>
        <w:rPr>
          <w:sz w:val="22"/>
          <w:szCs w:val="22"/>
        </w:rPr>
      </w:pPr>
      <w:bookmarkStart w:id="16" w:name="__RefHeading___Toc8349_2788779144"/>
      <w:bookmarkStart w:id="17" w:name="_Toc75446576"/>
      <w:bookmarkStart w:id="18" w:name="_Toc51339695"/>
      <w:bookmarkEnd w:id="16"/>
      <w:r>
        <w:rPr>
          <w:b/>
          <w:sz w:val="22"/>
          <w:szCs w:val="22"/>
        </w:rPr>
        <w:t xml:space="preserve">Таблица 1.1 Перечень </w:t>
      </w:r>
      <w:bookmarkEnd w:id="18"/>
      <w:r>
        <w:rPr>
          <w:b/>
          <w:sz w:val="22"/>
          <w:szCs w:val="22"/>
        </w:rPr>
        <w:t>и объем закупаемой продукции</w:t>
      </w:r>
      <w:bookmarkEnd w:id="17"/>
      <w:r>
        <w:rPr>
          <w:b/>
          <w:sz w:val="22"/>
          <w:szCs w:val="22"/>
        </w:rPr>
        <w:t>.</w:t>
      </w:r>
    </w:p>
    <w:tbl>
      <w:tblPr>
        <w:tblW w:w="9923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773"/>
        <w:gridCol w:w="3996"/>
        <w:gridCol w:w="1287"/>
        <w:gridCol w:w="1882"/>
        <w:gridCol w:w="1985"/>
      </w:tblGrid>
      <w:tr>
        <w:trPr>
          <w:tblHeader w:val="true"/>
          <w:trHeight w:val="45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Состав антикоррозийный однокомпонентный </w:t>
            </w:r>
            <w:r>
              <w:rPr>
                <w:color w:val="000000"/>
                <w:sz w:val="22"/>
                <w:szCs w:val="22"/>
                <w:lang w:val="en-US"/>
              </w:rPr>
              <w:t>Mapefer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Смесь бетонная сухая безусадочная быстротвердеющая Mapegrout Hi-Flow 10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741 128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82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Осмотический цементный раствор Planiseal 88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82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Сухая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смесь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MAPEGROUT HF W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27 656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sz w:val="22"/>
          <w:szCs w:val="22"/>
        </w:rPr>
      </w:pPr>
      <w:bookmarkStart w:id="19" w:name="__RefHeading___Toc8351_2788779144"/>
      <w:bookmarkEnd w:id="19"/>
      <w:r>
        <w:rPr>
          <w:b/>
          <w:sz w:val="22"/>
          <w:szCs w:val="22"/>
        </w:rPr>
        <w:t xml:space="preserve">Требования к срокам поставки продукции. </w:t>
      </w:r>
    </w:p>
    <w:p>
      <w:pPr>
        <w:pStyle w:val="Heading1"/>
        <w:numPr>
          <w:ilvl w:val="0"/>
        </w:numPr>
        <w:ind w:left="142" w:hanging="0"/>
        <w:rPr>
          <w:sz w:val="22"/>
          <w:szCs w:val="22"/>
        </w:rPr>
      </w:pPr>
      <w:bookmarkStart w:id="20" w:name="__RefHeading___Toc8353_2788779144"/>
      <w:bookmarkStart w:id="21" w:name="_Toc75446579"/>
      <w:bookmarkStart w:id="22" w:name="_Toc51339697"/>
      <w:bookmarkStart w:id="23" w:name="_Toc50125127"/>
      <w:bookmarkStart w:id="24" w:name="_Toc501251261"/>
      <w:bookmarkEnd w:id="20"/>
      <w:bookmarkEnd w:id="24"/>
      <w:r>
        <w:rPr>
          <w:b/>
          <w:sz w:val="22"/>
          <w:szCs w:val="22"/>
        </w:rPr>
        <w:t xml:space="preserve">Таблица 2.1 </w:t>
      </w:r>
      <w:bookmarkStart w:id="25" w:name="_Hlk50465284"/>
      <w:r>
        <w:rPr>
          <w:b/>
          <w:sz w:val="22"/>
          <w:szCs w:val="22"/>
        </w:rPr>
        <w:t xml:space="preserve">Требования по срокам </w:t>
      </w:r>
      <w:bookmarkEnd w:id="22"/>
      <w:bookmarkEnd w:id="23"/>
      <w:bookmarkEnd w:id="25"/>
      <w:r>
        <w:rPr>
          <w:b/>
          <w:sz w:val="22"/>
          <w:szCs w:val="22"/>
        </w:rPr>
        <w:t>поставки продукции</w:t>
      </w:r>
      <w:bookmarkEnd w:id="21"/>
      <w:r>
        <w:rPr>
          <w:b/>
          <w:sz w:val="22"/>
          <w:szCs w:val="22"/>
        </w:rPr>
        <w:t xml:space="preserve">. </w:t>
      </w:r>
    </w:p>
    <w:tbl>
      <w:tblPr>
        <w:tblW w:w="10440" w:type="dxa"/>
        <w:jc w:val="left"/>
        <w:tblInd w:w="-2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44"/>
        <w:gridCol w:w="3528"/>
        <w:gridCol w:w="2768"/>
        <w:gridCol w:w="3299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26" w:name="_Toc46743510"/>
            <w:r>
              <w:rPr>
                <w:b/>
                <w:szCs w:val="22"/>
              </w:rPr>
              <w:t>4</w:t>
            </w:r>
            <w:bookmarkEnd w:id="26"/>
          </w:p>
        </w:tc>
      </w:tr>
      <w:tr>
        <w:trPr>
          <w:trHeight w:val="1382" w:hRule="atLeast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/>
            </w:pPr>
            <w:r>
              <w:rPr>
                <w:sz w:val="22"/>
                <w:szCs w:val="22"/>
              </w:rPr>
              <w:t>ОКПД2 23.64.10.110 Поставка сухих смесей ремонтных и гидроизоляционного материала на Усть — Среднеканскую ГЭС для нужд Башкирского филиала.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 но не ранее 01.04.2027*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 31.08.2027*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47" w:hRule="atLeast"/>
        </w:trPr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*Поставка по первой заявке осуществляется не ранее 01.04.2027г. Срок обусловлен отсутствием персонала АО «Гидроремонт-ВКК» на площадке строительства Усть-Среднеканской ГЭС для разгрузки поступаемой продукции ранее 01.04.202</w:t>
            </w:r>
            <w:r>
              <w:rPr>
                <w:sz w:val="22"/>
                <w:szCs w:val="22"/>
                <w:shd w:fill="FFFFFF" w:val="clear"/>
              </w:rPr>
              <w:t>7</w:t>
            </w:r>
            <w:r>
              <w:rPr>
                <w:sz w:val="22"/>
                <w:szCs w:val="22"/>
                <w:shd w:fill="FFFFFF" w:val="clear"/>
              </w:rPr>
              <w:t>г. Сроки начала выполнения работ по договору 574-РЕМ от 05.08.2025 с 01.05.2026 г.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Ориентировочное кол-во заявок — 10 шт. Срок поставки — 80 календарных дней с даты направления Заявки Поставщику.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27" w:name="__RefHeading___Toc8355_2788779144"/>
      <w:bookmarkStart w:id="28" w:name="_Toc51339698"/>
      <w:bookmarkStart w:id="29" w:name="_Toc75446581"/>
      <w:bookmarkStart w:id="30" w:name="_Toc46743511"/>
      <w:bookmarkStart w:id="31" w:name="_Toc547856221"/>
      <w:bookmarkEnd w:id="27"/>
      <w:bookmarkEnd w:id="31"/>
      <w:r>
        <w:rPr>
          <w:b/>
          <w:sz w:val="22"/>
          <w:szCs w:val="22"/>
        </w:rPr>
        <w:t xml:space="preserve">Требования к </w:t>
      </w:r>
      <w:bookmarkEnd w:id="30"/>
      <w:r>
        <w:rPr>
          <w:b/>
          <w:sz w:val="22"/>
          <w:szCs w:val="22"/>
        </w:rPr>
        <w:t>качеству продукции</w:t>
      </w:r>
      <w:bookmarkEnd w:id="29"/>
    </w:p>
    <w:p>
      <w:pPr>
        <w:pStyle w:val="Heading1"/>
        <w:numPr>
          <w:ilvl w:val="0"/>
        </w:numPr>
        <w:ind w:left="0" w:hanging="0"/>
        <w:rPr>
          <w:sz w:val="22"/>
          <w:szCs w:val="22"/>
        </w:rPr>
      </w:pPr>
      <w:bookmarkStart w:id="32" w:name="__RefHeading___Toc8357_2788779144"/>
      <w:bookmarkStart w:id="33" w:name="_Toc75446582"/>
      <w:bookmarkEnd w:id="32"/>
      <w:r>
        <w:rPr>
          <w:b/>
          <w:sz w:val="22"/>
          <w:szCs w:val="22"/>
        </w:rPr>
        <w:t>Таблица 3. Требования к продукции</w:t>
      </w:r>
      <w:bookmarkEnd w:id="33"/>
      <w:r>
        <w:rPr>
          <w:b/>
          <w:sz w:val="22"/>
          <w:szCs w:val="22"/>
        </w:rPr>
        <w:t xml:space="preserve"> </w:t>
      </w:r>
      <w:bookmarkEnd w:id="28"/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Наименование продукции (позиция №1-4 Таблицы 1.1. «Перечень и объем закупаемой продукции»): </w:t>
      </w:r>
      <w:r>
        <w:rPr>
          <w:b w:val="false"/>
          <w:bCs w:val="false"/>
          <w:iCs/>
          <w:sz w:val="22"/>
          <w:szCs w:val="22"/>
        </w:rPr>
        <w:t>ОКПД2 23.64.10.110 Поставка сухих смесей ремонтных и гидроизоляционного материала на Усть — Среднеканскую ГЭС для нужд Башкирского филиала.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670" w:type="dxa"/>
        <w:jc w:val="center"/>
        <w:tblInd w:w="0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4a0" w:noHBand="0" w:noVBand="1" w:firstColumn="1" w:lastRow="0" w:lastColumn="0" w:firstRow="1"/>
      </w:tblPr>
      <w:tblGrid>
        <w:gridCol w:w="592"/>
        <w:gridCol w:w="1888"/>
        <w:gridCol w:w="3289"/>
        <w:gridCol w:w="2611"/>
        <w:gridCol w:w="3147"/>
        <w:gridCol w:w="3142"/>
      </w:tblGrid>
      <w:tr>
        <w:trPr>
          <w:tblHeader w:val="true"/>
          <w:trHeight w:val="20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  <w:trHeight w:val="20" w:hRule="atLeast"/>
        </w:trPr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  <w:lang w:val="en-US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1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 xml:space="preserve">Состав антикоррозийный однокомпонентный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Марка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Mapefer 1K 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Консистенция: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порошок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Максимальный размер заполнителя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0,5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Содержание твёрдых сухих веществ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(EN 480-8) (%):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100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Консистенция смеси: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тиксотропная паста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Плотность раствора (кг/м 3 ):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1950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рН смеси: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&gt;12,5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Температура нанесения: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От +5°С до +35°С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Жизнеспособность смеси: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примерно 1 час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Время выдержки перед нанесением второгослоя: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примерно 2 часа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Время выдержки перед нанесением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строительного раствора: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6-24 часов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Минимальная толщина Mapefer 1K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 мм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Адгезионная прочность к бетону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(МС 0,40) в соответствии с EN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1766 (МПа):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2,0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Стойкость к скольжению арма-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туры: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- нагрузка, приводящая к сдвигу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в 0,1 мм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Пройденный тест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Стойкость к коррозии: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- 10 циклов конденсации в воде;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- 10 циклов в диоксиде серы в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соответствии с EN ISO 6988;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- 5 дней в солевом тумане в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соответствии с EN 60068-2-11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Пройденный тест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855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Смесь бетонная сухая безусадочная быстротвердеющая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Марка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 xml:space="preserve">Mapegrout Hi-Flow 10 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2.1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Класс в соответствии с ГОСТ Р 56378 и EN 1504-3: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R4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2.2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Насыпная плотность (кг/м 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1500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84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2.3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Максимальная фракция заполнителя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10,0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578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Содержание твердых сухих веществ (%):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2.5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Содержание ионов хлорида (минимальные требования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≤ </w:t>
            </w:r>
            <w:r>
              <w:rPr>
                <w:color w:val="000000"/>
                <w:sz w:val="22"/>
                <w:szCs w:val="22"/>
                <w:shd w:fill="FFFFFF" w:val="clear"/>
              </w:rPr>
              <w:t>0,05% в соответствии с EN 1015-17) (%):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≤ </w:t>
            </w:r>
            <w:r>
              <w:rPr>
                <w:color w:val="000000"/>
                <w:sz w:val="22"/>
                <w:szCs w:val="22"/>
                <w:shd w:fill="FFFFFF" w:val="clear"/>
              </w:rPr>
              <w:t>0,05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2.6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Консистенция раствора: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текучая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2.7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Средняя плотность раствора (кг/м ):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2400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2.8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рН раствора: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>&gt;12,5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2.9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Подвижность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210-260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2.10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Температура применения: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от +5°С до +35°С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  <w:lang w:eastAsia="x-none"/>
              </w:rPr>
              <w:t>2.11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Сохраняемость подвижности (мин):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color w:val="000000"/>
                <w:sz w:val="22"/>
                <w:szCs w:val="22"/>
                <w:shd w:fill="FFFFFF" w:val="clear"/>
              </w:rPr>
              <w:t>60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2.12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Предел прочности на сжатие (МПа):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75 (через 28 дней)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2.13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Предел прочности на растяжение при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изгибе (МПа):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8 (через 28 дней)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Модуль упругости при сжатии (ГПа):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25 (через 28 дней)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2.15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Прочность сцепления с основанием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(основание МС 0,4 - соотношение В/Ц =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0,40) в соответствии с EN 1766 (MПa):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 2 (через 28 дней)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2.16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Долговечность адгезионного соединения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контактной зоны после циклов воздей-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ствия в соответствии с EN 1542 (MПa):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sz w:val="22"/>
                <w:szCs w:val="22"/>
                <w:shd w:fill="FFFFFF" w:val="clear"/>
              </w:rPr>
              <w:t>замораживание/оттаивание в солях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&gt;2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2.17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Долговечность адгезионного соединения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контактной зоны после циклов воздей-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ствия в соответствии с EN 1542 (MПa):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sz w:val="22"/>
                <w:szCs w:val="22"/>
                <w:shd w:fill="FFFFFF" w:val="clear"/>
              </w:rPr>
              <w:t>тепловой удар – эффект «грозового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ливня»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&gt;2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2.18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Долговечность адгезионного соединения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контактной зоны после циклов воздей-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ствия в соответствии с EN 1542 (MПa):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– </w:t>
            </w:r>
            <w:r>
              <w:rPr>
                <w:sz w:val="22"/>
                <w:szCs w:val="22"/>
                <w:shd w:fill="FFFFFF" w:val="clear"/>
              </w:rPr>
              <w:t>замораживание/оттаивание на воздухе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&gt;2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2.19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Водопоглощение при капиллярном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(кг/м²ч ½ 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&lt; 0,2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2.20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Стойкость к карбонизации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(проницаемость CO₂, выраженная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глубиной карбонизации):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Пройденный тест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Стойкость к карбонизации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(проницаемость CO₂, выраженная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коэффициентом диффузии):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Пройденный тест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94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2.22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Марка по морозостойкости для бетонов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дорожных и аэродромных покрытий в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возрасте 28 дней, не ниже: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F 2 300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2.23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Марка по водонепроницаемости в воз-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расте 28 дней, не ниже: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W 20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Огнестойкость: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А1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hd w:val="clear" w:color="auto" w:fill="FFFFFF"/>
              <w:ind w:left="737" w:right="-113" w:hanging="737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2.25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Класс пожарной опасности: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НГ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ind w:left="737" w:right="-57" w:hanging="6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Осмотический цементный раствор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Марка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 xml:space="preserve">Planiseal 88 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Консистенция: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порошок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Максимальный размер заполнителя (мм):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0,5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Насыпная плотность (г/см 3 ):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1 300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Сухой остаток (%):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100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Консистенция раствора: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текучий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Плотность раствора (кг/м 3 ):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1 850 –2 050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Температура нанесения: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от +5°С до +35°С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Температура эксплуатации: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от -30°С до +90°С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Жизнеспособность раствора: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примерно 1 час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Нанесение следующего слоя: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через 5 часов, но не позднее 24 часов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Время выдержки перед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вводом в эксплуатацию: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7 дней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(МПа):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 25 (через 28 дн.)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изгибе (МПа):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 6,0 (через 28 дн.)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с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бетонным основанием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(МПа):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&gt; 2 (через 28 дн.)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Непроницаемость,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выраженная каккоэффици-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ент проницаемости свобод-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ной воды [кг/м 2 •ч 0,5 ]: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W&lt; 0,05 Класс III (низ-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кая проницаемость)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в соотв. EN 1062-1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Водопоглощение, %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2,3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прямом давлении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воды: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через 28 дней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W14 (через 28 дн.)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обратном давлении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воды: 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W8 (через 28 дн.)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 покрытия,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циклы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300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Паропроницаемость - эк-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вивалент толщины воздуха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d (м):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S d &lt; 1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Класс I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(паропроницаемый)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466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Огнестойкость: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Е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ListParagraph"/>
              <w:widowControl w:val="false"/>
              <w:ind w:left="737" w:right="-57" w:hanging="7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Сухая смесь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Марка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>MAPEGROUT</w:t>
            </w:r>
            <w:r>
              <w:rPr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>HF</w:t>
            </w:r>
            <w:r>
              <w:rPr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>W</w:t>
            </w:r>
            <w:r>
              <w:rPr>
                <w:color w:val="000000"/>
                <w:sz w:val="22"/>
                <w:szCs w:val="22"/>
                <w:shd w:fill="FFFFFF" w:val="clear"/>
              </w:rPr>
              <w:t xml:space="preserve"> 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Тип: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CC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Консистенция: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val="en-US"/>
              </w:rPr>
              <w:t>порошок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Максимальный размер заполнителя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val="en-US"/>
              </w:rPr>
              <w:t>1,0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Насыпная плотность (кг/м³):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val="en-US"/>
              </w:rPr>
              <w:t>около 1300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Содержание сухих твердых веществ (%):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val="en-US"/>
              </w:rPr>
              <w:t>100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Содержание хлор-ионов EN 1015-7 (%):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 xml:space="preserve">≤ </w:t>
            </w:r>
            <w:r>
              <w:rPr>
                <w:color w:val="000000"/>
                <w:sz w:val="22"/>
                <w:szCs w:val="22"/>
                <w:shd w:fill="FFFFFF" w:val="clear"/>
                <w:lang w:val="en-US"/>
              </w:rPr>
              <w:t>0,05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Консистенция раствора: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текучая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Плотность смеси (кг/м³):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прибл. 2 200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pH смеси: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&gt; 12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Подвижность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210-250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Температура нанесения: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от -10°С до +15°С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Сохраняемость подвижности: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более 30 минут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Предел прочности на сжатие (МПа)* после 28 дней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40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Предел прочности на растяжение при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изгибе (МПа)* после 28 дней 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8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521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Перемещение арматурного стержня –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при действии выдерживающей нагрузки 75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кН (мм):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&lt; 0,1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Прочность сцепления с основанием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(основание МС 0,4 - соотношение В/Ц =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0,40) в соответствии с EN 1766 (MПa):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 xml:space="preserve">≥ </w:t>
            </w:r>
            <w:r>
              <w:rPr>
                <w:sz w:val="22"/>
                <w:szCs w:val="22"/>
                <w:shd w:fill="FFFFFF" w:val="clear"/>
              </w:rPr>
              <w:t>2 (через 28 дней)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Марка по морозостойкости в возрасте 28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суток, не ниже: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F1 300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Марка по водонепроницаемости, в возрасте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28 суток, не ниже: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W20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Капиллярное водопоглощение (кг/м²∙ч 0,5 ):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&lt; 0,2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Огнестойкость: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A1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Класс пожарной опасности: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НГ</w:t>
            </w:r>
          </w:p>
        </w:tc>
        <w:tc>
          <w:tcPr>
            <w:tcW w:w="3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53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качеству продукции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5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2.1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новизне поставляемого товара</w:t>
            </w:r>
          </w:p>
        </w:tc>
        <w:tc>
          <w:tcPr>
            <w:tcW w:w="5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быть новой, ранее не использованной.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737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7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3.1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5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3.2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</w:t>
            </w:r>
          </w:p>
        </w:tc>
        <w:tc>
          <w:tcPr>
            <w:tcW w:w="5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Антикоррозионный состав Mapefer 1K упаковываются в пакеты из многослойной пленки, состоящей из слоя экструдированного ориентированного полипропилена, слоя полиэстера с алюминиевым напылением и слоя полиэтилена. Масса упаковки — 5 кг (отклонение от массы не более 1%)</w:t>
              <w:br/>
              <w:t>Mapegrout Hi Flow 10, Mapegrout HF W, Planiseal 88  упаковываются в многослойные бумажные мешки с дополнительным полиэтиленовым слоем между двумя внутренними слоями крафт-бумаги по ГОСТ 2226. Масса упаковочной единицы - 25 кг. (отклонение от массы не более 1%)</w:t>
            </w:r>
          </w:p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8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3.3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Приемка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7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18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хранения Продукции, 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  <w:tc>
          <w:tcPr>
            <w:tcW w:w="5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both"/>
              <w:rPr/>
            </w:pPr>
            <w:r>
              <w:rPr>
                <w:color w:val="000000"/>
                <w:sz w:val="22"/>
                <w:szCs w:val="22"/>
                <w:lang w:eastAsia="x-none"/>
              </w:rPr>
              <w:t>2/3 (двух третей) от общего гарантийного срока хранения продукции, исчисл</w:t>
            </w:r>
            <w:r>
              <w:rPr>
                <w:color w:val="000000"/>
                <w:sz w:val="22"/>
                <w:szCs w:val="22"/>
                <w:shd w:fill="FFFFFF" w:val="clear"/>
                <w:lang w:eastAsia="x-none"/>
              </w:rPr>
              <w:t xml:space="preserve">яемого </w:t>
            </w:r>
            <w:r>
              <w:rPr>
                <w:color w:val="000000"/>
                <w:sz w:val="22"/>
                <w:szCs w:val="22"/>
                <w:lang w:eastAsia="x-none"/>
              </w:rPr>
              <w:t>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Общий гарантийный срок хранения Продукции должен составлять не менее </w:t>
            </w:r>
            <w:r>
              <w:rPr>
                <w:color w:val="000000"/>
                <w:sz w:val="22"/>
                <w:szCs w:val="22"/>
                <w:lang w:eastAsia="x-none"/>
              </w:rPr>
              <w:t>12 (двенадцать) месяцев, если более длительный срок не установлен производителем (изготовителем) Продукции.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5.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5.1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Документ о качестве продукции (паспорт)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Документы на русском языке (декларация соответствия и сертификат качества, паспорт на продукцию) предоставляются при поставке, с указанием: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- производителя и поставщика;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- вид материала и условные обозначения;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- объем материала в партии;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- дата и время изготовления;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- нормируемые показатели;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- отметки о проверке ОТК.</w:t>
            </w:r>
          </w:p>
        </w:tc>
        <w:tc>
          <w:tcPr>
            <w:tcW w:w="3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2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992" w:gutter="0" w:header="680" w:top="851" w:footer="0" w:bottom="113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</w:numPr>
        <w:ind w:left="0" w:hanging="0"/>
        <w:rPr>
          <w:sz w:val="22"/>
          <w:szCs w:val="22"/>
        </w:rPr>
      </w:pPr>
      <w:bookmarkStart w:id="34" w:name="__RefHeading___Toc8359_2788779144"/>
      <w:bookmarkEnd w:id="34"/>
      <w:r>
        <w:rPr>
          <w:b/>
          <w:sz w:val="22"/>
          <w:szCs w:val="22"/>
          <w:shd w:fill="FFFFFF" w:val="clear"/>
        </w:rPr>
        <w:t xml:space="preserve">3. </w:t>
      </w:r>
      <w:r>
        <w:rPr>
          <w:rFonts w:eastAsia="Times New Roman"/>
          <w:b/>
          <w:sz w:val="22"/>
          <w:szCs w:val="22"/>
          <w:shd w:fill="FFFFFF" w:val="clear"/>
          <w:lang w:eastAsia="ru-RU"/>
        </w:rPr>
        <w:t xml:space="preserve">Требования </w:t>
      </w:r>
      <w:r>
        <w:rPr>
          <w:b/>
          <w:sz w:val="22"/>
          <w:szCs w:val="22"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35" w:name="_Hlk88325985"/>
      <w:r>
        <w:rPr>
          <w:sz w:val="22"/>
          <w:szCs w:val="22"/>
          <w:shd w:fill="FFFFFF" w:val="clear"/>
          <w:lang w:eastAsia="x-none"/>
        </w:rPr>
        <w:t>(с учетом прилагаемой к ней инструкции по заполнению)</w:t>
      </w:r>
      <w:bookmarkEnd w:id="35"/>
      <w:r>
        <w:rPr>
          <w:sz w:val="22"/>
          <w:szCs w:val="22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  <w:lang w:eastAsia="x-none"/>
        </w:rPr>
        <w:t xml:space="preserve">3.2. </w:t>
      </w:r>
      <w:bookmarkStart w:id="36" w:name="_Hlk88327292"/>
      <w:r>
        <w:rPr>
          <w:sz w:val="22"/>
          <w:szCs w:val="22"/>
          <w:shd w:fill="FFFFFF" w:val="clear"/>
          <w:lang w:eastAsia="x-none"/>
        </w:rPr>
        <w:t>Дополнительные документы по ценообразованию</w:t>
      </w:r>
      <w:bookmarkEnd w:id="36"/>
      <w:r>
        <w:rPr>
          <w:sz w:val="22"/>
          <w:szCs w:val="22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284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tabs>
        <w:tab w:val="clear" w:pos="708"/>
        <w:tab w:val="left" w:pos="741" w:leader="none"/>
      </w:tabs>
      <w:spacing w:before="120" w:after="60"/>
      <w:ind w:left="397" w:hanging="51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284" w:hanging="510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3" w:customStyle="1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 w:customStyle="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2"/>
    <w:qFormat/>
    <w:rPr>
      <w:sz w:val="28"/>
      <w:shd w:fill="FFFFFF" w:val="clear"/>
    </w:rPr>
  </w:style>
  <w:style w:type="character" w:styleId="Style15" w:customStyle="1">
    <w:name w:val="Символ нумерации"/>
    <w:qFormat/>
    <w:rPr/>
  </w:style>
  <w:style w:type="character" w:styleId="Ecattext" w:customStyle="1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5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5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pPr>
      <w:keepLines/>
      <w:tabs>
        <w:tab w:val="clear" w:pos="741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37" w:customStyle="1">
    <w:name w:val="Абзац списка3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 w:customStyle="1">
    <w:name w:val="Основной текст1"/>
    <w:basedOn w:val="Normal"/>
    <w:link w:val="Style14"/>
    <w:qFormat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4739</TotalTime>
  <Application>AlterOffice/3.4.0.9$Linux_X86_64 LibreOffice_project/b8daf9e823b1a5463a2f48435ddc2e8696e7d4fc</Application>
  <AppVersion>15.0000</AppVersion>
  <Pages>15</Pages>
  <Words>1649</Words>
  <Characters>9802</Characters>
  <CharactersWithSpaces>11012</CharactersWithSpaces>
  <Paragraphs>458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2025-01-29T05:03:00Z</dcterms:created>
  <dc:creator>Быстров Олег Геннадьевич</dc:creator>
  <dc:description/>
  <dc:language>ru-RU</dc:language>
  <cp:lastModifiedBy/>
  <cp:lastPrinted>2023-11-09T07:11:00Z</cp:lastPrinted>
  <dcterms:modified xsi:type="dcterms:W3CDTF">2026-06-23T14:59:51Z</dcterms:modified>
  <cp:revision>124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