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Договор № 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Магадан</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w:t>
      </w:r>
      <w:r>
        <w:rPr>
          <w:bCs/>
          <w:lang w:val="ru-RU"/>
        </w:rPr>
        <w:t>__</w:t>
      </w:r>
      <w:r>
        <w:rPr>
          <w:bCs/>
          <w:lang w:val="ru-RU"/>
        </w:rPr>
        <w:t xml:space="preserve"> г.</w:t>
      </w:r>
    </w:p>
    <w:p>
      <w:pPr>
        <w:pStyle w:val="Normal"/>
        <w:jc w:val="both"/>
        <w:rPr>
          <w:bCs/>
          <w:lang w:val="ru-RU"/>
        </w:rPr>
      </w:pPr>
      <w:r>
        <w:rPr>
          <w:bCs/>
          <w:lang w:val="ru-RU"/>
        </w:rPr>
      </w:r>
    </w:p>
    <w:p>
      <w:pPr>
        <w:pStyle w:val="BodyText3"/>
        <w:spacing w:before="0" w:after="0"/>
        <w:ind w:firstLine="708"/>
        <w:jc w:val="both"/>
        <w:rPr>
          <w:lang w:val="ru-RU"/>
        </w:rPr>
      </w:pPr>
      <w:r>
        <w:rPr>
          <w:b/>
          <w:sz w:val="24"/>
          <w:szCs w:val="24"/>
          <w:lang w:val="ru-RU"/>
        </w:rPr>
        <w:t>Акционерное общество «Гидроремонт-ВКК» (АО «Гидроремонт-ВКК») (АО «Гидроремонт-ВКК»)</w:t>
      </w:r>
      <w:r>
        <w:rPr>
          <w:sz w:val="24"/>
          <w:szCs w:val="24"/>
          <w:lang w:val="ru-RU"/>
        </w:rPr>
        <w:t xml:space="preserve"> (далее – «Заказчик»), в лице _________________, действующего на основании ______________, с одной стороны, и </w:t>
      </w:r>
    </w:p>
    <w:p>
      <w:pPr>
        <w:pStyle w:val="BodyText3"/>
        <w:spacing w:before="0" w:after="0"/>
        <w:ind w:firstLine="708"/>
        <w:jc w:val="both"/>
        <w:rPr>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проведенного Заказчиком запроса котировок в электронной форме по лоту №</w:t>
      </w:r>
      <w:r>
        <w:rPr>
          <w:color w:val="000000"/>
          <w:sz w:val="22"/>
          <w:szCs w:val="22"/>
          <w:shd w:fill="FFFFFF" w:val="clear"/>
          <w:lang w:val="ru-RU"/>
        </w:rPr>
        <w:t>__________________________</w:t>
      </w:r>
      <w:r>
        <w:rPr>
          <w:bCs/>
          <w:sz w:val="24"/>
          <w:szCs w:val="24"/>
          <w:lang w:val="ru-RU"/>
        </w:rPr>
        <w:t>,</w:t>
      </w:r>
      <w:r>
        <w:rPr>
          <w:sz w:val="24"/>
          <w:szCs w:val="24"/>
          <w:lang w:val="ru-RU"/>
        </w:rPr>
        <w:t xml:space="preserve"> и</w:t>
      </w:r>
      <w:r>
        <w:rPr>
          <w:sz w:val="24"/>
          <w:szCs w:val="24"/>
          <w:lang w:val="en-US"/>
        </w:rPr>
        <w:t> </w:t>
      </w:r>
      <w:r>
        <w:rPr>
          <w:bCs/>
          <w:sz w:val="24"/>
          <w:szCs w:val="24"/>
          <w:lang w:val="ru-RU"/>
        </w:rPr>
        <w:t>на</w:t>
      </w:r>
      <w:r>
        <w:rPr>
          <w:bCs/>
          <w:sz w:val="24"/>
          <w:szCs w:val="24"/>
          <w:lang w:val="en-US"/>
        </w:rPr>
        <w:t> </w:t>
      </w:r>
      <w:r>
        <w:rPr>
          <w:bCs/>
          <w:sz w:val="24"/>
          <w:szCs w:val="24"/>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lang w:val="ru-RU"/>
        </w:rPr>
      </w:pPr>
      <w:r>
        <w:rPr>
          <w:rFonts w:ascii="Times New Roman" w:hAnsi="Times New Roman"/>
          <w:color w:val="000000"/>
          <w:lang w:val="ru-RU" w:eastAsia="en-US"/>
        </w:rPr>
        <w:t>«Применимое право»</w:t>
      </w:r>
      <w:r>
        <w:rPr>
          <w:rFonts w:ascii="Times New Roman" w:hAnsi="Times New Roman"/>
          <w:b w:val="false"/>
          <w:color w:val="00000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lang w:val="ru-RU"/>
        </w:rPr>
      </w:pPr>
      <w:r>
        <w:rPr>
          <w:rFonts w:ascii="Times New Roman" w:hAnsi="Times New Roman"/>
          <w:color w:val="000000"/>
          <w:lang w:val="ru-RU" w:eastAsia="en-US"/>
        </w:rPr>
        <w:t>«Цена Договора»</w:t>
      </w:r>
      <w:r>
        <w:rPr>
          <w:rFonts w:ascii="Times New Roman" w:hAnsi="Times New Roman"/>
          <w:b w:val="false"/>
          <w:color w:val="000000"/>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Техническими требованиями (Приложение № 1 к Договору) оказать Заказчику в </w:t>
      </w:r>
      <w:r>
        <w:rPr>
          <w:color w:val="000000"/>
        </w:rPr>
        <w:t xml:space="preserve">области лабораторных испытаний </w:t>
      </w:r>
      <w:r>
        <w:rPr>
          <w:rStyle w:val="Strong"/>
          <w:b w:val="false"/>
          <w:bCs w:val="false"/>
          <w:color w:val="000000"/>
        </w:rPr>
        <w:t>строительных конструк</w:t>
      </w:r>
      <w:bookmarkStart w:id="2" w:name="_GoBack"/>
      <w:bookmarkEnd w:id="2"/>
      <w:r>
        <w:rPr>
          <w:rStyle w:val="Strong"/>
          <w:b w:val="false"/>
          <w:bCs w:val="false"/>
          <w:color w:val="000000"/>
        </w:rPr>
        <w:t>ций и материалов</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 </w:t>
      </w: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Башкирского филиала</w:t>
      </w:r>
      <w:r>
        <w:rPr>
          <w:bCs/>
          <w:lang w:val="ru-RU"/>
        </w:rPr>
        <w:t xml:space="preserve"> АО «Гидроремонт-ВКК» в г. Уфа</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lang w:val="ru-RU"/>
        </w:rPr>
      </w:pPr>
      <w:r>
        <w:rPr>
          <w:lang w:val="ru-RU"/>
        </w:rPr>
        <w:t xml:space="preserve">Место оказания Услуг: </w:t>
      </w:r>
      <w:r>
        <w:rPr>
          <w:bCs/>
          <w:color w:val="000000"/>
          <w:szCs w:val="28"/>
          <w:lang w:val="ru-RU"/>
        </w:rPr>
        <w:t>Магаданская область, Среднеканский район, Усть-Среднеканская ГЭС</w:t>
      </w:r>
      <w:r>
        <w:rPr>
          <w:lang w:val="ru-RU"/>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lang w:val="ru-RU"/>
        </w:rPr>
      </w:pPr>
      <w:r>
        <w:rPr>
          <w:bCs/>
          <w:lang w:val="ru-RU"/>
        </w:rPr>
        <w:t xml:space="preserve">Начало оказания Услуг: </w:t>
      </w:r>
      <w:r>
        <w:rPr>
          <w:bCs/>
          <w:lang w:val="en-US"/>
        </w:rPr>
        <w:t>_____________</w:t>
      </w:r>
      <w:r>
        <w:rPr>
          <w:bCs/>
          <w:lang w:val="ru-RU"/>
        </w:rPr>
        <w:t>.</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lang w:val="ru-RU"/>
        </w:rPr>
      </w:pPr>
      <w:r>
        <w:rPr>
          <w:bCs/>
          <w:lang w:val="ru-RU"/>
        </w:rPr>
        <w:t xml:space="preserve">Окончание оказания Услуг: </w:t>
      </w:r>
      <w:r>
        <w:rPr>
          <w:bCs/>
          <w:lang w:val="en-US"/>
        </w:rPr>
        <w:t>__________</w:t>
      </w:r>
      <w:r>
        <w:rPr>
          <w:bCs/>
          <w:lang w:val="ru-RU"/>
        </w:rPr>
        <w:t>.</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lang w:val="ru-RU"/>
        </w:rPr>
      </w:pPr>
      <w:r>
        <w:rPr>
          <w:bCs/>
          <w:shd w:fill="FFFFFF" w:val="clear"/>
          <w:lang w:val="ru-RU"/>
        </w:rPr>
        <w:t>Срок исполнения заявки 3 рабочих дня с даты направления.</w:t>
      </w:r>
      <w:r>
        <w:rPr>
          <w:bCs/>
          <w:lang w:val="ru-RU"/>
        </w:rPr>
        <w:t xml:space="preserve"> </w:t>
      </w:r>
    </w:p>
    <w:p>
      <w:pPr>
        <w:pStyle w:val="Normal"/>
        <w:widowControl w:val="false"/>
        <w:shd w:val="clear" w:color="auto" w:fill="FFFFFF"/>
        <w:tabs>
          <w:tab w:val="clear" w:pos="709"/>
          <w:tab w:val="left" w:pos="1134" w:leader="none"/>
          <w:tab w:val="left" w:pos="1418" w:leader="none"/>
        </w:tabs>
        <w:jc w:val="both"/>
        <w:rPr>
          <w:bCs/>
          <w:lang w:val="ru-RU"/>
        </w:rPr>
      </w:pPr>
      <w:r>
        <w:rPr>
          <w:bCs/>
          <w:lang w:val="ru-RU"/>
        </w:rPr>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3"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Технических требований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5" w:name="_Ref361319348"/>
      <w:bookmarkEnd w:id="4"/>
      <w:r>
        <w:rPr/>
        <w:t>Вносить изменения в Технические требования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pPr>
      <w:r>
        <w:rPr/>
        <w:t>Оказать Услуги в соответствии с Техническими требованиями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7"/>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left" w:pos="709" w:leader="none"/>
        </w:tabs>
        <w:ind w:left="0" w:hanging="0"/>
        <w:jc w:val="both"/>
        <w:rPr/>
      </w:pPr>
      <w:r>
        <w:rPr/>
      </w:r>
    </w:p>
    <w:p>
      <w:pPr>
        <w:pStyle w:val="ListParagraph"/>
        <w:numPr>
          <w:ilvl w:val="0"/>
          <w:numId w:val="12"/>
        </w:numPr>
        <w:shd w:val="clear" w:color="auto" w:fill="FFFFFF"/>
        <w:tabs>
          <w:tab w:val="clear" w:pos="709"/>
          <w:tab w:val="left" w:pos="284" w:leader="none"/>
        </w:tabs>
        <w:ind w:left="0" w:hanging="0"/>
        <w:jc w:val="center"/>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3 (трех) рабочих дней до предполагаемой даты начала оказания Услуг направляет Исполнителю Заявку по электронной почте на адрес ___________________________.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Техническими требованиями (Приложение № 1 к Договору).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pPr>
      <w:bookmarkStart w:id="8"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в соответствии с Расчетом стоимости Услуг (Приложение № 3 к Договору)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30 (тридцати) календарных дней/7 (семи) рабочих дней</w:t>
      </w:r>
      <w:r>
        <w:rPr>
          <w:rStyle w:val="FootnoteReference"/>
        </w:rPr>
        <w:footnoteReference w:id="2"/>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numPr>
          <w:ilvl w:val="1"/>
          <w:numId w:val="13"/>
        </w:numPr>
        <w:tabs>
          <w:tab w:val="clear" w:pos="709"/>
          <w:tab w:val="left" w:pos="1134" w:leader="none"/>
        </w:tabs>
        <w:ind w:left="0" w:firstLine="709"/>
        <w:jc w:val="both"/>
        <w:rPr>
          <w:lang w:val="ru-RU"/>
        </w:rPr>
      </w:pPr>
      <w:r>
        <w:rPr>
          <w:bCs/>
          <w:lang w:val="ru-RU"/>
        </w:rPr>
        <w:t>В случае нарушения Испольнителем обязательств по оказанию услуг (этапа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p>
    <w:p>
      <w:pPr>
        <w:pStyle w:val="Normal"/>
        <w:tabs>
          <w:tab w:val="clear" w:pos="709"/>
          <w:tab w:val="left" w:pos="1701" w:leader="none"/>
        </w:tabs>
        <w:jc w:val="both"/>
        <w:rPr>
          <w:lang w:val="ru-RU"/>
        </w:rPr>
      </w:pPr>
      <w:r>
        <w:rPr>
          <w:rFonts w:eastAsia="Calibri"/>
          <w:bCs/>
          <w:lang w:val="ru-RU"/>
        </w:rPr>
        <w:t>- неустойки в размере 0,1 (ноль целых и одна десятая) процента от цены этапа услуг за каждый день просрочки оказания услуг;</w:t>
      </w:r>
    </w:p>
    <w:p>
      <w:pPr>
        <w:pStyle w:val="Normal"/>
        <w:tabs>
          <w:tab w:val="clear" w:pos="709"/>
          <w:tab w:val="left" w:pos="1701" w:leader="none"/>
        </w:tabs>
        <w:jc w:val="both"/>
        <w:rPr>
          <w:lang w:val="ru-RU"/>
        </w:rPr>
      </w:pPr>
      <w:r>
        <w:rPr>
          <w:rFonts w:eastAsia="Calibri"/>
          <w:bCs/>
          <w:lang w:val="ru-RU"/>
        </w:rPr>
        <w:t xml:space="preserve">-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w:t>
      </w:r>
    </w:p>
    <w:p>
      <w:pPr>
        <w:pStyle w:val="Normal"/>
        <w:tabs>
          <w:tab w:val="clear" w:pos="709"/>
          <w:tab w:val="left" w:pos="1701" w:leader="none"/>
        </w:tabs>
        <w:jc w:val="both"/>
        <w:rPr>
          <w:rFonts w:eastAsia="Calibri"/>
          <w:bCs/>
          <w:lang w:val="ru-RU"/>
        </w:rPr>
      </w:pPr>
      <w:r>
        <w:rPr>
          <w:rFonts w:eastAsia="Calibri"/>
          <w:bCs/>
          <w:lang w:val="ru-RU"/>
        </w:rPr>
        <w:t>- 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pPr>
        <w:pStyle w:val="ListParagraph"/>
        <w:numPr>
          <w:ilvl w:val="1"/>
          <w:numId w:val="13"/>
        </w:numPr>
        <w:shd w:val="clear" w:color="auto" w:fill="FFFFFF"/>
        <w:tabs>
          <w:tab w:val="clear" w:pos="709"/>
          <w:tab w:val="left" w:pos="1134"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pPr>
      <w:r>
        <w:rPr>
          <w:bCs/>
        </w:rPr>
        <w:t>бизнес-планы;</w:t>
      </w:r>
    </w:p>
    <w:p>
      <w:pPr>
        <w:pStyle w:val="Normal"/>
        <w:numPr>
          <w:ilvl w:val="0"/>
          <w:numId w:val="4"/>
        </w:numPr>
        <w:tabs>
          <w:tab w:val="clear" w:pos="709"/>
          <w:tab w:val="left" w:pos="1418" w:leader="none"/>
        </w:tabs>
        <w:ind w:left="0" w:firstLine="709"/>
        <w:jc w:val="both"/>
        <w:rPr>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2"/>
        </w:numPr>
        <w:tabs>
          <w:tab w:val="left" w:pos="709" w:leader="none"/>
          <w:tab w:val="left" w:pos="1134" w:leader="none"/>
        </w:tabs>
        <w:ind w:left="0" w:firstLine="709"/>
        <w:jc w:val="both"/>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2"/>
        </w:numPr>
        <w:tabs>
          <w:tab w:val="clear" w:pos="709"/>
          <w:tab w:val="left" w:pos="1134" w:leader="none"/>
        </w:tabs>
        <w:ind w:left="0" w:firstLine="709"/>
        <w:jc w:val="both"/>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2"/>
        </w:numPr>
        <w:tabs>
          <w:tab w:val="clear" w:pos="709"/>
          <w:tab w:val="left" w:pos="1134" w:leader="none"/>
        </w:tabs>
        <w:ind w:left="0" w:firstLine="709"/>
        <w:jc w:val="both"/>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2"/>
        </w:numPr>
        <w:tabs>
          <w:tab w:val="clear" w:pos="709"/>
          <w:tab w:val="left" w:pos="1134" w:leader="none"/>
        </w:tabs>
        <w:ind w:left="0" w:firstLine="709"/>
        <w:jc w:val="both"/>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по месту нахождения Заказчика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2"/>
        </w:numPr>
        <w:shd w:val="clear" w:color="auto" w:fill="FFFFFF"/>
        <w:tabs>
          <w:tab w:val="clear" w:pos="709"/>
          <w:tab w:val="left" w:pos="1134" w:leader="none"/>
        </w:tabs>
        <w:ind w:left="0" w:firstLine="709"/>
        <w:jc w:val="both"/>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2"/>
        </w:numPr>
        <w:snapToGrid w:val="false"/>
        <w:ind w:left="0" w:firstLine="709"/>
        <w:jc w:val="both"/>
        <w:rPr>
          <w:lang w:val="ru-RU"/>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left" w:pos="709" w:leader="none"/>
        </w:tabs>
        <w:ind w:left="0" w:hanging="0"/>
        <w:jc w:val="both"/>
        <w:rPr/>
      </w:pPr>
      <w:r>
        <w:rPr/>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pPr>
      <w:r>
        <w:rPr>
          <w:lang w:val="ru-RU"/>
        </w:rPr>
        <w:t>Приложение № 1 – Технические требования;</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rPr>
      </w:pPr>
      <w:r>
        <w:rPr>
          <w:lang w:val="ru-RU"/>
        </w:rPr>
        <w:t>Приложение № 3 –</w:t>
      </w:r>
      <w:r>
        <w:rPr>
          <w:lang w:val="ru-RU" w:eastAsia="en-US"/>
        </w:rPr>
        <w:t xml:space="preserve"> 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6" w:leader="none"/>
              </w:tabs>
              <w:rPr>
                <w:color w:val="000000"/>
                <w:lang w:val="ru-RU"/>
              </w:rPr>
            </w:pPr>
            <w:r>
              <w:rPr>
                <w:rFonts w:eastAsia="Calibri"/>
                <w:color w:val="000000"/>
                <w:spacing w:val="-5"/>
                <w:lang w:val="ru-RU" w:eastAsia="en-US"/>
              </w:rPr>
              <w:t>АО «Гидроремонт-ВКК»</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Адрес местонахождения:</w:t>
            </w:r>
          </w:p>
          <w:p>
            <w:pPr>
              <w:pStyle w:val="Normal"/>
              <w:widowControl w:val="false"/>
              <w:tabs>
                <w:tab w:val="clear" w:pos="709"/>
                <w:tab w:val="left" w:pos="426" w:leader="none"/>
              </w:tabs>
              <w:rPr>
                <w:color w:val="000000"/>
                <w:lang w:val="ru-RU"/>
              </w:rPr>
            </w:pPr>
            <w:r>
              <w:rPr>
                <w:rFonts w:eastAsia="Calibri"/>
                <w:color w:val="000000"/>
                <w:spacing w:val="-5"/>
                <w:lang w:val="ru-RU" w:eastAsia="en-US"/>
              </w:rPr>
              <w:t>603140, Нижегородская область,</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г. Нижний Новгород, пер Мотальный, д. 8, помещ. ВП 31, офис С1А</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Почтовый адрес:</w:t>
            </w:r>
          </w:p>
          <w:p>
            <w:pPr>
              <w:pStyle w:val="Normal"/>
              <w:widowControl w:val="false"/>
              <w:tabs>
                <w:tab w:val="clear" w:pos="709"/>
                <w:tab w:val="left" w:pos="426" w:leader="none"/>
              </w:tabs>
              <w:rPr>
                <w:color w:val="000000"/>
                <w:lang w:val="ru-RU"/>
              </w:rPr>
            </w:pPr>
            <w:r>
              <w:rPr>
                <w:rFonts w:eastAsia="Calibri"/>
                <w:color w:val="000000"/>
                <w:spacing w:val="-5"/>
                <w:lang w:val="ru-RU" w:eastAsia="en-US"/>
              </w:rPr>
              <w:t>450077, Республика Башкортостан, г. Уфа,</w:t>
            </w:r>
          </w:p>
          <w:p>
            <w:pPr>
              <w:pStyle w:val="Normal"/>
              <w:widowControl w:val="false"/>
              <w:tabs>
                <w:tab w:val="clear" w:pos="709"/>
                <w:tab w:val="left" w:pos="426" w:leader="none"/>
              </w:tabs>
              <w:rPr>
                <w:color w:val="000000"/>
                <w:lang w:val="ru-RU"/>
              </w:rPr>
            </w:pPr>
            <w:r>
              <w:rPr>
                <w:rFonts w:eastAsia="Calibri"/>
                <w:color w:val="000000"/>
                <w:spacing w:val="-5"/>
                <w:lang w:val="ru-RU" w:eastAsia="en-US"/>
              </w:rPr>
              <w:t>ул. Цюрупы, д. 74</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ИНН 6345012488 КПП 027443001</w:t>
            </w:r>
          </w:p>
          <w:p>
            <w:pPr>
              <w:pStyle w:val="Normal"/>
              <w:widowControl w:val="false"/>
              <w:tabs>
                <w:tab w:val="clear" w:pos="709"/>
                <w:tab w:val="left" w:pos="426" w:leader="none"/>
              </w:tabs>
              <w:rPr>
                <w:color w:val="000000"/>
                <w:lang w:val="ru-RU"/>
              </w:rPr>
            </w:pPr>
            <w:r>
              <w:rPr>
                <w:rFonts w:eastAsia="Calibri"/>
                <w:color w:val="000000"/>
                <w:spacing w:val="-5"/>
                <w:lang w:val="ru-RU" w:eastAsia="en-US"/>
              </w:rPr>
              <w:t>Р/с 40702810300000054126</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в Банке ГПБ (АО), г. Москва</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К/с 30101810200000000823</w:t>
            </w:r>
          </w:p>
          <w:p>
            <w:pPr>
              <w:pStyle w:val="Normal"/>
              <w:widowControl w:val="false"/>
              <w:tabs>
                <w:tab w:val="clear" w:pos="709"/>
                <w:tab w:val="left" w:pos="426" w:leader="none"/>
              </w:tabs>
              <w:rPr>
                <w:color w:val="000000"/>
                <w:lang w:val="ru-RU"/>
              </w:rPr>
            </w:pPr>
            <w:r>
              <w:rPr>
                <w:rFonts w:eastAsia="Calibri"/>
                <w:color w:val="000000"/>
                <w:spacing w:val="-5"/>
                <w:lang w:val="ru-RU" w:eastAsia="en-US"/>
              </w:rPr>
              <w:t>БИК 044525823</w:t>
            </w:r>
          </w:p>
          <w:p>
            <w:pPr>
              <w:pStyle w:val="Normal"/>
              <w:widowControl w:val="false"/>
              <w:tabs>
                <w:tab w:val="clear" w:pos="709"/>
                <w:tab w:val="left" w:pos="426" w:leader="none"/>
              </w:tabs>
              <w:rPr>
                <w:color w:val="000000"/>
                <w:lang w:val="ru-RU"/>
              </w:rPr>
            </w:pPr>
            <w:r>
              <w:rPr>
                <w:rFonts w:eastAsia="Calibri"/>
                <w:color w:val="000000"/>
                <w:spacing w:val="-5"/>
                <w:lang w:val="ru-RU" w:eastAsia="en-US"/>
              </w:rPr>
              <w:t>Тел.: +7(347) 246-92-16</w:t>
            </w:r>
          </w:p>
          <w:p>
            <w:pPr>
              <w:pStyle w:val="Normal"/>
              <w:widowControl w:val="false"/>
              <w:tabs>
                <w:tab w:val="clear" w:pos="709"/>
                <w:tab w:val="left" w:pos="426" w:leader="none"/>
              </w:tabs>
              <w:rPr>
                <w:color w:val="000000"/>
                <w:lang w:val="ru-RU"/>
              </w:rPr>
            </w:pPr>
            <w:r>
              <w:rPr>
                <w:rFonts w:eastAsia="Calibri"/>
                <w:b/>
                <w:color w:val="000000"/>
                <w:spacing w:val="-5"/>
                <w:lang w:eastAsia="en-US"/>
              </w:rPr>
              <w:t>E</w:t>
            </w:r>
            <w:r>
              <w:rPr>
                <w:rFonts w:eastAsia="Calibri"/>
                <w:b/>
                <w:color w:val="000000"/>
                <w:spacing w:val="-5"/>
                <w:lang w:val="ru-RU" w:eastAsia="en-US"/>
              </w:rPr>
              <w:t>-</w:t>
            </w:r>
            <w:r>
              <w:rPr>
                <w:rFonts w:eastAsia="Calibri"/>
                <w:b/>
                <w:color w:val="000000"/>
                <w:spacing w:val="-5"/>
                <w:lang w:eastAsia="en-US"/>
              </w:rPr>
              <w:t>mail</w:t>
            </w:r>
            <w:r>
              <w:rPr>
                <w:rFonts w:eastAsia="Calibri"/>
                <w:b/>
                <w:color w:val="000000"/>
                <w:spacing w:val="-5"/>
                <w:lang w:val="ru-RU" w:eastAsia="en-US"/>
              </w:rPr>
              <w:t xml:space="preserve">: </w:t>
            </w:r>
            <w:r>
              <w:rPr>
                <w:rFonts w:eastAsia="Calibri"/>
                <w:b/>
                <w:color w:val="000000"/>
                <w:spacing w:val="-5"/>
                <w:lang w:eastAsia="en-US"/>
              </w:rPr>
              <w:t>Ufa</w:t>
            </w:r>
            <w:r>
              <w:rPr>
                <w:rFonts w:eastAsia="Calibri"/>
                <w:b/>
                <w:color w:val="000000"/>
                <w:spacing w:val="-5"/>
                <w:lang w:val="ru-RU" w:eastAsia="en-US"/>
              </w:rPr>
              <w:t>@</w:t>
            </w:r>
            <w:r>
              <w:rPr>
                <w:rFonts w:eastAsia="Calibri"/>
                <w:b/>
                <w:color w:val="000000"/>
                <w:spacing w:val="-5"/>
                <w:lang w:eastAsia="en-US"/>
              </w:rPr>
              <w:t>rushydro</w:t>
            </w:r>
            <w:r>
              <w:rPr>
                <w:rFonts w:eastAsia="Calibri"/>
                <w:b/>
                <w:color w:val="000000"/>
                <w:spacing w:val="-5"/>
                <w:lang w:val="ru-RU" w:eastAsia="en-US"/>
              </w:rPr>
              <w:t>.</w:t>
            </w:r>
            <w:r>
              <w:rPr>
                <w:rFonts w:eastAsia="Calibri"/>
                <w:b/>
                <w:color w:val="000000"/>
                <w:spacing w:val="-5"/>
                <w:lang w:eastAsia="en-US"/>
              </w:rPr>
              <w:t>ru</w:t>
            </w:r>
          </w:p>
        </w:tc>
        <w:tc>
          <w:tcPr>
            <w:tcW w:w="4643" w:type="dxa"/>
            <w:tcBorders/>
            <w:shd w:color="auto" w:fill="auto" w:val="clear"/>
          </w:tcPr>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pPr>
      <w:r>
        <w:rPr>
          <w:sz w:val="22"/>
          <w:szCs w:val="22"/>
          <w:lang w:val="ru-RU"/>
        </w:rPr>
        <w:t>Приложение № 1</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pPr>
      <w:r>
        <w:rPr>
          <w:b/>
          <w:lang w:val="ru-RU"/>
        </w:rPr>
        <w:t>Технические требования</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pPr>
      <w:r>
        <w:br w:type="page"/>
      </w:r>
      <w:r>
        <w:rPr>
          <w:sz w:val="22"/>
          <w:szCs w:val="22"/>
          <w:lang w:val="ru-RU"/>
        </w:rPr>
        <w:t>Приложение № 2.1</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pPr>
      <w:r>
        <w:rPr>
          <w:b/>
          <w:lang w:val="ru-RU"/>
        </w:rPr>
        <w:t xml:space="preserve">ЗАЯВКА </w:t>
      </w:r>
    </w:p>
    <w:p>
      <w:pPr>
        <w:pStyle w:val="Normal"/>
        <w:tabs>
          <w:tab w:val="clear" w:pos="709"/>
          <w:tab w:val="left" w:pos="2700" w:leader="none"/>
        </w:tabs>
        <w:jc w:val="center"/>
        <w:rPr/>
      </w:pPr>
      <w:r>
        <w:rPr>
          <w:lang w:val="ru-RU"/>
        </w:rPr>
        <w:t xml:space="preserve">на оказание Услуг </w:t>
      </w:r>
    </w:p>
    <w:p>
      <w:pPr>
        <w:pStyle w:val="Normal"/>
        <w:tabs>
          <w:tab w:val="clear" w:pos="709"/>
          <w:tab w:val="left" w:pos="2700" w:leader="none"/>
        </w:tabs>
        <w:jc w:val="center"/>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pPr>
      <w:r>
        <w:rPr/>
        <w:t>Характеристика:</w:t>
        <w:tab/>
      </w:r>
    </w:p>
    <w:p>
      <w:pPr>
        <w:pStyle w:val="ListParagraph"/>
        <w:numPr>
          <w:ilvl w:val="0"/>
          <w:numId w:val="15"/>
        </w:numPr>
        <w:tabs>
          <w:tab w:val="clear" w:pos="709"/>
          <w:tab w:val="left" w:pos="1134" w:leader="none"/>
        </w:tabs>
        <w:ind w:left="0" w:firstLine="709"/>
        <w:rPr/>
      </w:pPr>
      <w:r>
        <w:rPr/>
        <w:t xml:space="preserve">Объем: </w:t>
      </w:r>
    </w:p>
    <w:p>
      <w:pPr>
        <w:pStyle w:val="ListParagraph"/>
        <w:numPr>
          <w:ilvl w:val="0"/>
          <w:numId w:val="15"/>
        </w:numPr>
        <w:tabs>
          <w:tab w:val="clear" w:pos="709"/>
          <w:tab w:val="left" w:pos="1134" w:leader="none"/>
        </w:tabs>
        <w:ind w:left="0" w:firstLine="709"/>
        <w:rPr/>
      </w:pPr>
      <w:r>
        <w:rPr/>
        <w:t>Качество:</w:t>
      </w:r>
    </w:p>
    <w:p>
      <w:pPr>
        <w:pStyle w:val="ListParagraph"/>
        <w:numPr>
          <w:ilvl w:val="0"/>
          <w:numId w:val="15"/>
        </w:numPr>
        <w:tabs>
          <w:tab w:val="clear" w:pos="709"/>
          <w:tab w:val="left" w:pos="1134" w:leader="none"/>
        </w:tabs>
        <w:ind w:left="0" w:firstLine="709"/>
        <w:rPr/>
      </w:pPr>
      <w:r>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pPr>
      <w:r>
        <w:rPr>
          <w:sz w:val="22"/>
          <w:szCs w:val="22"/>
          <w:lang w:val="ru-RU"/>
        </w:rPr>
        <w:t>Приложение № 2.2.</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pPr>
      <w:r>
        <w:rPr>
          <w:b/>
          <w:lang w:val="ru-RU"/>
        </w:rPr>
        <w:t xml:space="preserve">Расчет стоимости Услуг </w:t>
      </w:r>
    </w:p>
    <w:p>
      <w:pPr>
        <w:pStyle w:val="Normal"/>
        <w:tabs>
          <w:tab w:val="clear" w:pos="709"/>
          <w:tab w:val="left" w:pos="0" w:leader="none"/>
        </w:tabs>
        <w:jc w:val="center"/>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2"/>
        <w:gridCol w:w="776"/>
        <w:gridCol w:w="670"/>
        <w:gridCol w:w="1210"/>
        <w:gridCol w:w="2297"/>
        <w:gridCol w:w="1354"/>
        <w:gridCol w:w="2170"/>
        <w:gridCol w:w="651"/>
      </w:tblGrid>
      <w:tr>
        <w:trPr/>
        <w:tc>
          <w:tcPr>
            <w:tcW w:w="1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без учета НДС</w:t>
            </w:r>
          </w:p>
        </w:tc>
        <w:tc>
          <w:tcPr>
            <w:tcW w:w="651" w:type="dxa"/>
            <w:tcBorders/>
          </w:tcPr>
          <w:p>
            <w:pPr>
              <w:pStyle w:val="Normal"/>
              <w:widowControl w:val="false"/>
              <w:rPr>
                <w:lang w:val="ru-RU"/>
              </w:rPr>
            </w:pPr>
            <w:r>
              <w:rPr>
                <w:lang w:val="ru-RU"/>
              </w:rPr>
            </w:r>
          </w:p>
        </w:tc>
      </w:tr>
      <w:tr>
        <w:trPr/>
        <w:tc>
          <w:tcPr>
            <w:tcW w:w="1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2"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2" w:type="dxa"/>
            <w:gridSpan w:val="5"/>
            <w:tcBorders>
              <w:top w:val="single" w:sz="4" w:space="0" w:color="000000"/>
            </w:tcBorders>
          </w:tcPr>
          <w:p>
            <w:pPr>
              <w:pStyle w:val="Normal"/>
              <w:widowControl w:val="false"/>
              <w:rPr>
                <w:b/>
                <w:lang w:val="ru-RU"/>
              </w:rPr>
            </w:pPr>
            <w:r>
              <w:rPr>
                <w:b/>
                <w:lang w:val="ru-RU"/>
              </w:rPr>
            </w:r>
          </w:p>
        </w:tc>
      </w:tr>
    </w:tbl>
    <w:p>
      <w:pPr>
        <w:pStyle w:val="Normal"/>
        <w:jc w:val="center"/>
        <w:rPr>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lang w:val="ru-RU"/>
              </w:rPr>
              <w:t>Заказчик:</w:t>
            </w:r>
          </w:p>
        </w:tc>
        <w:tc>
          <w:tcPr>
            <w:tcW w:w="4785" w:type="dxa"/>
            <w:tcBorders/>
          </w:tcPr>
          <w:p>
            <w:pPr>
              <w:pStyle w:val="Normal"/>
              <w:widowControl w:val="false"/>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pPr>
      <w:r>
        <w:rPr>
          <w:sz w:val="22"/>
          <w:szCs w:val="22"/>
          <w:lang w:val="ru-RU"/>
        </w:rPr>
        <w:t>Приложение № 3</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pPr>
      <w:r>
        <w:br w:type="page"/>
      </w:r>
      <w:r>
        <w:rPr>
          <w:sz w:val="22"/>
          <w:szCs w:val="22"/>
          <w:lang w:val="ru-RU"/>
        </w:rPr>
        <w:t xml:space="preserve"> </w:t>
      </w:r>
      <w:r>
        <w:rPr>
          <w:sz w:val="22"/>
          <w:szCs w:val="22"/>
          <w:lang w:val="ru-RU"/>
        </w:rPr>
        <w:t>Приложение № 4</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pPr>
      <w:r>
        <w:rPr>
          <w:iCs/>
        </w:rPr>
        <w:t xml:space="preserve">ФОРМА </w:t>
      </w:r>
    </w:p>
    <w:p>
      <w:pPr>
        <w:pStyle w:val="12"/>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rPr>
              <w:t>А К Т №  ____</w:t>
            </w:r>
          </w:p>
          <w:p>
            <w:pPr>
              <w:pStyle w:val="Normal"/>
              <w:widowControl w:val="false"/>
              <w:jc w:val="center"/>
              <w:rPr>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left" w:pos="709" w:leader="none"/>
                <w:tab w:val="left" w:pos="4111" w:leader="none"/>
              </w:tabs>
              <w:jc w:val="both"/>
              <w:rPr>
                <w:lang w:val="ru-RU"/>
              </w:rPr>
            </w:pPr>
            <w:r>
              <w:rPr>
                <w:b/>
                <w:bCs/>
                <w:lang w:val="ru-RU"/>
              </w:rPr>
              <w:tab/>
            </w:r>
            <w:r>
              <w:rPr>
                <w:bCs/>
                <w:lang w:val="ru-RU"/>
              </w:rPr>
              <w:t>К настоящему акту прилагаются:</w:t>
            </w:r>
          </w:p>
          <w:p>
            <w:pPr>
              <w:pStyle w:val="Normal"/>
              <w:widowControl w:val="false"/>
              <w:tabs>
                <w:tab w:val="left" w:pos="709" w:leader="none"/>
                <w:tab w:val="left" w:pos="4111" w:leader="none"/>
              </w:tabs>
              <w:jc w:val="both"/>
              <w:rPr>
                <w:lang w:val="ru-RU"/>
              </w:rPr>
            </w:pPr>
            <w:r>
              <w:rPr>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lang w:val="ru-RU"/>
              </w:rPr>
            </w:pPr>
            <w:r>
              <w:rPr>
                <w:lang w:val="ru-RU"/>
              </w:rPr>
              <w:tab/>
            </w:r>
          </w:p>
          <w:p>
            <w:pPr>
              <w:pStyle w:val="Normal"/>
              <w:widowControl w:val="false"/>
              <w:jc w:val="center"/>
              <w:rPr>
                <w:b/>
                <w:lang w:val="ru-RU"/>
              </w:rPr>
            </w:pPr>
            <w:r>
              <w:rPr>
                <w:b/>
                <w:lang w:val="ru-RU"/>
              </w:rPr>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pPr>
      <w:r>
        <w:rPr>
          <w:lang w:val="ru-RU"/>
        </w:rPr>
        <w:t xml:space="preserve"> </w:t>
      </w:r>
    </w:p>
    <w:sectPr>
      <w:footerReference w:type="default" r:id="rId5"/>
      <w:footnotePr>
        <w:numFmt w:val="decimal"/>
      </w:footnotePr>
      <w:type w:val="nextPage"/>
      <w:pgSz w:w="11906" w:h="16838"/>
      <w:pgMar w:left="1418" w:right="851" w:gutter="0" w:header="0" w:top="709"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2" w:customStyle="1">
    <w:name w:val="Заголовок1"/>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8E96B-7F13-453D-AAD5-1B1B971A22B1}">
  <ds:schemaRefs>
    <ds:schemaRef ds:uri="http://schemas.openxmlformats.org/officeDocument/2006/bibliography"/>
  </ds:schemaRefs>
</ds:datastoreItem>
</file>

<file path=customXml/itemProps2.xml><?xml version="1.0" encoding="utf-8"?>
<ds:datastoreItem xmlns:ds="http://schemas.openxmlformats.org/officeDocument/2006/customXml" ds:itemID="{1253BD1E-29C9-44EC-97EC-A26044FFD090}">
  <ds:schemaRefs>
    <ds:schemaRef ds:uri="http://schemas.openxmlformats.org/officeDocument/2006/bibliography"/>
  </ds:schemaRefs>
</ds:datastoreItem>
</file>

<file path=customXml/itemProps3.xml><?xml version="1.0" encoding="utf-8"?>
<ds:datastoreItem xmlns:ds="http://schemas.openxmlformats.org/officeDocument/2006/customXml" ds:itemID="{BB34BC55-E43C-428A-987E-E66BAF545425}">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4747D59-8013-4697-9778-00F365AAD060}">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Application>AlterOffice/3.4.0.9$Linux_X86_64 LibreOffice_project/b8daf9e823b1a5463a2f48435ddc2e8696e7d4fc</Application>
  <AppVersion>15.0000</AppVersion>
  <Pages>22</Pages>
  <Words>7631</Words>
  <Characters>53915</Characters>
  <CharactersWithSpaces>61363</CharactersWithSpaces>
  <Paragraphs>355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
  <cp:lastPrinted>2016-12-15T13:00:00Z</cp:lastPrinted>
  <dcterms:modified xsi:type="dcterms:W3CDTF">2026-06-23T16:02:20Z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