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>«Технические требования на оказание услуг»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(требования к продукции)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ListParagraph"/>
        <w:widowControl w:val="false"/>
        <w:ind w:left="0" w:hanging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bCs/>
          <w:color w:val="000000"/>
        </w:rPr>
        <w:t xml:space="preserve">ОКПД2 71.12.40.120  </w:t>
      </w:r>
      <w:r>
        <w:rPr>
          <w:b/>
          <w:sz w:val="26"/>
          <w:szCs w:val="26"/>
        </w:rPr>
        <w:t xml:space="preserve">«Оказание услуг по поверке измерительного оборудования для нужд </w:t>
      </w:r>
      <w:r>
        <w:rPr>
          <w:rFonts w:eastAsia="Liberation Serif" w:cs="Liberation Serif" w:ascii="Liberation Serif" w:hAnsi="Liberation Serif"/>
          <w:b/>
          <w:bCs/>
        </w:rPr>
        <w:t>Обособленного подразделения в г. Красноярск</w:t>
      </w:r>
      <w:r>
        <w:rPr>
          <w:b/>
          <w:sz w:val="26"/>
          <w:szCs w:val="26"/>
        </w:rPr>
        <w:t xml:space="preserve"> АО «ВНИИГ им. Б.Е. Веденеева</w:t>
      </w:r>
      <w:r>
        <w:rPr>
          <w:rFonts w:cs="Liberation Serif" w:ascii="Liberation Serif" w:hAnsi="Liberation Serif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6"/>
            <w:tabs>
              <w:tab w:val="clear" w:pos="708"/>
              <w:tab w:val="left" w:pos="567" w:leader="none"/>
              <w:tab w:val="right" w:pos="9911" w:leader="dot"/>
            </w:tabs>
            <w:rPr>
              <w:caps/>
            </w:rPr>
          </w:pPr>
          <w:r>
            <w:fldChar w:fldCharType="begin"/>
          </w:r>
          <w:r>
            <w:rPr>
              <w:webHidden/>
              <w:vanish w:val="false"/>
              <w:rFonts w:eastAsia="Calibri" w:cs="Times New Roman"/>
            </w:rPr>
            <w:instrText> TOC \z \o "1-4" \u \h</w:instrText>
          </w:r>
          <w:r>
            <w:rPr>
              <w:webHidden/>
              <w:vanish w:val="false"/>
              <w:rFonts w:eastAsia="Calibri" w:cs="Times New Roman"/>
            </w:rPr>
            <w:fldChar w:fldCharType="separate"/>
          </w:r>
          <w:hyperlink w:anchor="_Toc1" w:tgtFrame="#_Toc1">
            <w:r>
              <w:rPr>
                <w:webHidden/>
                <w:rFonts w:eastAsia="Calibri" w:cs="Times New Roman"/>
                <w:vanish w:val="false"/>
              </w:rPr>
              <w:t>1.</w:t>
            </w:r>
            <w:r>
              <w:rPr/>
              <w:tab/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 \h</w:instrText>
            </w:r>
            <w:r>
              <w:rPr>
                <w:webHidden/>
              </w:rPr>
              <w:fldChar w:fldCharType="separate"/>
            </w:r>
            <w:r>
              <w:rPr>
                <w:caps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2" w:tgtFrame="#_Toc2">
            <w:r>
              <w:rPr>
                <w:webHidden/>
                <w:rFonts w:eastAsia="Calibri" w:cs="Times New Roman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3" w:tgtFrame="#_Toc3">
            <w:r>
              <w:rPr>
                <w:webHidden/>
                <w:rFonts w:eastAsia="Calibri" w:cs="Times New Roman"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Наименование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4" w:tgtFrame="#_Toc4">
            <w:r>
              <w:rPr>
                <w:webHidden/>
                <w:rFonts w:eastAsia="Calibri" w:cs="Times New Roman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5" w:tgtFrame="#_Toc5">
            <w:r>
              <w:rPr>
                <w:webHidden/>
                <w:rFonts w:eastAsia="Calibri" w:cs="Times New Roman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Существующее положение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/>
          </w:pPr>
          <w:hyperlink w:anchor="_Toc6" w:tgtFrame="#_Toc6">
            <w:r>
              <w:rPr>
                <w:webHidden/>
                <w:vanish w:val="false"/>
              </w:rPr>
              <w:t>Таблица 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_Toc6 \h</w:instrText>
            </w:r>
            <w:r>
              <w:rPr>
                <w:webHidden/>
              </w:rPr>
              <w:fldChar w:fldCharType="separate"/>
            </w:r>
            <w:r>
              <w:rPr/>
              <w:t>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left" w:pos="567" w:leader="none"/>
              <w:tab w:val="right" w:pos="9911" w:leader="dot"/>
            </w:tabs>
            <w:rPr>
              <w:iCs/>
              <w:caps/>
            </w:rPr>
          </w:pPr>
          <w:hyperlink w:anchor="_Toc7" w:tgtFrame="#_Toc7">
            <w:r>
              <w:rPr>
                <w:webHidden/>
                <w:rFonts w:eastAsia="Calibri" w:cs="Times New Roman"/>
                <w:vanish w:val="false"/>
              </w:rPr>
              <w:t>2.</w:t>
            </w:r>
            <w:r>
              <w:rPr/>
              <w:tab/>
            </w:r>
            <w:r>
              <w:rPr>
                <w:iCs/>
              </w:rPr>
              <w:t>Требования к продукции</w:t>
            </w:r>
            <w:r>
              <w:rPr/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 \h</w:instrText>
            </w:r>
            <w:r>
              <w:rPr>
                <w:webHidden/>
              </w:rPr>
              <w:fldChar w:fldCharType="separate"/>
            </w:r>
            <w:r>
              <w:rPr>
                <w:iCs/>
                <w:caps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8" w:tgtFrame="#_Toc8">
            <w:r>
              <w:rPr>
                <w:webHidden/>
                <w:rFonts w:eastAsia="Calibri" w:cs="Times New Roman"/>
                <w:vanish w:val="false"/>
              </w:rPr>
              <w:t>2.1.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4"/>
            <w:tabs>
              <w:tab w:val="clear" w:pos="708"/>
              <w:tab w:val="left" w:pos="1134" w:leader="none"/>
              <w:tab w:val="right" w:pos="9911" w:leader="dot"/>
            </w:tabs>
            <w:rPr/>
          </w:pPr>
          <w:hyperlink w:anchor="_Toc9" w:tgtFrame="#_Toc9">
            <w:r>
              <w:rPr>
                <w:webHidden/>
                <w:rFonts w:eastAsia="Calibri" w:cs="Times New Roman"/>
                <w:vanish w:val="false"/>
              </w:rPr>
              <w:t>2.1.1.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/>
          </w:pPr>
          <w:hyperlink w:anchor="_Toc10" w:tgtFrame="#_Toc10">
            <w:r>
              <w:rPr>
                <w:webHidden/>
                <w:vanish w:val="false"/>
              </w:rPr>
              <w:t xml:space="preserve">Таблица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 \h</w:instrText>
            </w:r>
            <w:r>
              <w:rPr>
                <w:webHidden/>
              </w:rPr>
              <w:fldChar w:fldCharType="separate"/>
            </w:r>
            <w:r>
              <w:rPr/>
              <w:t>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4"/>
            <w:tabs>
              <w:tab w:val="clear" w:pos="708"/>
              <w:tab w:val="left" w:pos="1134" w:leader="none"/>
              <w:tab w:val="right" w:pos="9911" w:leader="dot"/>
            </w:tabs>
            <w:rPr/>
          </w:pPr>
          <w:hyperlink w:anchor="_Toc11" w:tgtFrame="#_Toc11">
            <w:r>
              <w:rPr>
                <w:webHidden/>
                <w:rFonts w:eastAsia="Calibri" w:cs="Times New Roman"/>
                <w:vanish w:val="false"/>
              </w:rPr>
              <w:t>2.1.2.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/>
          </w:pPr>
          <w:hyperlink w:anchor="_Toc12" w:tgtFrame="#_Toc12">
            <w:r>
              <w:rPr>
                <w:webHidden/>
                <w:vanish w:val="false"/>
              </w:rPr>
              <w:t xml:space="preserve">Таблица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 \h</w:instrText>
            </w:r>
            <w:r>
              <w:rPr>
                <w:webHidden/>
              </w:rPr>
              <w:fldChar w:fldCharType="separate"/>
            </w:r>
            <w:r>
              <w:rPr/>
              <w:t>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left" w:pos="1417" w:leader="none"/>
              <w:tab w:val="right" w:pos="9911" w:leader="dot"/>
            </w:tabs>
            <w:rPr/>
          </w:pPr>
          <w:hyperlink w:anchor="_Toc13" w:tgtFrame="#_Toc13">
            <w:r>
              <w:rPr>
                <w:webHidden/>
                <w:rFonts w:eastAsia="Calibri" w:cs="Times New Roman"/>
                <w:vanish w:val="false"/>
              </w:rPr>
              <w:t>2.2.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 \h</w:instrText>
            </w:r>
            <w:r>
              <w:rPr>
                <w:webHidden/>
              </w:rPr>
              <w:fldChar w:fldCharType="separate"/>
            </w:r>
            <w:r>
              <w:rPr/>
              <w:tab/>
              <w:t>Требования к качеству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/>
          </w:pPr>
          <w:hyperlink w:anchor="_Toc14" w:tgtFrame="#_Toc14">
            <w:r>
              <w:rPr>
                <w:webHidden/>
                <w:vanish w:val="false"/>
              </w:rPr>
              <w:t>Таблица 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 \h</w:instrText>
            </w:r>
            <w:r>
              <w:rPr>
                <w:webHidden/>
              </w:rPr>
              <w:fldChar w:fldCharType="separate"/>
            </w:r>
            <w:r>
              <w:rPr/>
              <w:t>4. Требования к качеству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4"/>
            <w:tabs>
              <w:tab w:val="clear" w:pos="708"/>
              <w:tab w:val="right" w:pos="9911" w:leader="dot"/>
            </w:tabs>
            <w:rPr>
              <w:rFonts w:eastAsia="Times New Roman"/>
            </w:rPr>
          </w:pPr>
          <w:hyperlink w:anchor="_Toc15" w:tgtFrame="#_Toc15">
            <w:r>
              <w:rPr>
                <w:webHidden/>
                <w:rFonts w:eastAsia="Times New Roman"/>
                <w:vanish w:val="false"/>
              </w:rPr>
              <w:t>Соблюдение нормативных документов</w:t>
            </w:r>
            <w:r>
              <w:rPr/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 \h</w:instrText>
            </w:r>
            <w:r>
              <w:rPr>
                <w:webHidden/>
              </w:rPr>
              <w:fldChar w:fldCharType="separate"/>
            </w:r>
            <w:r>
              <w:rPr>
                <w:rFonts w:eastAsia="Times New Roman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Fonts w:eastAsia="Times New Roman"/>
            </w:rPr>
            <w:fldChar w:fldCharType="end"/>
          </w:r>
        </w:p>
      </w:sdtContent>
    </w:sdt>
    <w:p>
      <w:pPr>
        <w:pStyle w:val="2"/>
        <w:ind w:hanging="0"/>
        <w:rPr>
          <w:b w:val="false"/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keepLines/>
        <w:numPr>
          <w:ilvl w:val="0"/>
          <w:numId w:val="4"/>
        </w:numPr>
        <w:ind w:left="357" w:hanging="357"/>
        <w:jc w:val="center"/>
        <w:rPr>
          <w:caps/>
        </w:rPr>
      </w:pPr>
      <w:bookmarkStart w:id="0" w:name="_Toc1"/>
      <w:r>
        <w:rPr/>
        <w:t>Общие сведения</w:t>
      </w:r>
      <w:bookmarkEnd w:id="0"/>
    </w:p>
    <w:p>
      <w:pPr>
        <w:pStyle w:val="4"/>
        <w:numPr>
          <w:ilvl w:val="1"/>
          <w:numId w:val="4"/>
        </w:numPr>
        <w:ind w:hanging="0"/>
        <w:rPr/>
      </w:pPr>
      <w:bookmarkStart w:id="1" w:name="_Toc2"/>
      <w:r>
        <w:rPr/>
        <w:t>Обозначения и сокращения</w:t>
      </w:r>
      <w:bookmarkEnd w:id="1"/>
    </w:p>
    <w:p>
      <w:pPr>
        <w:pStyle w:val="Normal"/>
        <w:rPr>
          <w:rStyle w:val="Style16"/>
          <w:b w:val="false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6"/>
                <w:b w:val="false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Перечень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6"/>
                <w:b w:val="false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Перечень оборудования, подлежащего техническому обслуживанию, ремонту и организации поверки.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Средство измерения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numPr>
          <w:ilvl w:val="1"/>
          <w:numId w:val="4"/>
        </w:numPr>
        <w:ind w:hanging="0"/>
        <w:rPr/>
      </w:pPr>
      <w:bookmarkStart w:id="2" w:name="_Toc3"/>
      <w:r>
        <w:rPr/>
        <w:t>Наименование услуг</w:t>
      </w:r>
      <w:bookmarkEnd w:id="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«Оказание услуг по поверке измерительного оборудования для нужд Обособленного подразделения в г. Красноярск АО «ВНИИГ им. Б.Е. Веденеева»»</w:t>
      </w:r>
    </w:p>
    <w:p>
      <w:pPr>
        <w:pStyle w:val="4"/>
        <w:numPr>
          <w:ilvl w:val="1"/>
          <w:numId w:val="4"/>
        </w:numPr>
        <w:spacing w:before="240" w:after="60"/>
        <w:ind w:left="431" w:hanging="431"/>
        <w:rPr/>
      </w:pPr>
      <w:bookmarkStart w:id="3" w:name="_Toc4"/>
      <w:r>
        <w:rPr/>
        <w:t>Цель оказания услуг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Осуществление ежегодной поверки оборудования.</w:t>
      </w:r>
    </w:p>
    <w:p>
      <w:pPr>
        <w:pStyle w:val="4"/>
        <w:numPr>
          <w:ilvl w:val="1"/>
          <w:numId w:val="4"/>
        </w:numPr>
        <w:ind w:hanging="0"/>
        <w:rPr/>
      </w:pPr>
      <w:bookmarkStart w:id="4" w:name="_Toc5"/>
      <w:r>
        <w:rPr/>
        <w:t>Существующее положение</w:t>
      </w:r>
      <w:bookmarkEnd w:id="4"/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240"/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Поверка средств измерений  должна осуществляться в соответствии с Федеральным законом от 26.06.2008 № 102-ФЗ «Об обеспечении единства измерений», 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поверке», а также утвержденными методиками поверки на соответствующий тип средств измерений.</w:t>
      </w:r>
    </w:p>
    <w:p>
      <w:pPr>
        <w:pStyle w:val="1"/>
        <w:keepLines/>
        <w:spacing w:before="240" w:after="60"/>
        <w:ind w:hanging="0"/>
        <w:rPr>
          <w:sz w:val="24"/>
          <w:szCs w:val="24"/>
        </w:rPr>
      </w:pPr>
      <w:bookmarkStart w:id="5" w:name="_Toc6"/>
      <w:r>
        <w:rPr>
          <w:sz w:val="24"/>
          <w:szCs w:val="24"/>
        </w:rPr>
        <w:t>Таблица 1. Перечень объектов заказчика</w:t>
      </w:r>
      <w:bookmarkEnd w:id="5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1"/>
        <w:gridCol w:w="212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Измеритель времени и скорости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распространения ультразвука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Пульсар-2.2 №470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577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Склерометр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ОМШ-1 №399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69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Рулетка гидрологическая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РГ-ЛМ-50 №034.23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Толщиномер ультрозвуковой ТУЗ-2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ТУЗ-2  №6200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Тахеометр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Sokkia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CX</w:t>
            </w:r>
            <w:r>
              <w:rPr>
                <w:iCs/>
                <w:sz w:val="24"/>
                <w:szCs w:val="24"/>
              </w:rPr>
              <w:t>-102 №080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GNSS-</w:t>
            </w:r>
            <w:r>
              <w:rPr>
                <w:iCs/>
                <w:sz w:val="24"/>
                <w:szCs w:val="24"/>
              </w:rPr>
              <w:t>приемник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EFT M1 Plus</w:t>
            </w:r>
            <w:r>
              <w:rPr>
                <w:iCs/>
                <w:sz w:val="24"/>
                <w:szCs w:val="24"/>
              </w:rPr>
              <w:t xml:space="preserve"> №11660789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70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GNSS-</w:t>
            </w:r>
            <w:r>
              <w:rPr>
                <w:iCs/>
                <w:sz w:val="24"/>
                <w:szCs w:val="24"/>
              </w:rPr>
              <w:t>приемник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EFT M1 Plus</w:t>
            </w:r>
            <w:r>
              <w:rPr>
                <w:iCs/>
                <w:sz w:val="24"/>
                <w:szCs w:val="24"/>
              </w:rPr>
              <w:t xml:space="preserve"> №11660811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70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GNSS-</w:t>
            </w:r>
            <w:r>
              <w:rPr>
                <w:iCs/>
                <w:sz w:val="24"/>
                <w:szCs w:val="24"/>
              </w:rPr>
              <w:t>приемник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EFT M</w:t>
            </w:r>
            <w:r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  <w:lang w:val="en-US"/>
              </w:rPr>
              <w:t xml:space="preserve"> Plus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  <w:r>
              <w:rPr>
                <w:iCs/>
                <w:sz w:val="24"/>
                <w:szCs w:val="24"/>
              </w:rPr>
              <w:t>13857948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70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Электронный нивелир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Leica LS 15</w:t>
            </w:r>
            <w:r>
              <w:rPr>
                <w:iCs/>
                <w:sz w:val="24"/>
                <w:szCs w:val="24"/>
              </w:rPr>
              <w:t xml:space="preserve"> 0,2мм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  <w:r>
              <w:rPr>
                <w:iCs/>
                <w:sz w:val="24"/>
                <w:szCs w:val="24"/>
              </w:rPr>
              <w:t>31459879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70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Инварная рейка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Рейк</w:t>
            </w:r>
            <w:r>
              <w:rPr>
                <w:iCs/>
                <w:sz w:val="24"/>
                <w:szCs w:val="24"/>
              </w:rPr>
              <w:t>а</w:t>
            </w:r>
            <w:r>
              <w:rPr>
                <w:iCs/>
                <w:sz w:val="24"/>
                <w:szCs w:val="24"/>
              </w:rPr>
              <w:t xml:space="preserve"> инварн</w:t>
            </w:r>
            <w:r>
              <w:rPr>
                <w:iCs/>
                <w:sz w:val="24"/>
                <w:szCs w:val="24"/>
              </w:rPr>
              <w:t>ая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Leica</w:t>
            </w:r>
            <w:r>
              <w:rPr>
                <w:iCs/>
                <w:sz w:val="24"/>
                <w:szCs w:val="24"/>
              </w:rPr>
              <w:t xml:space="preserve"> 2 м.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  <w:r>
              <w:rPr>
                <w:iCs/>
                <w:sz w:val="24"/>
                <w:szCs w:val="24"/>
              </w:rPr>
              <w:t>220666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70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Инварная рейка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Рейк</w:t>
            </w:r>
            <w:r>
              <w:rPr>
                <w:iCs/>
                <w:sz w:val="24"/>
                <w:szCs w:val="24"/>
              </w:rPr>
              <w:t>а</w:t>
            </w:r>
            <w:r>
              <w:rPr>
                <w:iCs/>
                <w:sz w:val="24"/>
                <w:szCs w:val="24"/>
              </w:rPr>
              <w:t xml:space="preserve"> инварн</w:t>
            </w:r>
            <w:r>
              <w:rPr>
                <w:iCs/>
                <w:sz w:val="24"/>
                <w:szCs w:val="24"/>
              </w:rPr>
              <w:t>ая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Leica</w:t>
            </w:r>
            <w:r>
              <w:rPr>
                <w:iCs/>
                <w:sz w:val="24"/>
                <w:szCs w:val="24"/>
              </w:rPr>
              <w:t xml:space="preserve"> 2 м.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  <w:r>
              <w:rPr>
                <w:iCs/>
                <w:sz w:val="24"/>
                <w:szCs w:val="24"/>
              </w:rPr>
              <w:t>220667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1"/>
        <w:keepLines/>
        <w:numPr>
          <w:ilvl w:val="0"/>
          <w:numId w:val="4"/>
        </w:numPr>
        <w:ind w:left="357" w:hanging="357"/>
        <w:jc w:val="center"/>
        <w:rPr>
          <w:iCs/>
          <w:caps/>
        </w:rPr>
      </w:pPr>
      <w:bookmarkStart w:id="6" w:name="_Toc7"/>
      <w:r>
        <w:rPr>
          <w:iCs/>
        </w:rPr>
        <w:t>Требования к продукции</w:t>
      </w:r>
      <w:bookmarkEnd w:id="6"/>
    </w:p>
    <w:p>
      <w:pPr>
        <w:pStyle w:val="4"/>
        <w:numPr>
          <w:ilvl w:val="1"/>
          <w:numId w:val="4"/>
        </w:numPr>
        <w:ind w:hanging="0"/>
        <w:rPr/>
      </w:pPr>
      <w:bookmarkStart w:id="7" w:name="_Toc8"/>
      <w:r>
        <w:rPr/>
        <w:t>Требования к объемам и срокам оказания услуг</w:t>
      </w:r>
      <w:bookmarkEnd w:id="7"/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240" w:after="0"/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Требования к оказанию услуги: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240" w:after="0"/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Заказчик предоставляет Исполнителю средства измерения на поверку в работоспособном состоянии, очищенном от пыли и грязи, расконсервированными, вместе с эксплуатационной документацией, а также необходимыми комплектующими устройствами.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Исполнитель должен располагать обученным и допущенным в установленном порядке персоналом на право оказания услуг по поверке средств измерений.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Услуги (работы) по метрологическому обслуживанию приборов должны осуществляться собственным персоналом Исполнителя с использованием собственных материально-технических ресурсов.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Исполнитель вправе привлечь для проведения поверки соисполнителей, обладающих необходимым опытом, оборудованием и персоналом, а в случаях, предусмотренных действующим законодательством, документами, подтверждающими их право на оказание данного вида услуг (аттестат аккредитации в области обеспечения единства измерений для выполнения работ и (или) оказания услуг по поверке средств измерений, выданный Федеральной службой по аккредитации, с приложением области аккредитации в соответствии с оборудованием, указанным в  Перечне.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Исполнителем должны соблюдаться сроки поверок средств измерений, методики проведения измерений, отчетность.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Услуги должны оказываться в соответствии с: Федеральным законом от 26.06.2008г. № 102-ФЗ «Об обеспечении единства измерений», а также утвержденными методиками поверки на соответствующий тип средств измерений.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240" w:after="240"/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Требования к технике и оборудованию, используемых при оказании услуг: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Исполнитель должен иметь действующий аттестат аккредитации в области обеспечения единства измерений на право выполнения работ по поверке СИ, выданный Федеральной службой по аккредитации.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Исполнитель осуществляет калибровку СИ в том случае, если СИ не включено в Федеральный информационный фонд по обеспечению единства измерений (Государственный Реестр СИ) Российской Федерации. На СИ, прошедшие калибровку, Исполнитель предоставляет сертификаты калибровки.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Результатом выполненных Исполнителем работ является подтверждение пригодности СИ и внесение результатов поверки в Федеральную государственную информационную систему (ФГИС Аршин) и выдача Акта технического обследования/поверки/калибровки.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На СИ, которые по результатам поверки признаны непригодными к применению, должно быть выписано извещение о непригодности. В выдаваемых извещениях о непригодности к применению должна быть указана причина непригодности.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Работы должны быть выполнены в полном объеме, определенном техническим заданием.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Исполнитель должен обеспечить проведение гарантированного комплекса работ по поверке, калибровке и инструментальному контролю СИ с использованием принадлежащих ему эталонов и иных средств измерений.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240" w:after="240"/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Требования к безопасности оказания Услуги: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Исполнитель обеспечивает качество оказания услуг в соответствии с законодательством Российской Федерации, национальными стандартами, техническими нормами, правилами, применяемыми для оказания данного вида услуг.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В случае оказания услуг, качество которых не соответствует условиям договора, Исполнитель без промедления обязуется выполнить работы по устранению недостатков. Убытки, возникшие в связи с устранением недостатков, несет Исполнитель.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Исполнитель гарантирует возмещение ущерба, нанесенного при оказании услуг сотрудникам, оборудованию и/или материалам Заказчика или третьим лицам.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 xml:space="preserve">Исполнитель гарантирует соблюдение сотрудниками Исполнителя при оказании услуг трудовой дисциплины, правил пожарной безопасности, охраны окружающей среды, трудового распорядка, соблюдение правил санитарной безопасности и иных нормативных документов, действующих на территории Российской Федерации.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ind w:firstLine="567"/>
        <w:jc w:val="both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Исполнитель несет полную ответственность за жизнь и здоровье своих сотрудников, соблюдение условий охраны труда и техники безопасности.</w:t>
      </w:r>
    </w:p>
    <w:p>
      <w:pPr>
        <w:pStyle w:val="3"/>
        <w:numPr>
          <w:ilvl w:val="2"/>
          <w:numId w:val="4"/>
        </w:numPr>
        <w:rPr/>
      </w:pPr>
      <w:bookmarkStart w:id="8" w:name="_Toc9"/>
      <w:r>
        <w:rPr/>
        <w:t>Требования к перечню и объему услуг</w:t>
      </w:r>
      <w:bookmarkEnd w:id="8"/>
    </w:p>
    <w:p>
      <w:pPr>
        <w:pStyle w:val="1"/>
        <w:keepLines/>
        <w:spacing w:before="240" w:after="60"/>
        <w:ind w:hanging="0"/>
        <w:rPr>
          <w:sz w:val="24"/>
          <w:szCs w:val="24"/>
        </w:rPr>
      </w:pPr>
      <w:bookmarkStart w:id="9" w:name="_Toc10"/>
      <w:r>
        <w:rPr>
          <w:sz w:val="24"/>
          <w:szCs w:val="24"/>
        </w:rPr>
        <w:t>Таблица 2. Перечень и объем оказываемых услуг</w:t>
      </w:r>
      <w:bookmarkEnd w:id="9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8"/>
        <w:gridCol w:w="212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yle10"/>
                <w:i w:val="false"/>
                <w:i w:val="false"/>
              </w:rPr>
            </w:pPr>
            <w:r>
              <w:rPr>
                <w:rStyle w:val="Style10"/>
                <w:i w:val="false"/>
                <w:sz w:val="24"/>
              </w:rPr>
              <w:t>Поверка измерительного оборудования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numPr>
          <w:ilvl w:val="2"/>
          <w:numId w:val="4"/>
        </w:numPr>
        <w:rPr/>
      </w:pPr>
      <w:bookmarkStart w:id="10" w:name="_Toc11"/>
      <w:r>
        <w:rPr/>
        <w:t>Требования к срокам оказания услуг</w:t>
      </w:r>
      <w:bookmarkEnd w:id="10"/>
    </w:p>
    <w:p>
      <w:pPr>
        <w:pStyle w:val="1"/>
        <w:keepLines/>
        <w:spacing w:before="240" w:after="60"/>
        <w:ind w:hanging="0"/>
        <w:rPr>
          <w:sz w:val="24"/>
          <w:szCs w:val="24"/>
        </w:rPr>
      </w:pPr>
      <w:bookmarkStart w:id="11" w:name="_Toc12"/>
      <w:r>
        <w:rPr>
          <w:sz w:val="24"/>
          <w:szCs w:val="24"/>
        </w:rPr>
        <w:t xml:space="preserve">Таблица 3. </w:t>
      </w:r>
      <w:bookmarkStart w:id="12" w:name="_Hlk50465284"/>
      <w:r>
        <w:rPr>
          <w:sz w:val="24"/>
          <w:szCs w:val="24"/>
        </w:rPr>
        <w:t xml:space="preserve">Требования к срокам </w:t>
      </w:r>
      <w:bookmarkEnd w:id="12"/>
      <w:r>
        <w:rPr>
          <w:sz w:val="24"/>
          <w:szCs w:val="24"/>
        </w:rPr>
        <w:t>оказания услуг</w:t>
      </w:r>
      <w:bookmarkEnd w:id="1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10"/>
                <w:i w:val="false"/>
                <w:sz w:val="24"/>
              </w:rPr>
              <w:t>Поверка измерительного оборудования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календарных дней с момента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4"/>
        </w:numPr>
        <w:ind w:hanging="0"/>
        <w:rPr/>
      </w:pPr>
      <w:bookmarkStart w:id="13" w:name="_Toc13"/>
      <w:r>
        <w:rPr/>
        <w:t>Требования к качеству продукции</w:t>
      </w:r>
      <w:bookmarkEnd w:id="13"/>
    </w:p>
    <w:p>
      <w:pPr>
        <w:pStyle w:val="1"/>
        <w:keepLines/>
        <w:spacing w:before="240" w:after="60"/>
        <w:ind w:hanging="0"/>
        <w:rPr>
          <w:sz w:val="24"/>
          <w:szCs w:val="24"/>
        </w:rPr>
      </w:pPr>
      <w:bookmarkStart w:id="14" w:name="_Toc14"/>
      <w:r>
        <w:rPr>
          <w:sz w:val="24"/>
          <w:szCs w:val="24"/>
        </w:rPr>
        <w:t>Таблица 4. Требования к качеству продукции</w:t>
      </w:r>
      <w:bookmarkEnd w:id="14"/>
    </w:p>
    <w:p>
      <w:pPr>
        <w:pStyle w:val="Normal"/>
        <w:rPr>
          <w:rStyle w:val="Style16"/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 (позиция №1 Таблицы 2): </w:t>
      </w:r>
      <w:r>
        <w:rPr>
          <w:rFonts w:cs="Liberation Serif" w:ascii="Liberation Serif" w:hAnsi="Liberation Serif"/>
          <w:b/>
          <w:bCs/>
          <w:color w:val="000000"/>
          <w:sz w:val="24"/>
          <w:szCs w:val="24"/>
        </w:rPr>
        <w:t xml:space="preserve">ОКПД2 71.12.40.120  </w:t>
      </w:r>
      <w:r>
        <w:rPr>
          <w:rFonts w:eastAsia="Calibri"/>
          <w:b/>
          <w:sz w:val="26"/>
          <w:szCs w:val="26"/>
        </w:rPr>
        <w:t xml:space="preserve">«Оказание услуг по поверке измерительного оборудования для нужд </w:t>
      </w:r>
      <w:r>
        <w:rPr>
          <w:rFonts w:eastAsia="Calibri"/>
          <w:b/>
          <w:sz w:val="24"/>
          <w:szCs w:val="24"/>
        </w:rPr>
        <w:t xml:space="preserve">Обособленного подразделения в г. Красноярск </w:t>
      </w:r>
      <w:r>
        <w:rPr>
          <w:rFonts w:eastAsia="Calibri"/>
          <w:b/>
          <w:sz w:val="26"/>
          <w:szCs w:val="26"/>
        </w:rPr>
        <w:t>АО «ВНИИГ им. Б.Е. Веденеева</w:t>
      </w:r>
      <w:r>
        <w:rPr>
          <w:rFonts w:cs="Liberation Serif" w:ascii="Liberation Serif" w:hAnsi="Liberation Serif"/>
          <w:sz w:val="24"/>
          <w:szCs w:val="24"/>
        </w:rPr>
        <w:t>»</w:t>
      </w:r>
      <w:r>
        <w:rPr>
          <w:rStyle w:val="Style16"/>
          <w:b w:val="false"/>
          <w:iCs/>
          <w:sz w:val="24"/>
          <w:szCs w:val="24"/>
        </w:rPr>
        <w:t>.</w:t>
      </w:r>
    </w:p>
    <w:tbl>
      <w:tblPr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3"/>
        <w:gridCol w:w="3153"/>
        <w:gridCol w:w="10549"/>
      </w:tblGrid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оказания услуг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передается/забирается Заказчиком  Исполнителю в пределах г. Красноярск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оборудования/ лаборатории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иметь действующий аттестат аккредитации в области обеспечения единства измерений на право выполнения работ по поверке СИ, выданный Федеральной службой по аккредитации.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персонала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располагать обученным и допущенным в установленном порядке персоналом на право оказания услуг по поверке средств измерений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услуги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пригодности СИ и внесение результатов поверки в Федеральную государственную информационную систему (ФГИС Аршин) и выдача Акта технического обследования/ поверки/калибровки.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5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b w:val="false"/>
              </w:rPr>
            </w:pPr>
            <w:bookmarkStart w:id="15" w:name="_Toc15"/>
            <w:r>
              <w:rPr>
                <w:rFonts w:eastAsia="Times New Roman"/>
                <w:b w:val="false"/>
              </w:rPr>
              <w:t>Соблюдение нормативных документов</w:t>
            </w:r>
            <w:bookmarkEnd w:id="15"/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ФЗ от 26.06.2008 № 102-ФЗ «Об обеспечении единства измерений», Приказ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поверке», а также утвержденные методики поверки на соответствующий тип средств измерений.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Порча имущества Заказчика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гарантирует возмещение ущерба, нанесенного при оказании услуг сотрудникам, оборудованию и/или материалам Заказчика.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соисполнителям и его обязательствам, влияющим на исполнение договора</w:t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соисполнителям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исполнителя п.1-4 Таблица 4</w:t>
            </w:r>
          </w:p>
        </w:tc>
      </w:tr>
    </w:tbl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Normal"/>
        <w:tabs>
          <w:tab w:val="clear" w:pos="708"/>
          <w:tab w:val="left" w:pos="2131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992" w:right="567" w:header="680" w:top="851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WenQuanYi Zen Hei Sharp" w:cs="Lohit Devanagari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pPr>
      <w:outlineLvl w:val="1"/>
    </w:pPr>
    <w:rPr/>
  </w:style>
  <w:style w:type="paragraph" w:styleId="3">
    <w:name w:val="Heading 3"/>
    <w:basedOn w:val="Normal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qFormat/>
    <w:pPr>
      <w:numPr>
        <w:ilvl w:val="0"/>
        <w:numId w:val="0"/>
      </w:numPr>
      <w:outlineLvl w:val="3"/>
    </w:pPr>
    <w:rPr>
      <w:bCs/>
    </w:rPr>
  </w:style>
  <w:style w:type="paragraph" w:styleId="5">
    <w:name w:val="Heading 5"/>
    <w:basedOn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Интернет-ссылка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1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1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1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Pr>
      <w:rFonts w:eastAsia="Calibri"/>
      <w:b/>
      <w:sz w:val="24"/>
      <w:szCs w:val="24"/>
    </w:rPr>
  </w:style>
  <w:style w:type="character" w:styleId="41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8" w:customStyle="1">
    <w:name w:val="Название Знак"/>
    <w:uiPriority w:val="10"/>
    <w:qFormat/>
    <w:rPr>
      <w:sz w:val="28"/>
    </w:rPr>
  </w:style>
  <w:style w:type="character" w:styleId="Style9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0">
    <w:name w:val="Выделение"/>
    <w:uiPriority w:val="20"/>
    <w:qFormat/>
    <w:rPr>
      <w:i/>
      <w:iCs/>
    </w:rPr>
  </w:style>
  <w:style w:type="character" w:styleId="22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Style11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2" w:customStyle="1">
    <w:name w:val="Подпункт Знак1"/>
    <w:qFormat/>
    <w:rPr>
      <w:sz w:val="28"/>
    </w:rPr>
  </w:style>
  <w:style w:type="character" w:styleId="Style13" w:customStyle="1">
    <w:name w:val="Текст сноски Знак"/>
    <w:qFormat/>
    <w:rPr/>
  </w:style>
  <w:style w:type="character" w:styleId="Style14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5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Style17" w:customStyle="1">
    <w:name w:val="Подподпункт Знак"/>
    <w:qFormat/>
    <w:rPr>
      <w:sz w:val="26"/>
      <w:szCs w:val="26"/>
    </w:rPr>
  </w:style>
  <w:style w:type="character" w:styleId="32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Pr>
      <w:sz w:val="24"/>
      <w:szCs w:val="24"/>
    </w:rPr>
  </w:style>
  <w:style w:type="character" w:styleId="Style19" w:customStyle="1">
    <w:name w:val="Текст примечания Знак"/>
    <w:qFormat/>
    <w:rPr/>
  </w:style>
  <w:style w:type="character" w:styleId="Style20" w:customStyle="1">
    <w:name w:val="Текст концевой сноски Знак"/>
    <w:basedOn w:val="DefaultParagraphFont"/>
    <w:qFormat/>
    <w:rPr/>
  </w:style>
  <w:style w:type="character" w:styleId="Style21" w:customStyle="1">
    <w:name w:val="Символ концевой сноски"/>
    <w:basedOn w:val="DefaultParagraphFont"/>
    <w:qFormat/>
    <w:rPr>
      <w:vertAlign w:val="superscript"/>
    </w:rPr>
  </w:style>
  <w:style w:type="character" w:styleId="Style22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23" w:customStyle="1">
    <w:name w:val="Пункт2 Знак"/>
    <w:qFormat/>
    <w:rPr>
      <w:b/>
      <w:sz w:val="28"/>
    </w:rPr>
  </w:style>
  <w:style w:type="character" w:styleId="13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23" w:customStyle="1">
    <w:name w:val="Ссылка указателя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pPr>
      <w:spacing w:before="0" w:after="120"/>
    </w:pPr>
    <w:rPr/>
  </w:style>
  <w:style w:type="paragraph" w:styleId="Style26">
    <w:name w:val="List"/>
    <w:basedOn w:val="Style25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Title"/>
    <w:basedOn w:val="Normal"/>
    <w:next w:val="Style2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">
    <w:name w:val="index heading"/>
    <w:basedOn w:val="Style29"/>
    <w:qFormat/>
    <w:pPr/>
    <w:rPr/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30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31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Style33">
    <w:name w:val="Footnote Text"/>
    <w:basedOn w:val="Normal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34" w:customStyle="1">
    <w:name w:val="Колонтитул"/>
    <w:basedOn w:val="Normal"/>
    <w:qFormat/>
    <w:pPr/>
    <w:rPr/>
  </w:style>
  <w:style w:type="paragraph" w:styleId="Style35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6">
    <w:name w:val="Body Text Indent"/>
    <w:basedOn w:val="Normal"/>
    <w:pPr>
      <w:ind w:left="360" w:hanging="0"/>
    </w:pPr>
    <w:rPr>
      <w:sz w:val="24"/>
      <w:szCs w:val="24"/>
    </w:rPr>
  </w:style>
  <w:style w:type="paragraph" w:styleId="Style3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39" w:customStyle="1">
    <w:name w:val="Раздел регламента"/>
    <w:basedOn w:val="Normal"/>
    <w:qFormat/>
    <w:pPr/>
    <w:rPr/>
  </w:style>
  <w:style w:type="paragraph" w:styleId="Style40" w:customStyle="1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Subtitle"/>
    <w:basedOn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TOCHeading">
    <w:name w:val="TOC Heading"/>
    <w:basedOn w:val="1"/>
    <w:uiPriority w:val="39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43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Lohit Devanagar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WenQuanYi Zen Hei Sharp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4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7" w:customStyle="1">
    <w:name w:val="Подподпункт"/>
    <w:basedOn w:val="Style38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48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9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0"/>
        <w:numId w:val="5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/>
      <w:jc w:val="both"/>
    </w:pPr>
    <w:rPr>
      <w:sz w:val="26"/>
      <w:szCs w:val="28"/>
      <w:lang w:eastAsia="en-US"/>
    </w:rPr>
  </w:style>
  <w:style w:type="paragraph" w:styleId="Style50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1">
    <w:name w:val="Endnote Text"/>
    <w:basedOn w:val="Normal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3" w:customStyle="1">
    <w:name w:val="Содержимое врезки"/>
    <w:basedOn w:val="Normal"/>
    <w:qFormat/>
    <w:pPr/>
    <w:rPr/>
  </w:style>
  <w:style w:type="paragraph" w:styleId="Style54">
    <w:name w:val="Содержимое таблицы"/>
    <w:basedOn w:val="Normal"/>
    <w:qFormat/>
    <w:pPr>
      <w:widowControl w:val="false"/>
      <w:suppressLineNumbers/>
    </w:pPr>
    <w:rPr/>
  </w:style>
  <w:style w:type="paragraph" w:styleId="Style55">
    <w:name w:val="Заголовок таблицы"/>
    <w:basedOn w:val="Style5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11" w:customStyle="1">
    <w:name w:val="Стиль2"/>
    <w:uiPriority w:val="99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e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9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E23C-15FB-4F33-AF08-897ECFB4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LibreOffice/7.1.8.1$Linux_X86_64 LibreOffice_project/10$Build-1</Application>
  <AppVersion>15.0000</AppVersion>
  <Pages>7</Pages>
  <Words>1145</Words>
  <Characters>7932</Characters>
  <CharactersWithSpaces>8891</CharactersWithSpaces>
  <Paragraphs>195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2025-06-23T03:18:00Z</dcterms:created>
  <dc:creator>Быстров Олег Геннадьевич</dc:creator>
  <dc:description/>
  <dc:language>ru-RU</dc:language>
  <cp:lastModifiedBy/>
  <dcterms:modified xsi:type="dcterms:W3CDTF">2026-06-22T09:33:51Z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