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6"/>
        <w:gridCol w:w="4816"/>
      </w:tblGrid>
      <w:tr>
        <w:trPr>
          <w:trHeight w:val="2025" w:hRule="atLeast"/>
        </w:trPr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635</wp:posOffset>
                  </wp:positionV>
                  <wp:extent cx="2802255" cy="709930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25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Начальник управления УОО __________________/А.А. Решетникова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«24» июня 2026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 в электронной форме (среди МСП) по лоту № 0033-ТО ДОХ-2026-СК РусГидро ОКПД2 81.22.11.000 Оказание услуг по мытью светопрозрачных конструкций зданий методом промышленного альпинизма на объектах филиала ПАО «РусГидро» - «Жигулевская ГЭС»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Акционерное общество «Сервисная компания «РусГидро» (АО «СК РусГидро»)</w:t>
      </w:r>
      <w:r>
        <w:rPr>
          <w:b/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проведения Упрощенной закупки в электронной форме (среди МСП) на право заключения договора по </w:t>
      </w:r>
      <w:r>
        <w:rPr>
          <w:b/>
          <w:bCs/>
          <w:sz w:val="24"/>
          <w:szCs w:val="24"/>
        </w:rPr>
        <w:t>лоту № 0033-ТО ДОХ-2026-СК РусГидро ОКПД2 81.22.11.000 Оказание услуг по мытью светопрозрачных конструкций зданий методом промышленного альпинизма на объектах филиала ПАО «РусГидро» - «Жигулевская ГЭС».</w:t>
      </w:r>
    </w:p>
    <w:p>
      <w:pPr>
        <w:pStyle w:val="ListParagraph"/>
        <w:spacing w:lineRule="auto" w:line="240" w:before="120" w:after="0"/>
        <w:ind w:left="567" w:hanging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Обращаем Ваше внимание, что Предложения должны быть направлены с использованием функционала электронной площадки АО «РАД».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предложения.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цену предложения в рублях (без учета НДС и с учетом НДС) по форме Приложения № 3 к настоящему запросу.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Технические требования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Анкета потенциального поставщика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e14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e1e1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0e1e14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0e1e14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0e1e1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0e1e14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qFormat/>
    <w:rsid w:val="000e1e1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0e1e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0e1e14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0e1e1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9286d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bf47e0"/>
    <w:rPr>
      <w:color w:val="0563C1" w:themeColor="hyperlink"/>
      <w:u w:val="single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FootnoteText">
    <w:name w:val="Footnote Text"/>
    <w:basedOn w:val="Normal"/>
    <w:link w:val="Style7"/>
    <w:uiPriority w:val="99"/>
    <w:rsid w:val="000e1e14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0e1e14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9286d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7e0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233746261">
    <w:name w:val="152337462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AlterOffice/3.4.0.9$Linux_X86_64 LibreOffice_project/b8daf9e823b1a5463a2f48435ddc2e8696e7d4fc</Application>
  <AppVersion>15.0000</AppVersion>
  <Pages>2</Pages>
  <Words>500</Words>
  <Characters>3513</Characters>
  <CharactersWithSpaces>3967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2023-11-02T03:36:00Z</dcterms:created>
  <dc:creator>Кабакова Екатерина Сергеевна</dc:creator>
  <dc:description/>
  <dc:language>ru-RU</dc:language>
  <cp:lastModifiedBy>lisitchenkoma@corp.gidroogk.com</cp:lastModifiedBy>
  <cp:lastPrinted>2025-02-19T14:37:28Z</cp:lastPrinted>
  <dcterms:modified xsi:type="dcterms:W3CDTF">2026-06-24T09:34:23Z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