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r>
        <w:rPr>
          <w:b/>
          <w:lang w:val="ru-RU"/>
        </w:rPr>
        <w:t>Договор №</w:t>
      </w:r>
      <w:r>
        <w:rPr>
          <w:rFonts w:eastAsia="Calibri"/>
          <w:b/>
          <w:lang w:val="ru-RU"/>
        </w:rPr>
        <w:t xml:space="preserve"> _____________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p>
    <w:p>
      <w:pPr>
        <w:pStyle w:val="Normal"/>
        <w:tabs>
          <w:tab w:val="clear" w:pos="708"/>
          <w:tab w:val="left" w:pos="7938" w:leader="none"/>
        </w:tabs>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с одной стороны, и </w:t>
      </w:r>
      <w:r>
        <w:rPr>
          <w:b/>
          <w:bCs/>
          <w:sz w:val="24"/>
          <w:szCs w:val="24"/>
          <w:lang w:val="ru-RU"/>
        </w:rPr>
        <w:t>________________________</w:t>
      </w:r>
      <w:r>
        <w:rPr>
          <w:bCs/>
          <w:sz w:val="24"/>
          <w:szCs w:val="24"/>
          <w:lang w:val="ru-RU"/>
        </w:rPr>
        <w:t xml:space="preserve">, именуемое в дальнейшем </w:t>
      </w:r>
      <w:r>
        <w:rPr>
          <w:b/>
          <w:sz w:val="24"/>
          <w:szCs w:val="24"/>
          <w:lang w:val="ru-RU"/>
        </w:rPr>
        <w:t>«Исполнитель»</w:t>
      </w:r>
      <w:r>
        <w:rPr>
          <w:bCs/>
          <w:sz w:val="24"/>
          <w:szCs w:val="24"/>
          <w:lang w:val="ru-RU"/>
        </w:rPr>
        <w:t xml:space="preserve">, в лице _____________________, действующего на основании 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sz w:val="24"/>
          <w:szCs w:val="24"/>
          <w:shd w:fill="auto" w:val="clear"/>
          <w:lang w:val="ru-RU"/>
        </w:rPr>
        <w:t>,</w:t>
      </w:r>
      <w:r>
        <w:rPr>
          <w:sz w:val="24"/>
          <w:szCs w:val="24"/>
          <w:shd w:fill="auto" w:val="clear"/>
          <w:vertAlign w:val="superscript"/>
          <w:lang w:val="ru-RU"/>
        </w:rPr>
        <w:t xml:space="preserve"> </w:t>
      </w:r>
      <w:r>
        <w:rPr>
          <w:bCs/>
          <w:sz w:val="24"/>
          <w:szCs w:val="24"/>
          <w:shd w:fill="auto" w:val="clear"/>
          <w:lang w:val="ru-RU"/>
        </w:rPr>
        <w:t>з</w:t>
      </w:r>
      <w:r>
        <w:rPr>
          <w:bCs/>
          <w:sz w:val="24"/>
          <w:szCs w:val="24"/>
          <w:lang w:val="ru-RU"/>
        </w:rPr>
        <w:t>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highlight w:val="none"/>
          <w:shd w:fill="auto" w:val="clear"/>
        </w:rPr>
      </w:pPr>
      <w:r>
        <w:rPr>
          <w:b/>
          <w:shd w:fill="auto" w:val="clear"/>
          <w:lang w:val="ru-RU" w:eastAsia="en-US"/>
        </w:rPr>
        <w:t>«Субъект МСП»</w:t>
      </w:r>
      <w:r>
        <w:rPr>
          <w:shd w:fill="auto" w:val="clea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b/>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w:t>
      </w:r>
      <w:r>
        <w:rPr>
          <w:rStyle w:val="Style19"/>
          <w:rFonts w:eastAsia="Calibri"/>
          <w:b w:val="false"/>
          <w:bCs w:val="false"/>
          <w:i w:val="false"/>
          <w:iCs w:val="false"/>
          <w:color w:val="000000"/>
          <w:spacing w:val="-2"/>
          <w:sz w:val="24"/>
          <w:szCs w:val="24"/>
          <w:shd w:fill="FFFFFF" w:val="clear"/>
          <w:lang w:eastAsia="x-none"/>
        </w:rPr>
        <w:t>обслуживанию систем вентиляции и кондиционирования</w:t>
      </w:r>
      <w:r>
        <w:rPr>
          <w:color w:val="000000"/>
          <w:spacing w:val="-2"/>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sz w:val="24"/>
          <w:szCs w:val="24"/>
          <w:lang w:val="ru-RU"/>
        </w:rPr>
        <w:t>а</w:t>
      </w:r>
      <w:r>
        <w:rPr>
          <w:rFonts w:cs="Times New Roman"/>
          <w:sz w:val="24"/>
          <w:szCs w:val="24"/>
          <w:lang w:val="ru-RU"/>
        </w:rPr>
        <w:t xml:space="preserve">дминистративное здание по адресу: г. Красноярск, Центральный район, улица Перенсона, 2а, </w:t>
      </w:r>
      <w:r>
        <w:rPr>
          <w:rFonts w:cs="Times New Roman"/>
          <w:sz w:val="24"/>
          <w:szCs w:val="24"/>
          <w:lang w:val="ru-RU"/>
        </w:rPr>
        <w:t>пом.1</w:t>
      </w:r>
      <w:r>
        <w:rPr>
          <w:bCs/>
          <w:iCs/>
          <w:color w:val="000000"/>
          <w:spacing w:val="-2"/>
          <w:sz w:val="24"/>
          <w:szCs w:val="24"/>
          <w:lang w:val="ru-RU"/>
        </w:rPr>
        <w:t>.</w:t>
      </w:r>
    </w:p>
    <w:p>
      <w:pPr>
        <w:pStyle w:val="Normal"/>
        <w:widowControl w:val="false"/>
        <w:numPr>
          <w:ilvl w:val="1"/>
          <w:numId w:val="3"/>
        </w:numPr>
        <w:tabs>
          <w:tab w:val="clear" w:pos="708"/>
          <w:tab w:val="left" w:pos="1134" w:leader="none"/>
        </w:tabs>
        <w:ind w:left="709" w:hanging="0"/>
        <w:jc w:val="both"/>
        <w:rPr>
          <w:bCs/>
          <w:lang w:val="ru-RU"/>
        </w:rPr>
      </w:pPr>
      <w:r>
        <w:rPr>
          <w:bCs/>
          <w:lang w:val="ru-RU"/>
        </w:rPr>
        <w:t>Начало оказания Услуг: с</w:t>
      </w:r>
      <w:r>
        <w:rPr>
          <w:bCs/>
          <w:sz w:val="24"/>
          <w:szCs w:val="24"/>
          <w:lang w:val="ru-RU"/>
        </w:rPr>
        <w:t xml:space="preserve"> даты подписания договора</w:t>
      </w:r>
      <w:r>
        <w:rPr>
          <w:bCs/>
          <w:lang w:val="ru-RU"/>
        </w:rPr>
        <w:t>.</w:t>
      </w:r>
    </w:p>
    <w:p>
      <w:pPr>
        <w:pStyle w:val="Normal"/>
        <w:widowControl w:val="false"/>
        <w:numPr>
          <w:ilvl w:val="1"/>
          <w:numId w:val="3"/>
        </w:numPr>
        <w:tabs>
          <w:tab w:val="clear" w:pos="708"/>
          <w:tab w:val="left" w:pos="1134" w:leader="none"/>
        </w:tabs>
        <w:ind w:left="709" w:hanging="0"/>
        <w:jc w:val="both"/>
        <w:rPr>
          <w:bCs/>
          <w:lang w:val="ru-RU"/>
        </w:rPr>
      </w:pPr>
      <w:r>
        <w:rPr>
          <w:bCs/>
          <w:lang w:val="ru-RU"/>
        </w:rPr>
        <w:t>Окончание оказания Услуг: 12 месяцев с даты начала оказания услуг или до исчерпания предельной Цены, указанной в п. 3.1. Договора, в зависимости от того, какое из условий наступит ранее.</w:t>
      </w:r>
    </w:p>
    <w:p>
      <w:pPr>
        <w:pStyle w:val="Normal"/>
        <w:widowControl w:val="false"/>
        <w:numPr>
          <w:ilvl w:val="1"/>
          <w:numId w:val="3"/>
        </w:numPr>
        <w:tabs>
          <w:tab w:val="clear" w:pos="708"/>
          <w:tab w:val="left" w:pos="1134" w:leader="none"/>
        </w:tabs>
        <w:ind w:left="0" w:firstLine="709"/>
        <w:jc w:val="both"/>
        <w:rPr>
          <w:bCs/>
          <w:lang w:val="ru-RU"/>
        </w:rPr>
      </w:pP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pPr>
      <w:r>
        <w:rPr/>
        <w:t xml:space="preserve">Соблюдать при оказании Услуг правила и требования, установленные нормативными документами, входящими в состав закупочной документации.   </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5"/>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5"/>
        </w:numPr>
        <w:shd w:val="clear" w:color="auto" w:fill="FFFFFF"/>
        <w:tabs>
          <w:tab w:val="clear" w:pos="708"/>
          <w:tab w:val="left" w:pos="1418" w:leader="none"/>
        </w:tabs>
        <w:ind w:left="0" w:firstLine="709"/>
        <w:jc w:val="both"/>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5"/>
        </w:numPr>
        <w:shd w:val="clear" w:color="auto" w:fill="FFFFFF"/>
        <w:tabs>
          <w:tab w:val="clear" w:pos="708"/>
          <w:tab w:val="left" w:pos="1418" w:leader="none"/>
        </w:tabs>
        <w:ind w:left="0" w:firstLine="709"/>
        <w:jc w:val="both"/>
        <w:rPr/>
      </w:pPr>
      <w:r>
        <w:rPr>
          <w:bCs/>
        </w:rPr>
        <w:t>Получать от Заказчика разъяснения и/или указания, необходимые для исполнения обязательств по Договору.</w:t>
      </w:r>
      <w:r>
        <w:rPr>
          <w:bCs/>
          <w:shd w:fill="C0C0C0" w:val="clear"/>
        </w:rPr>
        <w:t xml:space="preserve"> </w:t>
      </w:r>
    </w:p>
    <w:p>
      <w:pPr>
        <w:pStyle w:val="ListParagraph"/>
        <w:shd w:val="clear" w:color="auto" w:fill="FFFFFF"/>
        <w:tabs>
          <w:tab w:val="clear" w:pos="708"/>
          <w:tab w:val="left" w:pos="709" w:leader="none"/>
          <w:tab w:val="left" w:pos="1134" w:leader="none"/>
        </w:tabs>
        <w:ind w:left="0" w:firstLine="709"/>
        <w:jc w:val="both"/>
        <w:rPr>
          <w:bCs/>
          <w:shd w:fill="C0C0C0" w:val="clear"/>
        </w:rPr>
      </w:pPr>
      <w:r>
        <w:rPr>
          <w:bCs/>
          <w:shd w:fill="C0C0C0" w:val="clear"/>
        </w:rPr>
      </w:r>
    </w:p>
    <w:p>
      <w:pPr>
        <w:pStyle w:val="ListParagraph"/>
        <w:numPr>
          <w:ilvl w:val="0"/>
          <w:numId w:val="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3"/>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 Расчетом стоимости Услуг (Приложение № 3 к Договору) </w:t>
      </w:r>
      <w:r>
        <w:rPr>
          <w:bCs/>
        </w:rPr>
        <w:t xml:space="preserve">является предельной </w:t>
      </w:r>
      <w:r>
        <w:rPr/>
        <w:t>и составляет _______________рублей ___ копеек</w:t>
      </w:r>
      <w:r>
        <w:rPr>
          <w:b/>
          <w:color w:val="000000"/>
          <w:spacing w:val="-2"/>
        </w:rPr>
        <w:t>,</w:t>
      </w:r>
      <w:r>
        <w:rPr>
          <w:color w:val="000000"/>
          <w:spacing w:val="-2"/>
        </w:rPr>
        <w:t xml:space="preserve"> </w:t>
      </w:r>
      <w:bookmarkStart w:id="6" w:name="_Hlk104974277"/>
      <w:r>
        <w:rPr>
          <w:i/>
          <w:iCs/>
          <w:color w:val="000000"/>
          <w:spacing w:val="-2"/>
          <w:highlight w:val="lightGray"/>
          <w:shd w:fill="auto" w:val="clear"/>
        </w:rPr>
        <w:t>в соответствии с _____________________(указываются основания освобождения от НДС) НДС не предусмотрен / при этом НДС исчисляется дополнительно по ставке, установленной статьей 164 Налогового кодекса РФ</w:t>
      </w:r>
      <w:bookmarkEnd w:id="6"/>
      <w:r>
        <w:rPr>
          <w:i/>
          <w:iCs/>
          <w:color w:val="000000"/>
          <w:spacing w:val="-2"/>
          <w:highlight w:val="lightGray"/>
          <w:shd w:fill="auto" w:val="clear"/>
        </w:rPr>
        <w:t>.</w:t>
      </w:r>
    </w:p>
    <w:p>
      <w:pPr>
        <w:pStyle w:val="ListParagraph"/>
        <w:numPr>
          <w:ilvl w:val="1"/>
          <w:numId w:val="3"/>
        </w:numPr>
        <w:shd w:val="clear" w:color="auto" w:fill="FFFFFF"/>
        <w:tabs>
          <w:tab w:val="clear" w:pos="708"/>
          <w:tab w:val="left" w:pos="284" w:leader="none"/>
          <w:tab w:val="left" w:pos="1134" w:leader="none"/>
        </w:tabs>
        <w:ind w:left="0" w:firstLine="709"/>
        <w:jc w:val="both"/>
        <w:rPr/>
      </w:pPr>
      <w:r>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3"/>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3"/>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3"/>
        </w:numPr>
        <w:shd w:val="clear" w:color="auto" w:fill="FFFFFF"/>
        <w:tabs>
          <w:tab w:val="clear" w:pos="708"/>
          <w:tab w:val="left" w:pos="709" w:leader="none"/>
          <w:tab w:val="left" w:pos="851" w:leader="none"/>
          <w:tab w:val="left" w:pos="1134" w:leader="none"/>
        </w:tabs>
        <w:ind w:left="0" w:firstLine="709"/>
        <w:jc w:val="both"/>
        <w:rPr/>
      </w:pPr>
      <w:bookmarkStart w:id="7" w:name="_Ref361858588"/>
      <w:r>
        <w:rPr/>
        <w:t>Оплата по Договору осуществляется в течение</w:t>
      </w:r>
      <w:r>
        <w:rPr>
          <w:shd w:fill="FFFFFF" w:val="clear"/>
        </w:rPr>
        <w:t xml:space="preserve"> </w:t>
      </w:r>
      <w:bookmarkEnd w:id="7"/>
      <w:r>
        <w:rPr>
          <w:shd w:fill="FFFFFF" w:val="clear"/>
        </w:rPr>
        <w:t xml:space="preserve">7 (семи) рабочих дней </w:t>
      </w:r>
      <w:r>
        <w:rPr>
          <w:i/>
          <w:iCs/>
          <w:shd w:fill="FFFFFF" w:val="clear"/>
        </w:rPr>
        <w:t>(для МСП)</w:t>
      </w:r>
      <w:r>
        <w:rPr>
          <w:color w:val="000000"/>
          <w:shd w:fill="FFFFFF" w:val="clear"/>
        </w:rPr>
        <w:t xml:space="preserve"> </w:t>
      </w:r>
      <w:r>
        <w:rPr>
          <w:shd w:fill="auto" w:val="clear"/>
        </w:rPr>
        <w:t>с</w:t>
      </w:r>
      <w:r>
        <w:rPr/>
        <w:t xml:space="preserve"> даты подписания Сторонами документов, указанных в пункте 4.2 Договора, на основании счета, выставленного Исполнителем, и с учетом пункта 3.6. Договора.</w:t>
      </w:r>
    </w:p>
    <w:p>
      <w:pPr>
        <w:pStyle w:val="ListParagraph"/>
        <w:numPr>
          <w:ilvl w:val="1"/>
          <w:numId w:val="3"/>
        </w:numPr>
        <w:shd w:val="clear" w:color="auto" w:fill="FFFFFF"/>
        <w:tabs>
          <w:tab w:val="clear" w:pos="708"/>
          <w:tab w:val="left" w:pos="709" w:leader="none"/>
          <w:tab w:val="left" w:pos="851" w:leader="none"/>
          <w:tab w:val="left" w:pos="1134" w:leader="none"/>
        </w:tabs>
        <w:ind w:left="0" w:firstLine="709"/>
        <w:jc w:val="both"/>
        <w:rPr/>
      </w:pPr>
      <w:bookmarkStart w:id="8" w:name="_Ref372549497"/>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8"/>
      <w:r>
        <w:rPr/>
        <w:t xml:space="preserve"> </w:t>
      </w:r>
    </w:p>
    <w:p>
      <w:pPr>
        <w:pStyle w:val="ListParagraph"/>
        <w:numPr>
          <w:ilvl w:val="1"/>
          <w:numId w:val="3"/>
        </w:numPr>
        <w:shd w:val="clear" w:color="auto" w:fill="FFFFFF"/>
        <w:tabs>
          <w:tab w:val="clear" w:pos="708"/>
          <w:tab w:val="left" w:pos="709" w:leader="none"/>
          <w:tab w:val="left" w:pos="851" w:leader="none"/>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3"/>
        </w:numPr>
        <w:shd w:val="clear" w:color="auto" w:fill="FFFFFF"/>
        <w:tabs>
          <w:tab w:val="clear" w:pos="708"/>
          <w:tab w:val="left" w:pos="709" w:leader="none"/>
          <w:tab w:val="left" w:pos="851" w:leader="none"/>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3"/>
        </w:numPr>
        <w:shd w:val="clear" w:color="auto" w:fill="FFFFFF"/>
        <w:tabs>
          <w:tab w:val="clear" w:pos="708"/>
          <w:tab w:val="left" w:pos="1134" w:leader="none"/>
        </w:tabs>
        <w:ind w:left="0" w:firstLine="709"/>
        <w:jc w:val="both"/>
        <w:rPr/>
      </w:pPr>
      <w:r>
        <w:rPr>
          <w:i w:val="false"/>
          <w:iCs w:val="false"/>
          <w:highlight w:val="lightGray"/>
          <w:shd w:fill="auto" w:val="clea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i w:val="false"/>
          <w:iCs w:val="false"/>
          <w:color w:val="000000"/>
          <w:highlight w:val="lightGray"/>
          <w:shd w:fill="auto" w:val="clear"/>
        </w:rPr>
        <w:t>случае</w:t>
      </w:r>
      <w:r>
        <w:rPr>
          <w:i w:val="false"/>
          <w:iCs w:val="false"/>
          <w:highlight w:val="lightGray"/>
          <w:shd w:fill="auto" w:val="clea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rPr>
          <w:i/>
          <w:iCs/>
          <w:highlight w:val="lightGray"/>
          <w:shd w:fill="auto" w:val="clear"/>
        </w:rPr>
        <w:t xml:space="preserve"> (если предусмотрен НДС).</w:t>
      </w:r>
    </w:p>
    <w:p>
      <w:pPr>
        <w:pStyle w:val="ListParagraph"/>
        <w:numPr>
          <w:ilvl w:val="1"/>
          <w:numId w:val="3"/>
        </w:numPr>
        <w:shd w:val="clear" w:color="auto" w:fill="FFFFFF"/>
        <w:tabs>
          <w:tab w:val="clear" w:pos="708"/>
          <w:tab w:val="left" w:pos="709" w:leader="none"/>
          <w:tab w:val="left" w:pos="851" w:leader="none"/>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3"/>
        </w:numPr>
        <w:shd w:val="clear" w:color="auto" w:fill="FFFFFF"/>
        <w:tabs>
          <w:tab w:val="clear" w:pos="708"/>
          <w:tab w:val="left" w:pos="284" w:leader="none"/>
        </w:tabs>
        <w:spacing w:before="120" w:after="120"/>
        <w:ind w:left="0" w:hanging="0"/>
        <w:contextualSpacing/>
        <w:jc w:val="center"/>
        <w:rPr/>
      </w:pPr>
      <w:r>
        <w:rPr>
          <w:b/>
        </w:rPr>
        <w:t>Порядок оказания и сдачи-приемки Услуг</w:t>
      </w:r>
    </w:p>
    <w:p>
      <w:pPr>
        <w:pStyle w:val="ListParagraph"/>
        <w:numPr>
          <w:ilvl w:val="1"/>
          <w:numId w:val="3"/>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3"/>
        </w:numPr>
        <w:shd w:val="clear" w:color="auto" w:fill="FFFFFF"/>
        <w:tabs>
          <w:tab w:val="clear" w:pos="708"/>
          <w:tab w:val="left" w:pos="284" w:leader="none"/>
          <w:tab w:val="left" w:pos="1134" w:leader="none"/>
        </w:tabs>
        <w:ind w:left="0" w:firstLine="709"/>
        <w:jc w:val="both"/>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w:t>
      </w:r>
      <w:r>
        <w:rPr>
          <w:i/>
          <w:iCs/>
        </w:rPr>
        <w:t xml:space="preserve"> </w:t>
      </w:r>
      <w:r>
        <w:rPr/>
        <w:t>все необходимые данные для исполнения Заявки.</w:t>
      </w:r>
    </w:p>
    <w:p>
      <w:pPr>
        <w:pStyle w:val="ListParagraph"/>
        <w:numPr>
          <w:ilvl w:val="2"/>
          <w:numId w:val="3"/>
        </w:numPr>
        <w:shd w:val="clear" w:color="auto" w:fill="FFFFFF"/>
        <w:tabs>
          <w:tab w:val="clear" w:pos="708"/>
          <w:tab w:val="left" w:pos="284" w:leader="none"/>
          <w:tab w:val="left" w:pos="1134" w:leader="none"/>
        </w:tabs>
        <w:ind w:left="0" w:firstLine="709"/>
        <w:jc w:val="both"/>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3"/>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9"/>
        </w:numPr>
        <w:tabs>
          <w:tab w:val="clear" w:pos="708"/>
          <w:tab w:val="left" w:pos="1134" w:leader="none"/>
        </w:tabs>
        <w:ind w:left="0" w:firstLine="709"/>
        <w:jc w:val="both"/>
        <w:rPr/>
      </w:pPr>
      <w:bookmarkStart w:id="9" w:name="_Hlk92979630"/>
      <w:r>
        <w:rPr/>
        <w:t>заявить Отказ от Договора и потребовать возмещения убытков, и/или;</w:t>
      </w:r>
      <w:bookmarkEnd w:id="9"/>
    </w:p>
    <w:p>
      <w:pPr>
        <w:pStyle w:val="ListParagraph"/>
        <w:numPr>
          <w:ilvl w:val="0"/>
          <w:numId w:val="9"/>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3"/>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2 (двух) рабочих дней предоставляет Заказчику подписанные со своей стороны в 2 (двух) экземплярах УПД </w:t>
      </w:r>
      <w:bookmarkStart w:id="10" w:name="_Hlk147303752"/>
      <w:r>
        <w:rPr/>
        <w:t>с приложением Отчета об оказании Услуг и иных отчетных документов, предусмотренных Техническими требованиями (Приложение № 1 к Договору)</w:t>
      </w:r>
      <w:bookmarkEnd w:id="10"/>
      <w:r>
        <w:rPr/>
        <w:t>.</w:t>
      </w:r>
    </w:p>
    <w:p>
      <w:pPr>
        <w:pStyle w:val="ListParagraph"/>
        <w:numPr>
          <w:ilvl w:val="1"/>
          <w:numId w:val="3"/>
        </w:numPr>
        <w:shd w:val="clear" w:color="auto" w:fill="FFFFFF"/>
        <w:tabs>
          <w:tab w:val="clear" w:pos="708"/>
          <w:tab w:val="left" w:pos="284" w:leader="none"/>
          <w:tab w:val="left" w:pos="1134" w:leader="none"/>
        </w:tabs>
        <w:ind w:left="0" w:firstLine="709"/>
        <w:jc w:val="both"/>
        <w:rPr/>
      </w:pPr>
      <w:r>
        <w:rPr/>
        <w:t>В течение 15 (пятнадцати) рабочих дней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с приложением Отчета об оказании Услуг и иных отчетных документов, предусмотренных Техническими требованиями (Приложение № 1 к Договору),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p>
    <w:p>
      <w:pPr>
        <w:pStyle w:val="ListParagraph"/>
        <w:numPr>
          <w:ilvl w:val="1"/>
          <w:numId w:val="3"/>
        </w:numPr>
        <w:shd w:val="clear" w:color="auto" w:fill="FFFFFF"/>
        <w:tabs>
          <w:tab w:val="clear" w:pos="708"/>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3"/>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3"/>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3"/>
        </w:numPr>
        <w:shd w:val="clear" w:color="auto" w:fill="FFFFFF"/>
        <w:ind w:left="0" w:hanging="0"/>
        <w:jc w:val="center"/>
        <w:rPr>
          <w:b/>
          <w:bCs/>
        </w:rPr>
      </w:pPr>
      <w:r>
        <w:rPr>
          <w:b/>
          <w:bCs/>
        </w:rPr>
        <w:t>Ответственность Сторон</w:t>
      </w:r>
    </w:p>
    <w:p>
      <w:pPr>
        <w:pStyle w:val="ListParagraph"/>
        <w:numPr>
          <w:ilvl w:val="1"/>
          <w:numId w:val="3"/>
        </w:numPr>
        <w:tabs>
          <w:tab w:val="clear" w:pos="708"/>
          <w:tab w:val="left" w:pos="1276" w:leader="none"/>
        </w:tabs>
        <w:ind w:left="0" w:firstLine="709"/>
        <w:jc w:val="both"/>
        <w:rPr/>
      </w:pPr>
      <w: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3"/>
        </w:numPr>
        <w:tabs>
          <w:tab w:val="clear" w:pos="708"/>
          <w:tab w:val="left" w:pos="709" w:leader="none"/>
          <w:tab w:val="left" w:pos="1134" w:leader="none"/>
        </w:tabs>
        <w:ind w:left="0" w:firstLine="709"/>
        <w:jc w:val="both"/>
        <w:rPr>
          <w:lang w:val="ru-RU"/>
        </w:rPr>
      </w:pPr>
      <w:r>
        <w:rPr>
          <w:bCs/>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numPr>
          <w:ilvl w:val="1"/>
          <w:numId w:val="3"/>
        </w:numPr>
        <w:tabs>
          <w:tab w:val="clear" w:pos="708"/>
          <w:tab w:val="left" w:pos="709" w:leader="none"/>
          <w:tab w:val="left" w:pos="1134" w:leader="none"/>
        </w:tabs>
        <w:ind w:left="0" w:firstLine="709"/>
        <w:jc w:val="both"/>
        <w:rPr>
          <w:lang w:val="ru-RU"/>
        </w:rPr>
      </w:pPr>
      <w:r>
        <w:rPr>
          <w:lang w:val="ru-RU"/>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lang w:val="ru-RU"/>
        </w:rPr>
        <w:t>трафной неустойки в размере 0,1 (ноль целых и одна десятая) процента от Цены Договора за каждый день просрочки.</w:t>
      </w:r>
    </w:p>
    <w:p>
      <w:pPr>
        <w:pStyle w:val="Normal"/>
        <w:numPr>
          <w:ilvl w:val="1"/>
          <w:numId w:val="3"/>
        </w:numPr>
        <w:tabs>
          <w:tab w:val="clear" w:pos="708"/>
          <w:tab w:val="left" w:pos="709" w:leader="none"/>
          <w:tab w:val="left" w:pos="1134" w:leader="none"/>
        </w:tabs>
        <w:ind w:left="0" w:firstLine="709"/>
        <w:jc w:val="both"/>
        <w:rPr>
          <w:lang w:val="ru-RU"/>
        </w:rPr>
      </w:pPr>
      <w:r>
        <w:rPr>
          <w:bCs/>
          <w:lang w:val="ru-RU"/>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w:t>
      </w:r>
      <w:r>
        <w:rPr>
          <w:bCs/>
          <w:shd w:fill="auto" w:val="clear"/>
          <w:lang w:val="ru-RU"/>
        </w:rPr>
        <w:t xml:space="preserve">уплаты Исполнителем штрафа в размерах, установленных Приложением № 2 к Договору. </w:t>
      </w:r>
    </w:p>
    <w:p>
      <w:pPr>
        <w:pStyle w:val="ListParagraph"/>
        <w:numPr>
          <w:ilvl w:val="1"/>
          <w:numId w:val="3"/>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highlight w:val="lightGray"/>
        </w:rPr>
      </w:pPr>
      <w:r>
        <w:rPr>
          <w:bCs/>
          <w:highlight w:val="lightGray"/>
          <w:shd w:fill="auto" w:val="clear"/>
          <w:lang w:val="ru-RU"/>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3.9 Договора, Заказчик вправе требовать уплаты Исполнителем штрафа в размере 50 000 (Пятидесяти тысяч) рублей за каждый случай нарушения. </w:t>
      </w:r>
      <w:r>
        <w:rPr>
          <w:bCs/>
          <w:i/>
          <w:iCs/>
          <w:highlight w:val="lightGray"/>
          <w:shd w:fill="auto" w:val="clear"/>
          <w:lang w:val="ru-RU"/>
        </w:rPr>
        <w:t>(если предусмотрен НДС)</w:t>
      </w:r>
    </w:p>
    <w:p>
      <w:pPr>
        <w:pStyle w:val="Normal"/>
        <w:numPr>
          <w:ilvl w:val="1"/>
          <w:numId w:val="3"/>
        </w:numPr>
        <w:tabs>
          <w:tab w:val="clear" w:pos="708"/>
          <w:tab w:val="left" w:pos="709" w:leader="none"/>
          <w:tab w:val="left" w:pos="1134" w:leader="none"/>
        </w:tabs>
        <w:ind w:left="0" w:firstLine="709"/>
        <w:jc w:val="both"/>
        <w:rPr>
          <w:lang w:val="ru-RU"/>
        </w:rPr>
      </w:pPr>
      <w:r>
        <w:rPr>
          <w:bCs/>
          <w:lang w:val="ru-RU"/>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Normal"/>
        <w:numPr>
          <w:ilvl w:val="1"/>
          <w:numId w:val="3"/>
        </w:numPr>
        <w:tabs>
          <w:tab w:val="clear" w:pos="708"/>
          <w:tab w:val="left" w:pos="709" w:leader="none"/>
          <w:tab w:val="left" w:pos="1134" w:leader="none"/>
        </w:tabs>
        <w:ind w:left="0" w:firstLine="709"/>
        <w:jc w:val="both"/>
        <w:rPr>
          <w:lang w:val="ru-RU"/>
        </w:rPr>
      </w:pPr>
      <w:r>
        <w:rPr>
          <w:rFonts w:eastAsia="Calibri"/>
          <w:bCs/>
          <w:lang w:val="ru-RU"/>
        </w:rPr>
        <w:t xml:space="preserve">Предусмотренная Договором неустойка за неисполнение (ненадлежащее исполнение) Исполнителем обязательств является штрафной. </w:t>
      </w:r>
      <w:r>
        <w:rPr>
          <w:rFonts w:eastAsia="Calibri"/>
          <w:bCs/>
        </w:rPr>
        <w:t>Убытки подлежат возмещению в полной сумме сверх неустойки.</w:t>
      </w:r>
    </w:p>
    <w:p>
      <w:pPr>
        <w:pStyle w:val="Normal"/>
        <w:numPr>
          <w:ilvl w:val="1"/>
          <w:numId w:val="3"/>
        </w:numPr>
        <w:tabs>
          <w:tab w:val="clear" w:pos="708"/>
          <w:tab w:val="left" w:pos="709" w:leader="none"/>
          <w:tab w:val="left" w:pos="1134" w:leader="none"/>
        </w:tabs>
        <w:ind w:left="0" w:firstLine="709"/>
        <w:jc w:val="both"/>
        <w:rPr>
          <w:lang w:val="ru-RU"/>
        </w:rPr>
      </w:pPr>
      <w:r>
        <w:rPr>
          <w:lang w:val="ru-RU"/>
        </w:rPr>
        <w:t>Ответственность Заказчика за причиненные Исполнителю убытки ограничивается реальным ущербом, но не более Цены Договора.</w:t>
      </w:r>
    </w:p>
    <w:p>
      <w:pPr>
        <w:pStyle w:val="Normal"/>
        <w:numPr>
          <w:ilvl w:val="1"/>
          <w:numId w:val="3"/>
        </w:numPr>
        <w:tabs>
          <w:tab w:val="clear" w:pos="708"/>
          <w:tab w:val="left" w:pos="709" w:leader="none"/>
          <w:tab w:val="left" w:pos="1134" w:leader="none"/>
        </w:tabs>
        <w:ind w:left="0" w:firstLine="709"/>
        <w:jc w:val="both"/>
        <w:rPr>
          <w:lang w:val="ru-RU"/>
        </w:rPr>
      </w:pPr>
      <w:r>
        <w:rPr>
          <w:bCs/>
          <w:lang w:val="ru-RU"/>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numPr>
          <w:ilvl w:val="1"/>
          <w:numId w:val="3"/>
        </w:numPr>
        <w:tabs>
          <w:tab w:val="clear" w:pos="708"/>
          <w:tab w:val="left" w:pos="709" w:leader="none"/>
          <w:tab w:val="left" w:pos="1134" w:leader="none"/>
        </w:tabs>
        <w:ind w:left="0" w:firstLine="709"/>
        <w:jc w:val="both"/>
        <w:rPr>
          <w:lang w:val="ru-RU"/>
        </w:rPr>
      </w:pPr>
      <w:r>
        <w:rPr>
          <w:bCs/>
          <w:lang w:val="ru-RU"/>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Normal"/>
        <w:numPr>
          <w:ilvl w:val="1"/>
          <w:numId w:val="3"/>
        </w:numPr>
        <w:tabs>
          <w:tab w:val="clear" w:pos="708"/>
          <w:tab w:val="left" w:pos="709" w:leader="none"/>
          <w:tab w:val="left" w:pos="1134" w:leader="none"/>
        </w:tabs>
        <w:ind w:left="0" w:firstLine="709"/>
        <w:jc w:val="both"/>
        <w:rPr>
          <w:lang w:val="ru-RU"/>
        </w:rPr>
      </w:pPr>
      <w:r>
        <w:rPr>
          <w:bCs/>
          <w:lang w:val="ru-RU"/>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Normal"/>
        <w:numPr>
          <w:ilvl w:val="1"/>
          <w:numId w:val="3"/>
        </w:numPr>
        <w:tabs>
          <w:tab w:val="clear" w:pos="708"/>
          <w:tab w:val="left" w:pos="709" w:leader="none"/>
          <w:tab w:val="left" w:pos="1134" w:leader="none"/>
        </w:tabs>
        <w:ind w:left="0" w:firstLine="709"/>
        <w:jc w:val="both"/>
        <w:rPr>
          <w:lang w:val="ru-RU"/>
        </w:rPr>
      </w:pPr>
      <w:r>
        <w:rPr>
          <w:bCs/>
          <w:lang w:val="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lang w:val="ru-RU"/>
        </w:rPr>
        <w:t xml:space="preserve"> </w:t>
      </w:r>
      <w:r>
        <w:rPr>
          <w:bCs/>
          <w:lang w:val="ru-RU"/>
        </w:rPr>
        <w:t>сумма неустойки, подлежащая уплате виновной Стороной, определяется на основании решения суда.</w:t>
      </w:r>
    </w:p>
    <w:p>
      <w:pPr>
        <w:pStyle w:val="Normal"/>
        <w:shd w:val="clear" w:color="auto" w:fill="FFFFFF"/>
        <w:jc w:val="both"/>
        <w:rPr>
          <w:lang w:val="ru-RU"/>
        </w:rPr>
      </w:pPr>
      <w:r>
        <w:rPr>
          <w:lang w:val="ru-RU"/>
        </w:rPr>
      </w:r>
    </w:p>
    <w:p>
      <w:pPr>
        <w:pStyle w:val="ListParagraph"/>
        <w:numPr>
          <w:ilvl w:val="0"/>
          <w:numId w:val="3"/>
        </w:numPr>
        <w:shd w:val="clear" w:color="auto" w:fill="FFFFFF"/>
        <w:tabs>
          <w:tab w:val="clear" w:pos="708"/>
          <w:tab w:val="left" w:pos="0" w:leader="none"/>
        </w:tabs>
        <w:ind w:left="0" w:hanging="0"/>
        <w:jc w:val="center"/>
        <w:rPr>
          <w:b/>
          <w:bCs/>
        </w:rPr>
      </w:pPr>
      <w:r>
        <w:rPr>
          <w:b/>
          <w:bCs/>
        </w:rPr>
        <w:t>Конфиденциальность</w:t>
      </w:r>
    </w:p>
    <w:p>
      <w:pPr>
        <w:pStyle w:val="ListParagraph"/>
        <w:numPr>
          <w:ilvl w:val="1"/>
          <w:numId w:val="3"/>
        </w:numPr>
        <w:shd w:val="clear" w:color="auto" w:fill="FFFFFF"/>
        <w:tabs>
          <w:tab w:val="clear" w:pos="708"/>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10"/>
        </w:numPr>
        <w:tabs>
          <w:tab w:val="clear" w:pos="708"/>
          <w:tab w:val="left" w:pos="993"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10"/>
        </w:numPr>
        <w:tabs>
          <w:tab w:val="clear" w:pos="708"/>
          <w:tab w:val="left" w:pos="993"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
        </w:numPr>
        <w:shd w:val="clear" w:color="auto" w:fill="FFFFFF"/>
        <w:tabs>
          <w:tab w:val="clear" w:pos="708"/>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
        </w:numPr>
        <w:shd w:val="clear" w:color="auto" w:fill="FFFFFF"/>
        <w:tabs>
          <w:tab w:val="clear" w:pos="708"/>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
        </w:numPr>
        <w:shd w:val="clear" w:color="auto" w:fill="FFFFFF"/>
        <w:tabs>
          <w:tab w:val="clear" w:pos="708"/>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
        </w:numPr>
        <w:shd w:val="clear" w:color="auto" w:fill="FFFFFF"/>
        <w:tabs>
          <w:tab w:val="clear" w:pos="708"/>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11"/>
        </w:numPr>
        <w:tabs>
          <w:tab w:val="clear" w:pos="708"/>
          <w:tab w:val="left" w:pos="993"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11"/>
        </w:numPr>
        <w:tabs>
          <w:tab w:val="clear" w:pos="708"/>
          <w:tab w:val="left" w:pos="993" w:leader="none"/>
        </w:tabs>
        <w:ind w:left="0" w:firstLine="709"/>
        <w:jc w:val="both"/>
        <w:rPr>
          <w:bCs/>
        </w:rPr>
      </w:pPr>
      <w:r>
        <w:rPr>
          <w:bCs/>
        </w:rPr>
        <w:t>учетные регистры бухгалтерского учета;</w:t>
      </w:r>
    </w:p>
    <w:p>
      <w:pPr>
        <w:pStyle w:val="Normal"/>
        <w:numPr>
          <w:ilvl w:val="0"/>
          <w:numId w:val="11"/>
        </w:numPr>
        <w:tabs>
          <w:tab w:val="clear" w:pos="708"/>
          <w:tab w:val="left" w:pos="993" w:leader="none"/>
        </w:tabs>
        <w:ind w:left="0" w:firstLine="709"/>
        <w:jc w:val="both"/>
        <w:rPr>
          <w:bCs/>
        </w:rPr>
      </w:pPr>
      <w:r>
        <w:rPr>
          <w:bCs/>
        </w:rPr>
        <w:t>бизнес-планы;</w:t>
      </w:r>
    </w:p>
    <w:p>
      <w:pPr>
        <w:pStyle w:val="Normal"/>
        <w:numPr>
          <w:ilvl w:val="0"/>
          <w:numId w:val="11"/>
        </w:numPr>
        <w:tabs>
          <w:tab w:val="clear" w:pos="708"/>
          <w:tab w:val="left" w:pos="993"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11"/>
        </w:numPr>
        <w:tabs>
          <w:tab w:val="clear" w:pos="708"/>
          <w:tab w:val="left" w:pos="993"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11"/>
        </w:numPr>
        <w:tabs>
          <w:tab w:val="clear" w:pos="708"/>
          <w:tab w:val="left" w:pos="993"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11"/>
        </w:numPr>
        <w:tabs>
          <w:tab w:val="clear" w:pos="708"/>
          <w:tab w:val="left" w:pos="993"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11"/>
        </w:numPr>
        <w:tabs>
          <w:tab w:val="clear" w:pos="708"/>
          <w:tab w:val="left" w:pos="993" w:leader="none"/>
        </w:tabs>
        <w:ind w:left="0" w:firstLine="709"/>
        <w:jc w:val="both"/>
        <w:rPr>
          <w:bCs/>
          <w:lang w:val="ru-RU"/>
        </w:rPr>
      </w:pPr>
      <w:r>
        <w:rPr>
          <w:bCs/>
          <w:lang w:val="ru-RU"/>
        </w:rPr>
        <w:t>сведения об объемах производства и/или реализации продукции и услуг Заказчика или его аффилированных лиц;</w:t>
      </w:r>
    </w:p>
    <w:p>
      <w:pPr>
        <w:pStyle w:val="Normal"/>
        <w:numPr>
          <w:ilvl w:val="0"/>
          <w:numId w:val="11"/>
        </w:numPr>
        <w:tabs>
          <w:tab w:val="clear" w:pos="708"/>
          <w:tab w:val="left" w:pos="993"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
        </w:numPr>
        <w:shd w:val="clear" w:color="auto" w:fill="FFFFFF"/>
        <w:tabs>
          <w:tab w:val="clear" w:pos="708"/>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3"/>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3"/>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
        </w:numPr>
        <w:shd w:val="clear" w:color="auto" w:fill="FFFFFF"/>
        <w:tabs>
          <w:tab w:val="clear" w:pos="708"/>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3"/>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
        </w:numPr>
        <w:shd w:val="clear" w:color="auto" w:fill="FFFFFF"/>
        <w:tabs>
          <w:tab w:val="clear" w:pos="708"/>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3"/>
        </w:numPr>
        <w:shd w:val="clear" w:color="auto" w:fill="FFFFFF"/>
        <w:tabs>
          <w:tab w:val="clear" w:pos="708"/>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jc w:val="both"/>
        <w:rPr>
          <w:bCs/>
          <w:lang w:val="ru-RU"/>
        </w:rPr>
      </w:pPr>
      <w:r>
        <w:rPr>
          <w:bCs/>
          <w:lang w:val="ru-RU"/>
        </w:rPr>
      </w:r>
    </w:p>
    <w:p>
      <w:pPr>
        <w:pStyle w:val="ListParagraph"/>
        <w:numPr>
          <w:ilvl w:val="0"/>
          <w:numId w:val="3"/>
        </w:numPr>
        <w:shd w:val="clear" w:color="auto" w:fill="FFFFFF"/>
        <w:tabs>
          <w:tab w:val="clear" w:pos="708"/>
          <w:tab w:val="left" w:pos="426" w:leader="none"/>
        </w:tabs>
        <w:ind w:left="0" w:hanging="0"/>
        <w:jc w:val="center"/>
        <w:rPr>
          <w:b/>
          <w:bCs/>
        </w:rPr>
      </w:pPr>
      <w:r>
        <w:rPr>
          <w:b/>
          <w:bCs/>
        </w:rPr>
        <w:t>Разрешение споров</w:t>
      </w:r>
    </w:p>
    <w:p>
      <w:pPr>
        <w:pStyle w:val="ListParagraph"/>
        <w:numPr>
          <w:ilvl w:val="1"/>
          <w:numId w:val="3"/>
        </w:numPr>
        <w:shd w:val="clear" w:color="auto" w:fill="FFFFFF"/>
        <w:tabs>
          <w:tab w:val="clear" w:pos="708"/>
          <w:tab w:val="left" w:pos="0"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numPr>
          <w:ilvl w:val="1"/>
          <w:numId w:val="3"/>
        </w:numPr>
        <w:shd w:val="clear" w:color="auto" w:fill="FFFFFF"/>
        <w:tabs>
          <w:tab w:val="clear" w:pos="708"/>
          <w:tab w:val="left" w:pos="0" w:leader="none"/>
          <w:tab w:val="left" w:pos="1418" w:leader="none"/>
        </w:tabs>
        <w:ind w:left="0" w:firstLine="709"/>
        <w:jc w:val="both"/>
        <w:rPr>
          <w:bCs/>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numPr>
          <w:ilvl w:val="1"/>
          <w:numId w:val="3"/>
        </w:numPr>
        <w:shd w:val="clear" w:color="auto" w:fill="FFFFFF"/>
        <w:tabs>
          <w:tab w:val="clear" w:pos="708"/>
          <w:tab w:val="left" w:pos="0"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pPr>
        <w:pStyle w:val="ListParagraph"/>
        <w:numPr>
          <w:ilvl w:val="1"/>
          <w:numId w:val="3"/>
        </w:numPr>
        <w:shd w:val="clear" w:color="auto" w:fill="FFFFFF"/>
        <w:tabs>
          <w:tab w:val="clear" w:pos="708"/>
          <w:tab w:val="left" w:pos="0"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
        </w:numPr>
        <w:shd w:val="clear" w:color="auto" w:fill="FFFFFF"/>
        <w:tabs>
          <w:tab w:val="clear" w:pos="708"/>
          <w:tab w:val="left" w:pos="0"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jc w:val="both"/>
        <w:rPr>
          <w:lang w:val="ru-RU"/>
        </w:rPr>
      </w:pPr>
      <w:r>
        <w:rPr>
          <w:lang w:val="ru-RU"/>
        </w:rPr>
      </w:r>
    </w:p>
    <w:p>
      <w:pPr>
        <w:pStyle w:val="ListParagraph"/>
        <w:numPr>
          <w:ilvl w:val="0"/>
          <w:numId w:val="3"/>
        </w:numPr>
        <w:shd w:val="clear" w:color="auto" w:fill="FFFFFF"/>
        <w:ind w:left="0" w:hanging="0"/>
        <w:jc w:val="center"/>
        <w:rPr>
          <w:b/>
          <w:bCs/>
        </w:rPr>
      </w:pPr>
      <w:r>
        <w:rPr>
          <w:b/>
          <w:bCs/>
        </w:rPr>
        <w:t>Антикоррупционная оговорка</w:t>
      </w:r>
    </w:p>
    <w:p>
      <w:pPr>
        <w:pStyle w:val="ListParagraph"/>
        <w:numPr>
          <w:ilvl w:val="1"/>
          <w:numId w:val="3"/>
        </w:numPr>
        <w:shd w:val="clear" w:color="auto" w:fill="FFFFFF"/>
        <w:tabs>
          <w:tab w:val="clear" w:pos="708"/>
          <w:tab w:val="left" w:pos="0" w:leader="none"/>
          <w:tab w:val="left" w:pos="1134" w:leader="none"/>
        </w:tabs>
        <w:ind w:left="0" w:firstLine="709"/>
        <w:jc w:val="both"/>
        <w:rPr>
          <w:bCs/>
        </w:rPr>
      </w:pPr>
      <w:r>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rPr>
        <w:t>.</w:t>
      </w:r>
    </w:p>
    <w:p>
      <w:pPr>
        <w:pStyle w:val="ListParagraph"/>
        <w:numPr>
          <w:ilvl w:val="1"/>
          <w:numId w:val="3"/>
        </w:numPr>
        <w:shd w:val="clear" w:color="auto" w:fill="FFFFFF"/>
        <w:tabs>
          <w:tab w:val="clear" w:pos="708"/>
          <w:tab w:val="left" w:pos="0" w:leader="none"/>
          <w:tab w:val="left" w:pos="1134" w:leader="none"/>
        </w:tabs>
        <w:ind w:left="0" w:firstLine="709"/>
        <w:jc w:val="both"/>
        <w:rPr>
          <w:bCs/>
        </w:rPr>
      </w:pPr>
      <w:r>
        <w:rPr>
          <w:bCs/>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3"/>
        </w:numPr>
        <w:shd w:val="clear" w:color="auto" w:fill="FFFFFF"/>
        <w:tabs>
          <w:tab w:val="clear" w:pos="708"/>
          <w:tab w:val="left" w:pos="0" w:leader="none"/>
          <w:tab w:val="left" w:pos="1134" w:leader="none"/>
        </w:tabs>
        <w:ind w:left="0" w:firstLine="709"/>
        <w:jc w:val="both"/>
        <w:rPr>
          <w:bCs/>
        </w:rPr>
      </w:pPr>
      <w:r>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3"/>
        </w:numPr>
        <w:shd w:val="clear" w:color="auto" w:fill="FFFFFF"/>
        <w:tabs>
          <w:tab w:val="clear" w:pos="708"/>
          <w:tab w:val="left" w:pos="0" w:leader="none"/>
          <w:tab w:val="left" w:pos="1134" w:leader="none"/>
        </w:tabs>
        <w:ind w:left="0" w:firstLine="709"/>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3"/>
        </w:numPr>
        <w:shd w:val="clear" w:color="auto" w:fill="FFFFFF"/>
        <w:tabs>
          <w:tab w:val="clear" w:pos="708"/>
          <w:tab w:val="left" w:pos="0" w:leader="none"/>
          <w:tab w:val="left" w:pos="1134" w:leader="none"/>
        </w:tabs>
        <w:ind w:left="0" w:firstLine="709"/>
        <w:jc w:val="both"/>
        <w:rPr>
          <w:bCs/>
        </w:rPr>
      </w:pPr>
      <w:r>
        <w:rPr>
          <w:bC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3"/>
        </w:numPr>
        <w:shd w:val="clear" w:color="auto" w:fill="FFFFFF"/>
        <w:tabs>
          <w:tab w:val="clear" w:pos="708"/>
          <w:tab w:val="left" w:pos="0" w:leader="none"/>
          <w:tab w:val="left" w:pos="1134" w:leader="none"/>
        </w:tabs>
        <w:ind w:left="0" w:firstLine="709"/>
        <w:jc w:val="both"/>
        <w:rPr>
          <w:bCs/>
        </w:rPr>
      </w:pPr>
      <w:r>
        <w:rPr>
          <w:bC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3"/>
        </w:numPr>
        <w:shd w:val="clear" w:color="auto" w:fill="FFFFFF"/>
        <w:tabs>
          <w:tab w:val="clear" w:pos="708"/>
          <w:tab w:val="left" w:pos="0" w:leader="none"/>
          <w:tab w:val="left" w:pos="1134" w:leader="none"/>
        </w:tabs>
        <w:ind w:left="0" w:firstLine="709"/>
        <w:jc w:val="both"/>
        <w:rPr>
          <w:bCs/>
        </w:rPr>
      </w:pPr>
      <w:r>
        <w:rPr>
          <w:bCs/>
        </w:rPr>
        <w:t>Каналы связи Линия доверия Группы РусГидро.</w:t>
      </w:r>
    </w:p>
    <w:p>
      <w:pPr>
        <w:pStyle w:val="ListParagraph"/>
        <w:numPr>
          <w:ilvl w:val="2"/>
          <w:numId w:val="3"/>
        </w:numPr>
        <w:shd w:val="clear" w:color="auto" w:fill="FFFFFF"/>
        <w:tabs>
          <w:tab w:val="clear" w:pos="708"/>
          <w:tab w:val="left" w:pos="0" w:leader="none"/>
          <w:tab w:val="left" w:pos="1134" w:leader="none"/>
        </w:tabs>
        <w:ind w:left="0" w:firstLine="709"/>
        <w:jc w:val="both"/>
        <w:rPr>
          <w:bCs/>
        </w:rPr>
      </w:pPr>
      <w:r>
        <w:rPr>
          <w:bCs/>
        </w:rPr>
        <w:t xml:space="preserve">Электронная почта: </w:t>
      </w:r>
      <w:hyperlink r:id="rId2">
        <w:r>
          <w:rPr>
            <w:rStyle w:val="Hyperlink"/>
            <w:bCs/>
            <w:color w:val="auto"/>
          </w:rPr>
          <w:t>ld@rushydro.ru</w:t>
        </w:r>
      </w:hyperlink>
      <w:r>
        <w:rPr>
          <w:bCs/>
        </w:rPr>
        <w:t>.</w:t>
      </w:r>
    </w:p>
    <w:p>
      <w:pPr>
        <w:pStyle w:val="ListParagraph"/>
        <w:numPr>
          <w:ilvl w:val="2"/>
          <w:numId w:val="3"/>
        </w:numPr>
        <w:shd w:val="clear" w:color="auto" w:fill="FFFFFF"/>
        <w:tabs>
          <w:tab w:val="clear" w:pos="708"/>
          <w:tab w:val="left" w:pos="0" w:leader="none"/>
          <w:tab w:val="left" w:pos="1134" w:leader="none"/>
        </w:tabs>
        <w:ind w:left="0" w:firstLine="709"/>
        <w:jc w:val="both"/>
        <w:rPr>
          <w:bCs/>
        </w:rPr>
      </w:pPr>
      <w:r>
        <w:rPr>
          <w:bCs/>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3"/>
        </w:numPr>
        <w:shd w:val="clear" w:color="auto" w:fill="FFFFFF"/>
        <w:tabs>
          <w:tab w:val="clear" w:pos="708"/>
          <w:tab w:val="left" w:pos="0" w:leader="none"/>
          <w:tab w:val="left" w:pos="1134" w:leader="none"/>
        </w:tabs>
        <w:ind w:left="0" w:firstLine="709"/>
        <w:jc w:val="both"/>
        <w:rPr>
          <w:bCs/>
        </w:rPr>
      </w:pPr>
      <w:r>
        <w:rPr>
          <w:bC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hanging="0"/>
        <w:jc w:val="both"/>
        <w:rPr>
          <w:b/>
          <w:bCs/>
        </w:rPr>
      </w:pPr>
      <w:r>
        <w:rPr>
          <w:b/>
          <w:bCs/>
        </w:rPr>
      </w:r>
    </w:p>
    <w:p>
      <w:pPr>
        <w:pStyle w:val="ListParagraph"/>
        <w:numPr>
          <w:ilvl w:val="0"/>
          <w:numId w:val="3"/>
        </w:numPr>
        <w:shd w:val="clear" w:color="auto" w:fill="FFFFFF"/>
        <w:ind w:left="0" w:hanging="0"/>
        <w:jc w:val="center"/>
        <w:rPr>
          <w:b/>
          <w:bCs/>
        </w:rPr>
      </w:pPr>
      <w:r>
        <w:rPr>
          <w:b/>
          <w:bCs/>
        </w:rPr>
        <w:t>Обстоятельства непреодолимой силы (форс-мажор)</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134"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hd w:val="clear" w:color="auto" w:fill="FFFFFF"/>
        <w:jc w:val="both"/>
        <w:rPr>
          <w:bCs/>
          <w:lang w:val="ru-RU"/>
        </w:rPr>
      </w:pPr>
      <w:r>
        <w:rPr>
          <w:bCs/>
          <w:lang w:val="ru-RU"/>
        </w:rPr>
      </w:r>
    </w:p>
    <w:p>
      <w:pPr>
        <w:pStyle w:val="ListParagraph"/>
        <w:numPr>
          <w:ilvl w:val="0"/>
          <w:numId w:val="3"/>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 xml:space="preserve">она является </w:t>
      </w:r>
      <w:r>
        <w:rPr>
          <w:shd w:fill="auto" w:val="clear"/>
        </w:rPr>
        <w:t xml:space="preserve">юридическим лицом </w:t>
      </w:r>
      <w:r>
        <w:rPr>
          <w:highlight w:val="lightGray"/>
          <w:shd w:fill="auto" w:val="clear"/>
        </w:rPr>
        <w:t>/ индивидуальным предпринимателем</w:t>
      </w:r>
      <w:r>
        <w:rPr>
          <w:shd w:fill="auto" w:val="clear"/>
        </w:rPr>
        <w:t xml:space="preserve">, надлежащим образом учрежденным </w:t>
      </w:r>
      <w:r>
        <w:rPr>
          <w:highlight w:val="lightGray"/>
          <w:shd w:fill="auto" w:val="clear"/>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
        </w:numPr>
        <w:shd w:val="clear" w:color="auto" w:fill="FFFFFF"/>
        <w:tabs>
          <w:tab w:val="clear" w:pos="708"/>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hanging="0"/>
        <w:jc w:val="both"/>
        <w:rPr/>
      </w:pPr>
      <w:r>
        <w:rPr/>
      </w:r>
    </w:p>
    <w:p>
      <w:pPr>
        <w:pStyle w:val="ListParagraph"/>
        <w:numPr>
          <w:ilvl w:val="0"/>
          <w:numId w:val="3"/>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4"/>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4"/>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4"/>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4"/>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4"/>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4"/>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4"/>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3"/>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
        </w:numPr>
        <w:shd w:val="clear" w:color="auto" w:fill="FFFFFF"/>
        <w:tabs>
          <w:tab w:val="clear" w:pos="708"/>
          <w:tab w:val="left" w:pos="355"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jc w:val="both"/>
        <w:rPr>
          <w:lang w:val="ru-RU"/>
        </w:rPr>
      </w:pPr>
      <w:r>
        <w:rPr>
          <w:lang w:val="ru-RU"/>
        </w:rPr>
      </w:r>
    </w:p>
    <w:p>
      <w:pPr>
        <w:pStyle w:val="ListParagraph"/>
        <w:numPr>
          <w:ilvl w:val="0"/>
          <w:numId w:val="3"/>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
        </w:numPr>
        <w:shd w:val="clear" w:color="auto" w:fill="FFFFFF"/>
        <w:tabs>
          <w:tab w:val="clear" w:pos="708"/>
          <w:tab w:val="left" w:pos="0" w:leader="none"/>
          <w:tab w:val="left" w:pos="1418"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3"/>
        </w:numPr>
        <w:shd w:val="clear" w:color="auto" w:fill="FFFFFF"/>
        <w:tabs>
          <w:tab w:val="clear" w:pos="708"/>
          <w:tab w:val="left" w:pos="0" w:leader="none"/>
          <w:tab w:val="left" w:pos="1418" w:leader="none"/>
        </w:tabs>
        <w:ind w:left="0" w:firstLine="709"/>
        <w:jc w:val="both"/>
        <w:rPr/>
      </w:pPr>
      <w: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numPr>
          <w:ilvl w:val="1"/>
          <w:numId w:val="3"/>
        </w:numPr>
        <w:shd w:val="clear" w:color="auto" w:fill="FFFFFF"/>
        <w:tabs>
          <w:tab w:val="clear" w:pos="708"/>
          <w:tab w:val="left" w:pos="0" w:leader="none"/>
          <w:tab w:val="left" w:pos="1418"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
        </w:numPr>
        <w:shd w:val="clear" w:color="auto" w:fill="FFFFFF"/>
        <w:tabs>
          <w:tab w:val="clear" w:pos="708"/>
          <w:tab w:val="left" w:pos="0" w:leader="none"/>
          <w:tab w:val="left" w:pos="1418"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
        </w:numPr>
        <w:shd w:val="clear" w:color="auto" w:fill="FFFFFF"/>
        <w:tabs>
          <w:tab w:val="clear" w:pos="708"/>
          <w:tab w:val="left" w:pos="0" w:leader="none"/>
          <w:tab w:val="left" w:pos="1418"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pPr>
        <w:pStyle w:val="ListParagraph"/>
        <w:numPr>
          <w:ilvl w:val="1"/>
          <w:numId w:val="3"/>
        </w:numPr>
        <w:shd w:val="clear" w:color="auto" w:fill="FFFFFF"/>
        <w:tabs>
          <w:tab w:val="clear" w:pos="708"/>
          <w:tab w:val="left" w:pos="0" w:leader="none"/>
          <w:tab w:val="left" w:pos="1418" w:leader="none"/>
        </w:tabs>
        <w:ind w:left="0" w:firstLine="709"/>
        <w:jc w:val="both"/>
        <w:rPr/>
      </w:pPr>
      <w:bookmarkStart w:id="16" w:name="_Ref361338004"/>
      <w:r>
        <w:rP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6"/>
      <w:r>
        <w:rPr/>
        <w:t xml:space="preserve"> </w:t>
      </w:r>
    </w:p>
    <w:p>
      <w:pPr>
        <w:pStyle w:val="ListParagraph"/>
        <w:numPr>
          <w:ilvl w:val="1"/>
          <w:numId w:val="3"/>
        </w:numPr>
        <w:shd w:val="clear" w:color="auto" w:fill="FFFFFF"/>
        <w:tabs>
          <w:tab w:val="clear" w:pos="708"/>
          <w:tab w:val="left" w:pos="0" w:leader="none"/>
          <w:tab w:val="left" w:pos="1134" w:leader="none"/>
          <w:tab w:val="left" w:pos="1418" w:leader="none"/>
        </w:tabs>
        <w:ind w:left="0" w:firstLine="709"/>
        <w:jc w:val="both"/>
        <w:rPr>
          <w:bCs/>
        </w:rPr>
      </w:pPr>
      <w:r>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3"/>
        </w:numPr>
        <w:ind w:left="0" w:firstLine="709"/>
        <w:jc w:val="both"/>
        <w:rPr/>
      </w:pPr>
      <w:r>
        <w:rPr>
          <w:bCs/>
        </w:rPr>
        <w:t xml:space="preserve">По </w:t>
      </w:r>
      <w:bookmarkStart w:id="17" w:name="_Hlk154477081"/>
      <w:r>
        <w:rPr>
          <w:bCs/>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7"/>
      <w:r>
        <w:rPr/>
        <w:t>:</w:t>
      </w:r>
    </w:p>
    <w:p>
      <w:pPr>
        <w:pStyle w:val="ListParagraph"/>
        <w:numPr>
          <w:ilvl w:val="0"/>
          <w:numId w:val="16"/>
        </w:numPr>
        <w:tabs>
          <w:tab w:val="clear" w:pos="708"/>
          <w:tab w:val="left" w:pos="993" w:leader="none"/>
        </w:tabs>
        <w:ind w:left="0" w:firstLine="709"/>
        <w:jc w:val="both"/>
        <w:rPr/>
      </w:pPr>
      <w:r>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6"/>
        </w:numPr>
        <w:tabs>
          <w:tab w:val="clear" w:pos="708"/>
          <w:tab w:val="left" w:pos="993" w:leader="none"/>
        </w:tabs>
        <w:ind w:left="0" w:firstLine="709"/>
        <w:jc w:val="both"/>
        <w:rPr/>
      </w:pPr>
      <w:bookmarkStart w:id="18" w:name="_Hlk154477143"/>
      <w:r>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8"/>
    </w:p>
    <w:p>
      <w:pPr>
        <w:pStyle w:val="ListParagraph"/>
        <w:numPr>
          <w:ilvl w:val="2"/>
          <w:numId w:val="3"/>
        </w:numPr>
        <w:ind w:left="0" w:firstLine="709"/>
        <w:jc w:val="both"/>
        <w:rPr/>
      </w:pPr>
      <w:r>
        <w:rPr>
          <w:bCs/>
        </w:rPr>
        <w:t xml:space="preserve">Посредством </w:t>
      </w:r>
      <w:bookmarkStart w:id="19" w:name="_Hlk154477165"/>
      <w:r>
        <w:rPr>
          <w:bCs/>
        </w:rPr>
        <w:t>ЭДО через оператора системы ЭДО путем подписания УКЭП уполномоченного представителя Стороны-отправителя</w:t>
      </w:r>
      <w:bookmarkEnd w:id="19"/>
      <w:r>
        <w:rPr/>
        <w:t>.</w:t>
      </w:r>
    </w:p>
    <w:p>
      <w:pPr>
        <w:pStyle w:val="ListParagraph"/>
        <w:numPr>
          <w:ilvl w:val="1"/>
          <w:numId w:val="3"/>
        </w:numPr>
        <w:tabs>
          <w:tab w:val="clear" w:pos="708"/>
          <w:tab w:val="left" w:pos="0" w:leader="none"/>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
        </w:numPr>
        <w:tabs>
          <w:tab w:val="clear" w:pos="708"/>
          <w:tab w:val="left" w:pos="0" w:leader="none"/>
          <w:tab w:val="left" w:pos="1418" w:leader="none"/>
        </w:tabs>
        <w:ind w:left="0" w:firstLine="709"/>
        <w:jc w:val="both"/>
        <w:rPr>
          <w:bCs/>
        </w:rPr>
      </w:pPr>
      <w:r>
        <w:rPr/>
        <w:t xml:space="preserve">Уступка </w:t>
      </w:r>
      <w:bookmarkStart w:id="20" w:name="_Hlk154477337"/>
      <w:r>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0"/>
      <w:r>
        <w:rPr>
          <w:bCs/>
        </w:rPr>
        <w:t>.</w:t>
      </w:r>
      <w:r>
        <w:rPr/>
        <w:t xml:space="preserve"> </w:t>
      </w:r>
    </w:p>
    <w:p>
      <w:pPr>
        <w:pStyle w:val="ListParagraph"/>
        <w:numPr>
          <w:ilvl w:val="1"/>
          <w:numId w:val="3"/>
        </w:numPr>
        <w:tabs>
          <w:tab w:val="clear" w:pos="708"/>
          <w:tab w:val="left" w:pos="0" w:leader="none"/>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3"/>
        </w:numPr>
        <w:tabs>
          <w:tab w:val="clear" w:pos="708"/>
          <w:tab w:val="left" w:pos="0" w:leader="none"/>
          <w:tab w:val="left" w:pos="1418" w:leader="none"/>
        </w:tabs>
        <w:ind w:left="0" w:firstLine="709"/>
        <w:jc w:val="both"/>
        <w:rPr>
          <w:bCs/>
        </w:rPr>
      </w:pPr>
      <w:bookmarkStart w:id="21" w:name="_Hlk154477413"/>
      <w:r>
        <w:rPr/>
        <w:t>Договор заключается в электронной форме с использованием программно-аппаратных средств информационной системы путем его подписания УКЭП уполномоченных представителей Сторон</w:t>
      </w:r>
      <w:bookmarkEnd w:id="21"/>
      <w:r>
        <w:rPr/>
        <w:t>.</w:t>
      </w:r>
    </w:p>
    <w:p>
      <w:pPr>
        <w:pStyle w:val="ListParagraph"/>
        <w:shd w:val="clear" w:color="auto" w:fill="FFFFFF"/>
        <w:tabs>
          <w:tab w:val="clear" w:pos="708"/>
          <w:tab w:val="left" w:pos="0" w:leader="none"/>
          <w:tab w:val="left" w:pos="1418" w:leader="none"/>
        </w:tabs>
        <w:ind w:left="0" w:firstLine="709"/>
        <w:jc w:val="both"/>
        <w:rPr/>
      </w:pPr>
      <w:bookmarkStart w:id="22" w:name="_Hlk154477404"/>
      <w:bookmarkStart w:id="23" w:name="_Hlk154477430"/>
      <w:r>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2"/>
      <w:bookmarkEnd w:id="23"/>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lang w:val="ru-RU"/>
        </w:rPr>
      </w:pPr>
      <w:r>
        <w:rPr>
          <w:lang w:val="ru-RU"/>
        </w:rPr>
        <w:t xml:space="preserve">Приложение № 2 – </w:t>
      </w:r>
      <w:r>
        <w:rPr>
          <w:bCs/>
          <w:lang w:val="ru-RU"/>
        </w:rPr>
        <w:t>Размер ответственности Исполнителя за нарушения пропускного и внутриобъектового режима, требований охраны труда, пожарной безопасности</w:t>
      </w:r>
      <w:r>
        <w:rPr>
          <w:lang w:val="ru-RU" w:eastAsia="en-US"/>
        </w:rPr>
        <w:t>;</w:t>
      </w:r>
    </w:p>
    <w:p>
      <w:pPr>
        <w:pStyle w:val="Normal"/>
        <w:tabs>
          <w:tab w:val="clear" w:pos="708"/>
          <w:tab w:val="left" w:pos="2127" w:leader="none"/>
          <w:tab w:val="left" w:pos="2410" w:leader="none"/>
        </w:tabs>
        <w:jc w:val="both"/>
        <w:rPr>
          <w:bCs/>
          <w:lang w:val="ru-RU"/>
        </w:rPr>
      </w:pPr>
      <w:r>
        <w:rPr>
          <w:lang w:val="ru-RU"/>
        </w:rPr>
        <w:t>Приложение № 3</w:t>
      </w:r>
      <w:r>
        <w:rPr>
          <w:bCs/>
          <w:lang w:val="ru-RU"/>
        </w:rPr>
        <w:t> </w:t>
      </w:r>
      <w:r>
        <w:rPr>
          <w:lang w:val="ru-RU"/>
        </w:rPr>
        <w:t>–</w:t>
      </w:r>
      <w:r>
        <w:rPr>
          <w:bCs/>
          <w:lang w:val="ru-RU"/>
        </w:rPr>
        <w:t> Расчет стоимости Услуг.</w:t>
      </w:r>
    </w:p>
    <w:p>
      <w:pPr>
        <w:pStyle w:val="Normal"/>
        <w:tabs>
          <w:tab w:val="clear" w:pos="708"/>
          <w:tab w:val="left" w:pos="2127" w:leader="none"/>
          <w:tab w:val="left" w:pos="2410" w:leader="none"/>
        </w:tabs>
        <w:jc w:val="both"/>
        <w:rPr>
          <w:bCs/>
          <w:lang w:val="ru-RU"/>
        </w:rPr>
      </w:pPr>
      <w:r>
        <w:rPr>
          <w:bCs/>
          <w:lang w:val="ru-RU"/>
        </w:rPr>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numPr>
          <w:ilvl w:val="0"/>
          <w:numId w:val="3"/>
        </w:numPr>
        <w:shd w:val="clear" w:color="auto" w:fill="FFFFFF"/>
        <w:tabs>
          <w:tab w:val="clear" w:pos="708"/>
          <w:tab w:val="left" w:pos="426" w:leader="none"/>
        </w:tabs>
        <w:jc w:val="center"/>
        <w:rPr>
          <w:b/>
          <w:bCs/>
          <w:color w:val="000000"/>
          <w:lang w:val="ru-RU"/>
        </w:rPr>
      </w:pPr>
      <w:r>
        <w:rPr>
          <w:b/>
          <w:bCs/>
          <w:color w:val="000000"/>
          <w:lang w:val="ru-RU"/>
        </w:rPr>
        <w:t>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6"/>
        <w:gridCol w:w="5094"/>
      </w:tblGrid>
      <w:tr>
        <w:trPr/>
        <w:tc>
          <w:tcPr>
            <w:tcW w:w="5106" w:type="dxa"/>
            <w:tcBorders/>
          </w:tcPr>
          <w:p>
            <w:pPr>
              <w:pStyle w:val="Normal"/>
              <w:widowControl w:val="false"/>
              <w:tabs>
                <w:tab w:val="clear" w:pos="708"/>
                <w:tab w:val="left" w:pos="426" w:leader="none"/>
              </w:tabs>
              <w:rPr>
                <w:b/>
                <w:bCs/>
                <w:color w:val="000000"/>
                <w:lang w:val="ru-RU"/>
              </w:rPr>
            </w:pPr>
            <w:r>
              <w:rPr>
                <w:b/>
                <w:bCs/>
                <w:color w:val="000000"/>
                <w:lang w:val="ru-RU"/>
              </w:rPr>
              <w:t>ЗАКАЗЧИК:</w:t>
            </w:r>
          </w:p>
        </w:tc>
        <w:tc>
          <w:tcPr>
            <w:tcW w:w="5094" w:type="dxa"/>
            <w:tcBorders/>
          </w:tcPr>
          <w:p>
            <w:pPr>
              <w:pStyle w:val="Normal"/>
              <w:widowControl w:val="false"/>
              <w:tabs>
                <w:tab w:val="clear" w:pos="708"/>
                <w:tab w:val="left" w:pos="426" w:leader="none"/>
              </w:tabs>
              <w:rPr>
                <w:b/>
                <w:bCs/>
                <w:color w:val="000000"/>
                <w:lang w:val="ru-RU"/>
              </w:rPr>
            </w:pPr>
            <w:r>
              <w:rPr>
                <w:b/>
                <w:bCs/>
                <w:color w:val="000000"/>
                <w:lang w:val="ru-RU"/>
              </w:rPr>
              <w:t>ИСПОЛНИТЕЛЬ:</w:t>
            </w:r>
          </w:p>
        </w:tc>
      </w:tr>
      <w:tr>
        <w:trPr/>
        <w:tc>
          <w:tcPr>
            <w:tcW w:w="5106" w:type="dxa"/>
            <w:tcBorders/>
          </w:tcPr>
          <w:p>
            <w:pPr>
              <w:pStyle w:val="Normal"/>
              <w:widowControl w:val="false"/>
              <w:tabs>
                <w:tab w:val="clear" w:pos="708"/>
                <w:tab w:val="left" w:pos="851" w:leader="none"/>
              </w:tabs>
              <w:spacing w:before="0" w:after="0"/>
              <w:contextualSpacing/>
              <w:rPr>
                <w:b/>
                <w:lang w:val="ru-RU"/>
              </w:rPr>
            </w:pPr>
            <w:r>
              <w:rPr>
                <w:b/>
                <w:lang w:val="ru-RU"/>
              </w:rPr>
              <w:t>Акционерное общество «</w:t>
            </w:r>
            <w:r>
              <w:rPr>
                <w:b/>
                <w:bCs/>
                <w:lang w:val="ru-RU"/>
              </w:rPr>
              <w:t>Сервисная Компания РусГидро</w:t>
            </w:r>
            <w:r>
              <w:rPr>
                <w:b/>
                <w:lang w:val="ru-RU"/>
              </w:rPr>
              <w:t xml:space="preserve">» </w:t>
            </w:r>
          </w:p>
          <w:p>
            <w:pPr>
              <w:pStyle w:val="Normal"/>
              <w:widowControl w:val="false"/>
              <w:tabs>
                <w:tab w:val="clear" w:pos="708"/>
                <w:tab w:val="left" w:pos="851" w:leader="none"/>
              </w:tabs>
              <w:spacing w:before="0" w:after="0"/>
              <w:contextualSpacing/>
              <w:jc w:val="both"/>
              <w:rPr>
                <w:b/>
                <w:lang w:val="ru-RU"/>
              </w:rPr>
            </w:pPr>
            <w:r>
              <w:rPr>
                <w:b/>
                <w:lang w:val="ru-RU"/>
              </w:rPr>
              <w:t>(</w:t>
            </w:r>
            <w:r>
              <w:rPr>
                <w:b/>
                <w:bCs/>
                <w:lang w:val="ru-RU"/>
              </w:rPr>
              <w:t>АО «СК РусГидро»</w:t>
            </w:r>
            <w:r>
              <w:rPr>
                <w:b/>
                <w:lang w:val="ru-RU"/>
              </w:rPr>
              <w:t>)</w:t>
            </w:r>
          </w:p>
          <w:p>
            <w:pPr>
              <w:pStyle w:val="Normal"/>
              <w:widowControl w:val="false"/>
              <w:tabs>
                <w:tab w:val="clear" w:pos="708"/>
                <w:tab w:val="left" w:pos="851" w:leader="none"/>
              </w:tabs>
              <w:spacing w:before="0" w:after="0"/>
              <w:contextualSpacing/>
              <w:jc w:val="both"/>
              <w:rPr>
                <w:lang w:val="ru-RU"/>
              </w:rPr>
            </w:pPr>
            <w:r>
              <w:rPr>
                <w:lang w:val="ru-RU"/>
              </w:rPr>
              <w:t xml:space="preserve">Адрес (юридический/почтовый):  </w:t>
            </w:r>
          </w:p>
          <w:p>
            <w:pPr>
              <w:pStyle w:val="Normal"/>
              <w:widowControl w:val="false"/>
              <w:tabs>
                <w:tab w:val="clear" w:pos="708"/>
                <w:tab w:val="left" w:pos="851" w:leader="none"/>
              </w:tabs>
              <w:spacing w:before="0" w:after="0"/>
              <w:contextualSpacing/>
              <w:jc w:val="both"/>
              <w:rPr>
                <w:lang w:val="ru-RU"/>
              </w:rPr>
            </w:pPr>
            <w:r>
              <w:rPr>
                <w:lang w:val="ru-RU"/>
              </w:rPr>
              <w:t xml:space="preserve">680000, Хабаровский край, г. Хабаровск, </w:t>
            </w:r>
          </w:p>
          <w:p>
            <w:pPr>
              <w:pStyle w:val="Normal"/>
              <w:widowControl w:val="false"/>
              <w:tabs>
                <w:tab w:val="clear" w:pos="708"/>
                <w:tab w:val="left" w:pos="851" w:leader="none"/>
              </w:tabs>
              <w:spacing w:before="0" w:after="0"/>
              <w:contextualSpacing/>
              <w:jc w:val="both"/>
              <w:rPr>
                <w:lang w:val="ru-RU"/>
              </w:rPr>
            </w:pPr>
            <w:r>
              <w:rPr>
                <w:lang w:val="ru-RU"/>
              </w:rPr>
              <w:t xml:space="preserve">ул. Тургенева, дом 80, этаж 2, помещ. </w:t>
            </w:r>
            <w:r>
              <w:rPr>
                <w:lang w:val="en-US"/>
              </w:rPr>
              <w:t>II</w:t>
            </w:r>
            <w:r>
              <w:rPr>
                <w:lang w:val="ru-RU"/>
              </w:rPr>
              <w:t xml:space="preserve"> (1-13)</w:t>
            </w:r>
          </w:p>
          <w:p>
            <w:pPr>
              <w:pStyle w:val="Normal"/>
              <w:widowControl w:val="false"/>
              <w:tabs>
                <w:tab w:val="clear" w:pos="708"/>
                <w:tab w:val="left" w:pos="851" w:leader="none"/>
              </w:tabs>
              <w:spacing w:before="0" w:after="0"/>
              <w:contextualSpacing/>
              <w:jc w:val="both"/>
              <w:rPr>
                <w:lang w:val="ru-RU"/>
              </w:rPr>
            </w:pPr>
            <w:r>
              <w:rPr>
                <w:lang w:val="ru-RU"/>
              </w:rPr>
              <w:t>ОГРН 1042502690339</w:t>
            </w:r>
          </w:p>
          <w:p>
            <w:pPr>
              <w:pStyle w:val="Normal"/>
              <w:widowControl w:val="false"/>
              <w:tabs>
                <w:tab w:val="clear" w:pos="708"/>
                <w:tab w:val="left" w:pos="851" w:leader="none"/>
              </w:tabs>
              <w:spacing w:before="0" w:after="0"/>
              <w:contextualSpacing/>
              <w:jc w:val="both"/>
              <w:rPr>
                <w:lang w:val="ru-RU"/>
              </w:rPr>
            </w:pPr>
            <w:r>
              <w:rPr>
                <w:lang w:val="ru-RU"/>
              </w:rPr>
              <w:t>ИНН 2526007482 КПП 272101001</w:t>
            </w:r>
          </w:p>
          <w:p>
            <w:pPr>
              <w:pStyle w:val="Normal"/>
              <w:widowControl w:val="false"/>
              <w:tabs>
                <w:tab w:val="clear" w:pos="708"/>
                <w:tab w:val="left" w:pos="851" w:leader="none"/>
              </w:tabs>
              <w:spacing w:before="0" w:after="0"/>
              <w:contextualSpacing/>
              <w:jc w:val="both"/>
              <w:rPr>
                <w:lang w:val="ru-RU"/>
              </w:rPr>
            </w:pPr>
            <w:r>
              <w:rPr>
                <w:lang w:val="ru-RU"/>
              </w:rPr>
              <w:t>р/с 40702810223022005387</w:t>
            </w:r>
          </w:p>
          <w:p>
            <w:pPr>
              <w:pStyle w:val="Normal"/>
              <w:widowControl w:val="false"/>
              <w:tabs>
                <w:tab w:val="clear" w:pos="708"/>
                <w:tab w:val="left" w:pos="851" w:leader="none"/>
              </w:tabs>
              <w:spacing w:before="0" w:after="0"/>
              <w:contextualSpacing/>
              <w:jc w:val="both"/>
              <w:rPr>
                <w:lang w:val="ru-RU"/>
              </w:rPr>
            </w:pPr>
            <w:r>
              <w:rPr>
                <w:lang w:val="ru-RU"/>
              </w:rPr>
              <w:t xml:space="preserve">Филиал Банка ВТБ (ПАО) в г. Хабаровске </w:t>
            </w:r>
          </w:p>
          <w:p>
            <w:pPr>
              <w:pStyle w:val="Normal"/>
              <w:widowControl w:val="false"/>
              <w:tabs>
                <w:tab w:val="clear" w:pos="708"/>
                <w:tab w:val="left" w:pos="851" w:leader="none"/>
              </w:tabs>
              <w:spacing w:before="0" w:after="0"/>
              <w:contextualSpacing/>
              <w:jc w:val="both"/>
              <w:rPr>
                <w:lang w:val="ru-RU"/>
              </w:rPr>
            </w:pPr>
            <w:r>
              <w:rPr>
                <w:lang w:val="ru-RU"/>
              </w:rPr>
              <w:t>к/с 30101810400000000727</w:t>
            </w:r>
          </w:p>
          <w:p>
            <w:pPr>
              <w:pStyle w:val="Normal"/>
              <w:widowControl w:val="false"/>
              <w:rPr>
                <w:lang w:val="ru-RU"/>
              </w:rPr>
            </w:pPr>
            <w:r>
              <w:rPr>
                <w:lang w:val="ru-RU"/>
              </w:rPr>
              <w:t>БИК 040813727</w:t>
            </w:r>
          </w:p>
          <w:p>
            <w:pPr>
              <w:pStyle w:val="Normal"/>
              <w:widowControl w:val="false"/>
              <w:tabs>
                <w:tab w:val="clear" w:pos="708"/>
                <w:tab w:val="left" w:pos="426" w:leader="none"/>
              </w:tabs>
              <w:rPr>
                <w:b/>
                <w:bCs/>
                <w:color w:val="000000"/>
                <w:lang w:val="ru-RU"/>
              </w:rPr>
            </w:pPr>
            <w:r>
              <w:rPr>
                <w:color w:val="000000"/>
                <w:lang w:val="en-US"/>
              </w:rPr>
              <w:t>E</w:t>
            </w:r>
            <w:r>
              <w:rPr>
                <w:color w:val="000000"/>
                <w:lang w:val="ru-RU"/>
              </w:rPr>
              <w:t>-</w:t>
            </w:r>
            <w:r>
              <w:rPr>
                <w:color w:val="000000"/>
                <w:lang w:val="en-US"/>
              </w:rPr>
              <w:t>mail</w:t>
            </w:r>
            <w:r>
              <w:rPr>
                <w:color w:val="000000"/>
                <w:lang w:val="ru-RU"/>
              </w:rPr>
              <w:t xml:space="preserve">: </w:t>
            </w:r>
            <w:r>
              <w:rPr>
                <w:color w:val="000000"/>
              </w:rPr>
              <w:t>sk</w:t>
            </w:r>
            <w:r>
              <w:rPr>
                <w:color w:val="000000"/>
                <w:lang w:val="ru-RU"/>
              </w:rPr>
              <w:t>@</w:t>
            </w:r>
            <w:r>
              <w:rPr>
                <w:color w:val="000000"/>
              </w:rPr>
              <w:t>rushydro</w:t>
            </w:r>
            <w:r>
              <w:rPr>
                <w:color w:val="000000"/>
                <w:lang w:val="ru-RU"/>
              </w:rPr>
              <w:t>.</w:t>
            </w:r>
            <w:r>
              <w:rPr>
                <w:color w:val="000000"/>
              </w:rPr>
              <w:t>r</w:t>
            </w:r>
            <w:r>
              <w:rPr>
                <w:color w:val="000000"/>
                <w:lang w:val="en-US"/>
              </w:rPr>
              <w:t>u</w:t>
            </w:r>
          </w:p>
        </w:tc>
        <w:tc>
          <w:tcPr>
            <w:tcW w:w="5094" w:type="dxa"/>
            <w:tcBorders/>
          </w:tcPr>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tc>
      </w:tr>
      <w:tr>
        <w:trPr>
          <w:trHeight w:val="1696" w:hRule="atLeast"/>
        </w:trPr>
        <w:tc>
          <w:tcPr>
            <w:tcW w:w="5106" w:type="dxa"/>
            <w:tcBorders/>
          </w:tcPr>
          <w:p>
            <w:pPr>
              <w:pStyle w:val="Normal"/>
              <w:widowControl w:val="false"/>
              <w:rPr>
                <w:lang w:val="ru-RU"/>
              </w:rPr>
            </w:pPr>
            <w:r>
              <w:rPr>
                <w:lang w:val="ru-RU"/>
              </w:rPr>
              <w:t>Заместитель Генерального директора по</w:t>
            </w:r>
          </w:p>
          <w:p>
            <w:pPr>
              <w:pStyle w:val="Normal"/>
              <w:widowControl w:val="false"/>
              <w:rPr>
                <w:lang w:val="ru-RU"/>
              </w:rPr>
            </w:pPr>
            <w:r>
              <w:rPr>
                <w:lang w:val="ru-RU"/>
              </w:rPr>
              <w:t>управлению ресурсами АО «СК РусГидро»</w:t>
              <w:br/>
              <w:br/>
              <w:br/>
              <w:br/>
              <w:t>____________________ / Клочков Н.Н.</w:t>
            </w:r>
          </w:p>
        </w:tc>
        <w:tc>
          <w:tcPr>
            <w:tcW w:w="5094" w:type="dxa"/>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0"/>
          <w:szCs w:val="20"/>
        </w:rPr>
      </w:pPr>
      <w:r>
        <w:rPr>
          <w:sz w:val="20"/>
          <w:szCs w:val="20"/>
          <w:lang w:val="ru-RU"/>
        </w:rPr>
        <w:t>Приложение № 1</w:t>
      </w:r>
    </w:p>
    <w:p>
      <w:pPr>
        <w:pStyle w:val="Normal"/>
        <w:jc w:val="right"/>
        <w:rPr>
          <w:sz w:val="20"/>
          <w:szCs w:val="20"/>
        </w:rPr>
      </w:pPr>
      <w:r>
        <w:rPr>
          <w:sz w:val="20"/>
          <w:szCs w:val="20"/>
          <w:lang w:val="ru-RU"/>
        </w:rPr>
        <w:t xml:space="preserve">            </w:t>
      </w:r>
      <w:r>
        <w:rPr>
          <w:sz w:val="20"/>
          <w:szCs w:val="20"/>
          <w:lang w:val="ru-RU"/>
        </w:rPr>
        <w:t>к Договору возмездного оказания услуг</w:t>
      </w:r>
    </w:p>
    <w:p>
      <w:pPr>
        <w:pStyle w:val="Normal"/>
        <w:jc w:val="right"/>
        <w:rPr>
          <w:sz w:val="20"/>
          <w:szCs w:val="20"/>
        </w:rPr>
      </w:pPr>
      <w:r>
        <w:rPr>
          <w:sz w:val="20"/>
          <w:szCs w:val="20"/>
          <w:lang w:val="ru-RU"/>
        </w:rPr>
        <w:t xml:space="preserve">             </w:t>
      </w:r>
      <w:r>
        <w:rPr>
          <w:rFonts w:eastAsia="Calibri"/>
          <w:sz w:val="22"/>
          <w:szCs w:val="22"/>
          <w:lang w:val="ru-RU"/>
        </w:rPr>
        <w:t xml:space="preserve">№ </w:t>
      </w:r>
      <w:r>
        <w:rPr>
          <w:rFonts w:eastAsia="Calibri"/>
          <w:sz w:val="20"/>
          <w:szCs w:val="20"/>
          <w:lang w:val="ru-RU"/>
        </w:rPr>
        <w:t>________________</w:t>
      </w:r>
    </w:p>
    <w:p>
      <w:pPr>
        <w:pStyle w:val="Normal"/>
        <w:rPr>
          <w:lang w:val="ru-RU"/>
        </w:rPr>
      </w:pPr>
      <w:r>
        <w:rPr>
          <w:lang w:val="ru-RU"/>
        </w:rPr>
      </w:r>
    </w:p>
    <w:p>
      <w:pPr>
        <w:pStyle w:val="Normal"/>
        <w:jc w:val="center"/>
        <w:rPr>
          <w:b/>
          <w:lang w:val="ru-RU"/>
        </w:rPr>
      </w:pPr>
      <w:r>
        <w:rPr>
          <w:b/>
          <w:lang w:val="ru-RU"/>
        </w:rPr>
      </w:r>
    </w:p>
    <w:p>
      <w:pPr>
        <w:pStyle w:val="Normal"/>
        <w:rPr/>
      </w:pPr>
      <w:r>
        <w:rPr/>
      </w:r>
    </w:p>
    <w:p>
      <w:pPr>
        <w:pStyle w:val="Normal"/>
        <w:rPr/>
      </w:pPr>
      <w:r>
        <w:rPr/>
        <w:t xml:space="preserve">                                                        </w:t>
      </w:r>
      <w:r>
        <w:rPr>
          <w:rFonts w:eastAsia="Calibri"/>
          <w:b/>
          <w:bCs/>
          <w:sz w:val="26"/>
          <w:szCs w:val="26"/>
        </w:rPr>
        <w:t>Технические требования</w:t>
      </w:r>
    </w:p>
    <w:p>
      <w:pPr>
        <w:pStyle w:val="Normal"/>
        <w:rPr/>
      </w:pPr>
      <w:r>
        <w:rPr/>
      </w:r>
    </w:p>
    <w:p>
      <w:pPr>
        <w:pStyle w:val="Normal"/>
        <w:rPr>
          <w:b/>
          <w:lang w:val="ru-RU"/>
        </w:rPr>
      </w:pPr>
      <w:r>
        <w:rPr>
          <w:b/>
          <w:lang w:val="ru-RU"/>
        </w:rPr>
      </w:r>
    </w:p>
    <w:p>
      <w:pPr>
        <w:pStyle w:val="Normal"/>
        <w:rPr>
          <w:lang w:val="ru-RU"/>
        </w:rPr>
      </w:pPr>
      <w:r>
        <w:rPr>
          <w:lang w:val="ru-RU"/>
        </w:rPr>
      </w:r>
    </w:p>
    <w:p>
      <w:pPr>
        <w:pStyle w:val="Normal"/>
        <w:rPr>
          <w:lang w:val="ru-RU"/>
        </w:rPr>
      </w:pPr>
      <w:r>
        <w:rPr>
          <w:lang w:val="ru-RU"/>
        </w:rPr>
        <w:t xml:space="preserve">                                                    </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38"/>
        <w:gridCol w:w="4679"/>
      </w:tblGrid>
      <w:tr>
        <w:trPr/>
        <w:tc>
          <w:tcPr>
            <w:tcW w:w="5238" w:type="dxa"/>
            <w:tcBorders/>
          </w:tcPr>
          <w:p>
            <w:pPr>
              <w:pStyle w:val="Normal"/>
              <w:widowControl w:val="false"/>
              <w:rPr>
                <w:b/>
              </w:rPr>
            </w:pPr>
            <w:bookmarkStart w:id="24" w:name="_Hlk105762085"/>
            <w:bookmarkEnd w:id="24"/>
            <w:r>
              <w:rPr>
                <w:b/>
              </w:rPr>
              <w:t>Заказчик:</w:t>
            </w:r>
          </w:p>
        </w:tc>
        <w:tc>
          <w:tcPr>
            <w:tcW w:w="4679" w:type="dxa"/>
            <w:tcBorders/>
          </w:tcPr>
          <w:p>
            <w:pPr>
              <w:pStyle w:val="Normal"/>
              <w:widowControl w:val="false"/>
              <w:rPr>
                <w:b/>
              </w:rPr>
            </w:pPr>
            <w:r>
              <w:rPr>
                <w:b/>
                <w:lang w:val="ru-RU"/>
              </w:rPr>
              <w:t>Исполнитель</w:t>
            </w:r>
            <w:r>
              <w:rPr>
                <w:b/>
              </w:rPr>
              <w:t>:</w:t>
            </w:r>
          </w:p>
        </w:tc>
      </w:tr>
      <w:tr>
        <w:trPr/>
        <w:tc>
          <w:tcPr>
            <w:tcW w:w="5238" w:type="dxa"/>
            <w:tcBorders/>
          </w:tcPr>
          <w:p>
            <w:pPr>
              <w:pStyle w:val="Normal"/>
              <w:widowControl w:val="false"/>
              <w:rPr>
                <w:lang w:val="ru-RU"/>
              </w:rPr>
            </w:pPr>
            <w:r>
              <w:rPr>
                <w:lang w:val="ru-RU"/>
              </w:rPr>
              <w:t>Заместитель Генерального директора по</w:t>
            </w:r>
          </w:p>
          <w:p>
            <w:pPr>
              <w:pStyle w:val="Normal"/>
              <w:widowControl w:val="false"/>
              <w:rPr>
                <w:lang w:val="ru-RU"/>
              </w:rPr>
            </w:pPr>
            <w:r>
              <w:rPr>
                <w:lang w:val="ru-RU"/>
              </w:rPr>
              <w:t>управлению ресурсами АО «СК РусГидро»</w:t>
              <w:br/>
              <w:br/>
              <w:br/>
              <w:br/>
              <w:t>____________________ / Клочков Н.Н.</w:t>
            </w:r>
          </w:p>
        </w:tc>
        <w:tc>
          <w:tcPr>
            <w:tcW w:w="4679" w:type="dxa"/>
            <w:tcBorders/>
          </w:tcPr>
          <w:p>
            <w:pPr>
              <w:pStyle w:val="Normal"/>
              <w:widowControl w:val="false"/>
              <w:tabs>
                <w:tab w:val="clear" w:pos="708"/>
                <w:tab w:val="left" w:pos="426" w:leader="none"/>
              </w:tabs>
              <w:rPr>
                <w:b w:val="false"/>
                <w:bCs w:val="false"/>
              </w:rPr>
            </w:pPr>
            <w:r>
              <w:rPr>
                <w:b w:val="false"/>
                <w:bCs w:val="false"/>
                <w:color w:val="000000"/>
                <w:lang w:val="ru-RU"/>
              </w:rPr>
              <w:t>_____________________</w:t>
            </w:r>
          </w:p>
          <w:p>
            <w:pPr>
              <w:pStyle w:val="Normal"/>
              <w:widowControl w:val="false"/>
              <w:tabs>
                <w:tab w:val="clear" w:pos="708"/>
                <w:tab w:val="left" w:pos="426" w:leader="none"/>
              </w:tabs>
              <w:rPr>
                <w:b/>
                <w:bCs/>
                <w:color w:val="000000"/>
                <w:lang w:val="ru-RU"/>
              </w:rPr>
            </w:pPr>
            <w:r>
              <w:rPr>
                <w:b/>
                <w:bCs/>
                <w:color w:val="000000"/>
                <w:lang w:val="ru-RU"/>
              </w:rPr>
              <w:t xml:space="preserve">                                                               </w:t>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t xml:space="preserve">____________________ / </w:t>
            </w:r>
            <w:r>
              <w:rPr>
                <w:b w:val="false"/>
                <w:bCs w:val="false"/>
                <w:color w:val="000000"/>
                <w:lang w:val="ru-RU"/>
              </w:rPr>
              <w:t>___________</w:t>
            </w:r>
          </w:p>
          <w:p>
            <w:pPr>
              <w:pStyle w:val="Normal"/>
              <w:widowControl w:val="false"/>
              <w:rPr>
                <w:lang w:val="ru-RU"/>
              </w:rPr>
            </w:pPr>
            <w:r>
              <w:rPr>
                <w:lang w:val="ru-RU"/>
              </w:rPr>
            </w:r>
            <w:bookmarkStart w:id="25" w:name="_Hlk105762085_Копия_1"/>
            <w:bookmarkStart w:id="26" w:name="_Hlk105762085_Копия_1"/>
            <w:bookmarkEnd w:id="26"/>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rFonts w:eastAsia="Calibri"/>
          <w:sz w:val="22"/>
          <w:szCs w:val="22"/>
          <w:lang w:val="ru-RU"/>
        </w:rPr>
        <w:t xml:space="preserve">№ </w:t>
      </w:r>
      <w:r>
        <w:rPr>
          <w:rFonts w:eastAsia="Calibri"/>
          <w:sz w:val="20"/>
          <w:szCs w:val="20"/>
          <w:lang w:val="ru-RU"/>
        </w:rPr>
        <w:t>________________</w:t>
      </w:r>
    </w:p>
    <w:p>
      <w:pPr>
        <w:pStyle w:val="Normal"/>
        <w:jc w:val="right"/>
        <w:rPr>
          <w:lang w:val="ru-RU"/>
        </w:rPr>
      </w:pPr>
      <w:r>
        <w:rPr>
          <w:lang w:val="ru-RU"/>
        </w:rPr>
      </w:r>
    </w:p>
    <w:p>
      <w:pPr>
        <w:pStyle w:val="Normal"/>
        <w:jc w:val="both"/>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58"/>
        <w:gridCol w:w="5159"/>
      </w:tblGrid>
      <w:tr>
        <w:trPr/>
        <w:tc>
          <w:tcPr>
            <w:tcW w:w="4758" w:type="dxa"/>
            <w:tcBorders/>
          </w:tcPr>
          <w:p>
            <w:pPr>
              <w:pStyle w:val="Normal"/>
              <w:widowControl w:val="false"/>
              <w:rPr>
                <w:b/>
              </w:rPr>
            </w:pPr>
            <w:r>
              <w:rPr>
                <w:b/>
              </w:rPr>
              <w:t>Заказчик:</w:t>
            </w:r>
          </w:p>
        </w:tc>
        <w:tc>
          <w:tcPr>
            <w:tcW w:w="5159" w:type="dxa"/>
            <w:tcBorders/>
          </w:tcPr>
          <w:p>
            <w:pPr>
              <w:pStyle w:val="Normal"/>
              <w:widowControl w:val="false"/>
              <w:rPr>
                <w:b/>
              </w:rPr>
            </w:pPr>
            <w:r>
              <w:rPr>
                <w:b/>
                <w:lang w:val="ru-RU"/>
              </w:rPr>
              <w:t>Исполнитель</w:t>
            </w:r>
            <w:r>
              <w:rPr>
                <w:b/>
              </w:rPr>
              <w:t>:</w:t>
            </w:r>
          </w:p>
        </w:tc>
      </w:tr>
      <w:tr>
        <w:trPr/>
        <w:tc>
          <w:tcPr>
            <w:tcW w:w="4758" w:type="dxa"/>
            <w:tcBorders/>
          </w:tcPr>
          <w:p>
            <w:pPr>
              <w:pStyle w:val="Normal"/>
              <w:widowControl w:val="false"/>
              <w:rPr>
                <w:lang w:val="ru-RU"/>
              </w:rPr>
            </w:pPr>
            <w:r>
              <w:rPr>
                <w:lang w:val="ru-RU"/>
              </w:rPr>
              <w:t>Заместитель Генерального директора по</w:t>
            </w:r>
          </w:p>
          <w:p>
            <w:pPr>
              <w:pStyle w:val="Normal"/>
              <w:widowControl w:val="false"/>
              <w:rPr>
                <w:lang w:val="ru-RU"/>
              </w:rPr>
            </w:pPr>
            <w:r>
              <w:rPr>
                <w:lang w:val="ru-RU"/>
              </w:rPr>
              <w:t>управлению ресурсами АО «СК РусГидро»</w:t>
              <w:br/>
              <w:br/>
              <w:br/>
              <w:br/>
              <w:t>____________________ / Клочков Н.Н.</w:t>
            </w:r>
          </w:p>
        </w:tc>
        <w:tc>
          <w:tcPr>
            <w:tcW w:w="5159" w:type="dxa"/>
            <w:tcBorders/>
          </w:tcPr>
          <w:p>
            <w:pPr>
              <w:pStyle w:val="Normal"/>
              <w:widowControl w:val="false"/>
              <w:tabs>
                <w:tab w:val="clear" w:pos="708"/>
                <w:tab w:val="left" w:pos="426" w:leader="none"/>
              </w:tabs>
              <w:rPr>
                <w:b w:val="false"/>
                <w:bCs w:val="false"/>
              </w:rPr>
            </w:pPr>
            <w:r>
              <w:rPr>
                <w:b w:val="false"/>
                <w:bCs w:val="false"/>
                <w:color w:val="000000"/>
                <w:lang w:val="ru-RU"/>
              </w:rPr>
              <w:t>_____________________</w:t>
            </w:r>
          </w:p>
          <w:p>
            <w:pPr>
              <w:pStyle w:val="Normal"/>
              <w:widowControl w:val="false"/>
              <w:tabs>
                <w:tab w:val="clear" w:pos="708"/>
                <w:tab w:val="left" w:pos="426" w:leader="none"/>
              </w:tabs>
              <w:rPr>
                <w:b/>
                <w:bCs/>
                <w:color w:val="000000"/>
                <w:lang w:val="ru-RU"/>
              </w:rPr>
            </w:pPr>
            <w:r>
              <w:rPr>
                <w:b/>
                <w:bCs/>
                <w:color w:val="000000"/>
                <w:lang w:val="ru-RU"/>
              </w:rPr>
              <w:t xml:space="preserve">                                                               </w:t>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t xml:space="preserve">____________________ / </w:t>
            </w:r>
            <w:r>
              <w:rPr>
                <w:b w:val="false"/>
                <w:bCs w:val="false"/>
                <w:color w:val="000000"/>
                <w:lang w:val="ru-RU"/>
              </w:rPr>
              <w:t>___________</w:t>
            </w:r>
          </w:p>
          <w:p>
            <w:pPr>
              <w:pStyle w:val="Normal"/>
              <w:widowControl w:val="false"/>
              <w:rPr>
                <w:lang w:val="ru-RU"/>
              </w:rPr>
            </w:pPr>
            <w:r>
              <w:rPr>
                <w:lang w:val="ru-RU"/>
              </w:rPr>
            </w:r>
            <w:bookmarkStart w:id="27" w:name="_Hlk105762085_Копия_1_Копия_1"/>
            <w:bookmarkStart w:id="28" w:name="_Hlk105762085_Копия_1_Копия_1"/>
            <w:bookmarkEnd w:id="28"/>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rFonts w:eastAsia="Calibri"/>
          <w:sz w:val="22"/>
          <w:szCs w:val="22"/>
          <w:lang w:val="ru-RU"/>
        </w:rPr>
        <w:t xml:space="preserve">№ </w:t>
      </w:r>
      <w:r>
        <w:rPr>
          <w:rFonts w:eastAsia="Calibri"/>
          <w:sz w:val="20"/>
          <w:szCs w:val="20"/>
          <w:lang w:val="ru-RU"/>
        </w:rPr>
        <w:t>________________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highlight w:val="none"/>
          <w:shd w:fill="auto" w:val="clear"/>
        </w:rPr>
      </w:pPr>
      <w:r>
        <w:rPr>
          <w:b/>
          <w:bCs/>
          <w:shd w:fill="auto" w:val="clear"/>
          <w:lang w:val="ru-RU"/>
        </w:rPr>
        <w:t>Расчет стоимости</w:t>
      </w:r>
    </w:p>
    <w:p>
      <w:pPr>
        <w:pStyle w:val="Normal"/>
        <w:jc w:val="center"/>
        <w:rPr>
          <w:b w:val="false"/>
          <w:bCs w:val="false"/>
          <w:i/>
          <w:i/>
          <w:iCs/>
        </w:rPr>
      </w:pPr>
      <w:r>
        <w:rPr>
          <w:b w:val="false"/>
          <w:bCs w:val="false"/>
          <w:i/>
          <w:iCs/>
          <w:shd w:fill="auto" w:val="clear"/>
          <w:lang w:val="ru-RU"/>
        </w:rPr>
        <w:t>(Примерное оформление, подлежит редакции после предоставление Участником коммерческого предложения)</w:t>
      </w:r>
    </w:p>
    <w:p>
      <w:pPr>
        <w:pStyle w:val="Normal"/>
        <w:jc w:val="center"/>
        <w:rPr>
          <w:highlight w:val="none"/>
          <w:shd w:fill="auto" w:val="clear"/>
          <w:lang w:val="ru-RU"/>
        </w:rPr>
      </w:pPr>
      <w:r>
        <w:rPr>
          <w:lang w:val="ru-RU"/>
        </w:rPr>
      </w:r>
    </w:p>
    <w:p>
      <w:pPr>
        <w:pStyle w:val="Normal"/>
        <w:jc w:val="center"/>
        <w:rPr>
          <w:i/>
          <w:i/>
          <w:lang w:val="ru-RU"/>
        </w:rPr>
      </w:pPr>
      <w:r>
        <w:rPr>
          <w:i/>
          <w:lang w:val="ru-RU"/>
        </w:rPr>
      </w:r>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724"/>
        <w:gridCol w:w="4346"/>
        <w:gridCol w:w="1191"/>
        <w:gridCol w:w="1104"/>
        <w:gridCol w:w="1102"/>
        <w:gridCol w:w="1343"/>
      </w:tblGrid>
      <w:tr>
        <w:trPr/>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rPr>
                <w:b/>
                <w:bCs/>
                <w:sz w:val="20"/>
                <w:szCs w:val="20"/>
              </w:rPr>
            </w:pPr>
            <w:r>
              <w:rPr>
                <w:b/>
                <w:bCs/>
                <w:sz w:val="20"/>
                <w:szCs w:val="20"/>
              </w:rPr>
              <w:t xml:space="preserve">№ </w:t>
            </w:r>
            <w:r>
              <w:rPr>
                <w:b/>
                <w:bCs/>
                <w:sz w:val="20"/>
                <w:szCs w:val="20"/>
              </w:rPr>
              <w:t>п/п</w:t>
            </w:r>
          </w:p>
        </w:tc>
        <w:tc>
          <w:tcPr>
            <w:tcW w:w="434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Наименование услуг / этапа услуг</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Единица измерения</w:t>
            </w:r>
          </w:p>
        </w:tc>
        <w:tc>
          <w:tcPr>
            <w:tcW w:w="110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Количество</w:t>
            </w:r>
          </w:p>
        </w:tc>
        <w:tc>
          <w:tcPr>
            <w:tcW w:w="1102" w:type="dxa"/>
            <w:tcBorders>
              <w:top w:val="single" w:sz="4" w:space="0" w:color="000000"/>
              <w:left w:val="single" w:sz="4" w:space="0" w:color="000000"/>
              <w:bottom w:val="single" w:sz="4" w:space="0" w:color="000000"/>
            </w:tcBorders>
          </w:tcPr>
          <w:p>
            <w:pPr>
              <w:pStyle w:val="Normal"/>
              <w:keepNext w:val="true"/>
              <w:widowControl w:val="false"/>
              <w:suppressAutoHyphens w:val="true"/>
              <w:jc w:val="center"/>
              <w:rPr>
                <w:b/>
                <w:bCs/>
                <w:sz w:val="20"/>
                <w:szCs w:val="20"/>
              </w:rPr>
            </w:pPr>
            <w:r>
              <w:rPr>
                <w:b/>
                <w:bCs/>
                <w:sz w:val="20"/>
                <w:szCs w:val="20"/>
              </w:rPr>
              <w:t>Цена ед. измерения, руб. без НДС</w:t>
            </w:r>
          </w:p>
        </w:tc>
        <w:tc>
          <w:tcPr>
            <w:tcW w:w="1343"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b/>
                <w:bCs/>
                <w:sz w:val="20"/>
                <w:szCs w:val="20"/>
              </w:rPr>
            </w:pPr>
            <w:r>
              <w:rPr>
                <w:b/>
                <w:bCs/>
                <w:sz w:val="20"/>
                <w:szCs w:val="20"/>
              </w:rPr>
              <w:t>Стоимость, руб. без НДС</w:t>
            </w:r>
          </w:p>
        </w:tc>
      </w:tr>
      <w:tr>
        <w:trPr/>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1</w:t>
            </w:r>
          </w:p>
        </w:tc>
        <w:tc>
          <w:tcPr>
            <w:tcW w:w="43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2</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3</w:t>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4</w:t>
            </w:r>
          </w:p>
        </w:tc>
        <w:tc>
          <w:tcPr>
            <w:tcW w:w="1102" w:type="dxa"/>
            <w:tcBorders>
              <w:top w:val="single" w:sz="4" w:space="0" w:color="000000"/>
              <w:left w:val="single" w:sz="4" w:space="0" w:color="000000"/>
              <w:bottom w:val="single" w:sz="4" w:space="0" w:color="000000"/>
            </w:tcBorders>
          </w:tcPr>
          <w:p>
            <w:pPr>
              <w:pStyle w:val="Normal"/>
              <w:widowControl w:val="false"/>
              <w:suppressAutoHyphens w:val="true"/>
              <w:jc w:val="center"/>
              <w:rPr>
                <w:b/>
                <w:sz w:val="20"/>
                <w:szCs w:val="20"/>
              </w:rPr>
            </w:pPr>
            <w:r>
              <w:rPr>
                <w:b/>
                <w:sz w:val="20"/>
                <w:szCs w:val="20"/>
              </w:rPr>
              <w:t>5</w:t>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0"/>
                <w:szCs w:val="20"/>
              </w:rPr>
            </w:pPr>
            <w:r>
              <w:rPr>
                <w:b/>
                <w:sz w:val="20"/>
                <w:szCs w:val="20"/>
              </w:rPr>
              <w:t>6</w:t>
            </w:r>
          </w:p>
        </w:tc>
      </w:tr>
      <w:tr>
        <w:trPr>
          <w:trHeight w:val="349" w:hRule="atLeast"/>
        </w:trPr>
        <w:tc>
          <w:tcPr>
            <w:tcW w:w="72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ind w:left="0" w:right="0" w:hanging="0"/>
              <w:jc w:val="center"/>
              <w:rPr>
                <w:sz w:val="20"/>
                <w:szCs w:val="20"/>
              </w:rPr>
            </w:pPr>
            <w:r>
              <w:rPr>
                <w:sz w:val="20"/>
                <w:szCs w:val="20"/>
              </w:rPr>
              <w:t>1</w:t>
            </w:r>
          </w:p>
        </w:tc>
        <w:tc>
          <w:tcPr>
            <w:tcW w:w="43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вентиляции и кондиционирования Объект № 1 (ЕТО)</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день</w:t>
            </w:r>
          </w:p>
        </w:tc>
        <w:tc>
          <w:tcPr>
            <w:tcW w:w="1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365</w:t>
            </w:r>
          </w:p>
        </w:tc>
        <w:tc>
          <w:tcPr>
            <w:tcW w:w="1102" w:type="dxa"/>
            <w:tcBorders>
              <w:top w:val="single" w:sz="4" w:space="0" w:color="000000"/>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552"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suppressAutoHyphens w:val="true"/>
              <w:ind w:left="0" w:right="0" w:hanging="0"/>
              <w:jc w:val="center"/>
              <w:rPr>
                <w:sz w:val="20"/>
                <w:szCs w:val="20"/>
              </w:rPr>
            </w:pPr>
            <w:r>
              <w:rPr>
                <w:sz w:val="20"/>
                <w:szCs w:val="20"/>
              </w:rPr>
              <w:t>2</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вентиляции и кондиционирования Объект № 1 (ТО-1)</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неделя</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53</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450"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3</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вентиляции и кондиционирования Объект № 1 (ТО-2)</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месяц</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12</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4</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вентиляции и кондиционирования Объект № 1 (ТО-3)</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квартал</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4</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5</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вентиляции и кондиционирования Объект № 1 (ТО-4)</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полугодие</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2</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6</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вентиляции и кондиционирования Объект № 1 (ТО-5)</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год</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1</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7</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холодоснабжения Объект № 1 (ЕТО)</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день</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365</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8</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холодоснабжения Объект № 1 (ТО-1)</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неделя</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53</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9</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холодоснабжения Объект № 1 (ТО-2)</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месяц</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12</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10</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холодоснабжения Объект № 1 (ТО-3)</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квартал</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4</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11</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холодоснабжения Объект № 1 (ТО-4)</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полугодие</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2</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right="0" w:hanging="0"/>
              <w:jc w:val="center"/>
              <w:rPr>
                <w:sz w:val="20"/>
                <w:szCs w:val="20"/>
              </w:rPr>
            </w:pPr>
            <w:r>
              <w:rPr>
                <w:sz w:val="20"/>
                <w:szCs w:val="20"/>
              </w:rPr>
              <w:t>12</w:t>
            </w:r>
          </w:p>
        </w:tc>
        <w:tc>
          <w:tcPr>
            <w:tcW w:w="4346" w:type="dxa"/>
            <w:tcBorders>
              <w:left w:val="single" w:sz="4" w:space="0" w:color="000000"/>
              <w:bottom w:val="single" w:sz="4" w:space="0" w:color="000000"/>
              <w:right w:val="single" w:sz="4" w:space="0" w:color="000000"/>
            </w:tcBorders>
          </w:tcPr>
          <w:p>
            <w:pPr>
              <w:pStyle w:val="Normal"/>
              <w:widowControl w:val="false"/>
              <w:suppressAutoHyphens w:val="false"/>
              <w:rPr>
                <w:szCs w:val="28"/>
                <w:lang w:val="ru-RU"/>
              </w:rPr>
            </w:pPr>
            <w:r>
              <w:rPr>
                <w:color w:val="000000"/>
                <w:sz w:val="22"/>
                <w:szCs w:val="22"/>
                <w:lang w:val="ru-RU"/>
              </w:rPr>
              <w:t>Оказание услуг по обслуживанию систем холодоснабжения Объект № 1 (ТО-5)</w:t>
            </w:r>
          </w:p>
        </w:tc>
        <w:tc>
          <w:tcPr>
            <w:tcW w:w="1191"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год</w:t>
            </w:r>
          </w:p>
        </w:tc>
        <w:tc>
          <w:tcPr>
            <w:tcW w:w="1104" w:type="dxa"/>
            <w:tcBorders>
              <w:left w:val="single" w:sz="4" w:space="0" w:color="000000"/>
              <w:bottom w:val="single" w:sz="4" w:space="0" w:color="000000"/>
              <w:right w:val="single" w:sz="4" w:space="0" w:color="000000"/>
            </w:tcBorders>
            <w:vAlign w:val="center"/>
          </w:tcPr>
          <w:p>
            <w:pPr>
              <w:pStyle w:val="Normal"/>
              <w:widowControl w:val="false"/>
              <w:suppressAutoHyphens w:val="false"/>
              <w:jc w:val="center"/>
              <w:rPr>
                <w:lang w:val="ru-RU"/>
              </w:rPr>
            </w:pPr>
            <w:r>
              <w:rPr>
                <w:color w:val="000000"/>
                <w:lang w:val="ru-RU"/>
              </w:rPr>
              <w:t>1</w:t>
            </w:r>
          </w:p>
        </w:tc>
        <w:tc>
          <w:tcPr>
            <w:tcW w:w="1102" w:type="dxa"/>
            <w:tcBorders>
              <w:left w:val="single" w:sz="4" w:space="0" w:color="000000"/>
              <w:bottom w:val="single" w:sz="4" w:space="0" w:color="000000"/>
            </w:tcBorders>
            <w:vAlign w:val="center"/>
          </w:tcPr>
          <w:p>
            <w:pPr>
              <w:pStyle w:val="Normal"/>
              <w:widowControl w:val="false"/>
              <w:suppressAutoHyphens w:val="true"/>
              <w:jc w:val="center"/>
              <w:rPr>
                <w:iCs/>
                <w:sz w:val="20"/>
                <w:szCs w:val="20"/>
              </w:rPr>
            </w:pPr>
            <w:r>
              <w:rPr>
                <w:iCs/>
                <w:sz w:val="20"/>
                <w:szCs w:val="20"/>
              </w:rPr>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ind w:left="0" w:right="0" w:hanging="0"/>
              <w:rPr>
                <w:sz w:val="20"/>
                <w:szCs w:val="20"/>
              </w:rPr>
            </w:pPr>
            <w:r>
              <w:rPr>
                <w:sz w:val="20"/>
                <w:szCs w:val="20"/>
              </w:rPr>
            </w:r>
          </w:p>
        </w:tc>
        <w:tc>
          <w:tcPr>
            <w:tcW w:w="7743" w:type="dxa"/>
            <w:gridSpan w:val="4"/>
            <w:tcBorders>
              <w:left w:val="single" w:sz="4" w:space="0" w:color="000000"/>
              <w:bottom w:val="single" w:sz="4" w:space="0" w:color="000000"/>
            </w:tcBorders>
          </w:tcPr>
          <w:p>
            <w:pPr>
              <w:pStyle w:val="Normal"/>
              <w:widowControl w:val="false"/>
              <w:suppressAutoHyphens w:val="false"/>
              <w:jc w:val="right"/>
              <w:rPr>
                <w:b/>
                <w:bCs/>
                <w:szCs w:val="28"/>
                <w:lang w:val="ru-RU"/>
              </w:rPr>
            </w:pPr>
            <w:r>
              <w:rPr>
                <w:b/>
                <w:bCs/>
                <w:szCs w:val="28"/>
                <w:lang w:val="ru-RU"/>
              </w:rPr>
              <w:t>Итого без НДС, руб</w:t>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ind w:left="0" w:right="0" w:hanging="0"/>
              <w:rPr>
                <w:sz w:val="20"/>
                <w:szCs w:val="20"/>
              </w:rPr>
            </w:pPr>
            <w:r>
              <w:rPr>
                <w:sz w:val="20"/>
                <w:szCs w:val="20"/>
              </w:rPr>
            </w:r>
          </w:p>
        </w:tc>
        <w:tc>
          <w:tcPr>
            <w:tcW w:w="7743" w:type="dxa"/>
            <w:gridSpan w:val="4"/>
            <w:tcBorders>
              <w:left w:val="single" w:sz="4" w:space="0" w:color="000000"/>
              <w:bottom w:val="single" w:sz="4" w:space="0" w:color="000000"/>
            </w:tcBorders>
          </w:tcPr>
          <w:p>
            <w:pPr>
              <w:pStyle w:val="Normal"/>
              <w:widowControl w:val="false"/>
              <w:suppressAutoHyphens w:val="false"/>
              <w:jc w:val="right"/>
              <w:rPr>
                <w:b/>
                <w:bCs/>
                <w:szCs w:val="28"/>
                <w:lang w:val="ru-RU"/>
              </w:rPr>
            </w:pPr>
            <w:r>
              <w:rPr>
                <w:b/>
                <w:bCs/>
                <w:szCs w:val="28"/>
                <w:lang w:val="ru-RU"/>
              </w:rPr>
              <w:t>В том числе НДС ___%, руб</w:t>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r>
        <w:trPr>
          <w:trHeight w:val="383" w:hRule="atLeast"/>
        </w:trPr>
        <w:tc>
          <w:tcPr>
            <w:tcW w:w="724"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ind w:left="0" w:right="0" w:hanging="0"/>
              <w:rPr>
                <w:sz w:val="20"/>
                <w:szCs w:val="20"/>
              </w:rPr>
            </w:pPr>
            <w:r>
              <w:rPr>
                <w:sz w:val="20"/>
                <w:szCs w:val="20"/>
              </w:rPr>
            </w:r>
          </w:p>
        </w:tc>
        <w:tc>
          <w:tcPr>
            <w:tcW w:w="7743" w:type="dxa"/>
            <w:gridSpan w:val="4"/>
            <w:tcBorders>
              <w:left w:val="single" w:sz="4" w:space="0" w:color="000000"/>
              <w:bottom w:val="single" w:sz="4" w:space="0" w:color="000000"/>
            </w:tcBorders>
          </w:tcPr>
          <w:p>
            <w:pPr>
              <w:pStyle w:val="Normal"/>
              <w:widowControl w:val="false"/>
              <w:suppressAutoHyphens w:val="false"/>
              <w:jc w:val="right"/>
              <w:rPr>
                <w:b/>
                <w:bCs/>
                <w:szCs w:val="28"/>
                <w:lang w:val="ru-RU"/>
              </w:rPr>
            </w:pPr>
            <w:r>
              <w:rPr>
                <w:b/>
                <w:bCs/>
                <w:szCs w:val="28"/>
                <w:lang w:val="ru-RU"/>
              </w:rPr>
              <w:t>ИТОГО с НДС, руб</w:t>
            </w:r>
          </w:p>
        </w:tc>
        <w:tc>
          <w:tcPr>
            <w:tcW w:w="1343"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iCs/>
                <w:sz w:val="20"/>
                <w:szCs w:val="20"/>
              </w:rPr>
            </w:pPr>
            <w:r>
              <w:rPr>
                <w:iCs/>
                <w:sz w:val="20"/>
                <w:szCs w:val="20"/>
              </w:rPr>
            </w:r>
          </w:p>
        </w:tc>
      </w:tr>
    </w:tbl>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70"/>
        <w:gridCol w:w="5047"/>
      </w:tblGrid>
      <w:tr>
        <w:trPr/>
        <w:tc>
          <w:tcPr>
            <w:tcW w:w="4870" w:type="dxa"/>
            <w:tcBorders/>
          </w:tcPr>
          <w:p>
            <w:pPr>
              <w:pStyle w:val="Normal"/>
              <w:widowControl w:val="false"/>
              <w:rPr>
                <w:b/>
              </w:rPr>
            </w:pPr>
            <w:r>
              <w:rPr>
                <w:b/>
              </w:rPr>
              <w:t>Заказчик:</w:t>
            </w:r>
          </w:p>
        </w:tc>
        <w:tc>
          <w:tcPr>
            <w:tcW w:w="5047" w:type="dxa"/>
            <w:tcBorders/>
          </w:tcPr>
          <w:p>
            <w:pPr>
              <w:pStyle w:val="Normal"/>
              <w:widowControl w:val="false"/>
              <w:rPr>
                <w:b/>
              </w:rPr>
            </w:pPr>
            <w:r>
              <w:rPr>
                <w:b/>
                <w:lang w:val="ru-RU"/>
              </w:rPr>
              <w:t>Исполнитель</w:t>
            </w:r>
            <w:r>
              <w:rPr>
                <w:b/>
              </w:rPr>
              <w:t>:</w:t>
            </w:r>
          </w:p>
        </w:tc>
      </w:tr>
      <w:tr>
        <w:trPr/>
        <w:tc>
          <w:tcPr>
            <w:tcW w:w="4870" w:type="dxa"/>
            <w:tcBorders/>
          </w:tcPr>
          <w:p>
            <w:pPr>
              <w:pStyle w:val="Normal"/>
              <w:widowControl w:val="false"/>
              <w:rPr>
                <w:lang w:val="ru-RU"/>
              </w:rPr>
            </w:pPr>
            <w:r>
              <w:rPr>
                <w:lang w:val="ru-RU"/>
              </w:rPr>
              <w:t>Заместитель Генерального директора по</w:t>
            </w:r>
          </w:p>
          <w:p>
            <w:pPr>
              <w:pStyle w:val="Normal"/>
              <w:widowControl w:val="false"/>
              <w:rPr>
                <w:lang w:val="ru-RU"/>
              </w:rPr>
            </w:pPr>
            <w:r>
              <w:rPr>
                <w:lang w:val="ru-RU"/>
              </w:rPr>
              <w:t>управлению ресурсами АО «СК РусГидро»</w:t>
              <w:br/>
              <w:br/>
              <w:br/>
              <w:br/>
              <w:t>____________________ / Клочков Н.Н.</w:t>
            </w:r>
          </w:p>
          <w:p>
            <w:pPr>
              <w:pStyle w:val="Normal"/>
              <w:widowControl w:val="false"/>
              <w:rPr>
                <w:lang w:val="ru-RU"/>
              </w:rPr>
            </w:pPr>
            <w:r>
              <w:rPr>
                <w:lang w:val="ru-RU"/>
              </w:rPr>
            </w:r>
          </w:p>
        </w:tc>
        <w:tc>
          <w:tcPr>
            <w:tcW w:w="5047" w:type="dxa"/>
            <w:tcBorders/>
          </w:tcPr>
          <w:p>
            <w:pPr>
              <w:pStyle w:val="Normal"/>
              <w:widowControl w:val="false"/>
              <w:tabs>
                <w:tab w:val="clear" w:pos="708"/>
                <w:tab w:val="left" w:pos="426" w:leader="none"/>
              </w:tabs>
              <w:rPr>
                <w:b w:val="false"/>
                <w:bCs w:val="false"/>
              </w:rPr>
            </w:pPr>
            <w:r>
              <w:rPr>
                <w:b w:val="false"/>
                <w:bCs w:val="false"/>
                <w:color w:val="000000"/>
                <w:lang w:val="ru-RU"/>
              </w:rPr>
              <w:t>_____________________</w:t>
            </w:r>
          </w:p>
          <w:p>
            <w:pPr>
              <w:pStyle w:val="Normal"/>
              <w:widowControl w:val="false"/>
              <w:tabs>
                <w:tab w:val="clear" w:pos="708"/>
                <w:tab w:val="left" w:pos="426" w:leader="none"/>
              </w:tabs>
              <w:rPr>
                <w:b/>
                <w:bCs/>
                <w:color w:val="000000"/>
                <w:lang w:val="ru-RU"/>
              </w:rPr>
            </w:pPr>
            <w:r>
              <w:rPr>
                <w:b/>
                <w:bCs/>
                <w:color w:val="000000"/>
                <w:lang w:val="ru-RU"/>
              </w:rPr>
              <w:t xml:space="preserve">                                                               </w:t>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r>
          </w:p>
          <w:p>
            <w:pPr>
              <w:pStyle w:val="Normal"/>
              <w:widowControl w:val="false"/>
              <w:tabs>
                <w:tab w:val="clear" w:pos="708"/>
                <w:tab w:val="left" w:pos="426" w:leader="none"/>
              </w:tabs>
              <w:rPr>
                <w:b/>
                <w:bCs/>
                <w:color w:val="000000"/>
                <w:lang w:val="ru-RU"/>
              </w:rPr>
            </w:pPr>
            <w:r>
              <w:rPr>
                <w:b/>
                <w:bCs/>
                <w:color w:val="000000"/>
                <w:lang w:val="ru-RU"/>
              </w:rPr>
              <w:t xml:space="preserve">____________________ / </w:t>
            </w:r>
            <w:r>
              <w:rPr>
                <w:b w:val="false"/>
                <w:bCs w:val="false"/>
                <w:color w:val="000000"/>
                <w:lang w:val="ru-RU"/>
              </w:rPr>
              <w:t>___________</w:t>
            </w:r>
          </w:p>
          <w:p>
            <w:pPr>
              <w:pStyle w:val="Normal"/>
              <w:widowControl w:val="false"/>
              <w:rPr>
                <w:lang w:val="ru-RU"/>
              </w:rPr>
            </w:pPr>
            <w:r>
              <w:rPr>
                <w:lang w:val="ru-RU"/>
              </w:rPr>
            </w:r>
            <w:bookmarkStart w:id="29" w:name="_Hlk105762085_Копия_1_Копия_4"/>
            <w:bookmarkStart w:id="30" w:name="_Hlk105762085_Копия_1_Копия_4"/>
            <w:bookmarkEnd w:id="30"/>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left"/>
        <w:rPr/>
      </w:pPr>
      <w:r>
        <w:rPr/>
        <w:t xml:space="preserve">                                       </w:t>
      </w:r>
    </w:p>
    <w:sectPr>
      <w:headerReference w:type="default" r:id="rId3"/>
      <w:headerReference w:type="first" r:id="rId4"/>
      <w:footerReference w:type="default" r:id="rId5"/>
      <w:footerReference w:type="first" r:id="rId6"/>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sz w:val="20"/>
        <w:szCs w:val="20"/>
        <w:lang w:val="ru-RU"/>
      </w:rPr>
    </w:pPr>
    <w:r>
      <w:rPr>
        <w:color w:val="A6A6A6"/>
        <w:sz w:val="20"/>
        <w:szCs w:val="20"/>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sz w:val="24"/>
        <w:u w:val="none"/>
        <w:b w:val="false"/>
        <w:kern w:val="0"/>
        <w:szCs w:val="24"/>
        <w:bCs/>
        <w:rFonts w:ascii="Times New Roman" w:hAnsi="Times New Roman" w:eastAsia="Times New Roman" w:cs="Times New Roman"/>
        <w:color w:val="auto"/>
        <w:lang w:val="ru-RU" w:eastAsia="ru-RU" w:bidi="ar-SA"/>
      </w:rPr>
    </w:lvl>
    <w:lvl w:ilvl="1">
      <w:start w:val="1"/>
      <w:numFmt w:val="decimal"/>
      <w:lvlText w:val="%1.%2."/>
      <w:lvlJc w:val="left"/>
      <w:pPr>
        <w:tabs>
          <w:tab w:val="num" w:pos="0"/>
        </w:tabs>
        <w:ind w:left="1000" w:hanging="432"/>
      </w:pPr>
      <w:rPr>
        <w:sz w:val="24"/>
        <w:u w:val="none"/>
        <w:b w:val="false"/>
        <w:kern w:val="0"/>
        <w:szCs w:val="24"/>
        <w:bCs/>
        <w:rFonts w:ascii="Times New Roman" w:hAnsi="Times New Roman" w:eastAsia="Times New Roman" w:cs="Times New Roman"/>
        <w:color w:val="auto"/>
        <w:lang w:val="ru-RU" w:eastAsia="ru-RU" w:bidi="ar-SA"/>
      </w:rPr>
    </w:lvl>
    <w:lvl w:ilvl="2">
      <w:start w:val="1"/>
      <w:numFmt w:val="decimal"/>
      <w:lvlText w:val="%1.%2.%3."/>
      <w:lvlJc w:val="left"/>
      <w:pPr>
        <w:tabs>
          <w:tab w:val="num" w:pos="0"/>
        </w:tabs>
        <w:ind w:left="1781" w:hanging="504"/>
      </w:pPr>
      <w:rPr>
        <w:sz w:val="24"/>
        <w:u w:val="none"/>
        <w:b w:val="false"/>
        <w:kern w:val="0"/>
        <w:szCs w:val="24"/>
        <w:bCs/>
        <w:rFonts w:ascii="Times New Roman" w:hAnsi="Times New Roman" w:eastAsia="Times New Roman" w:cs="Times New Roman"/>
        <w:color w:val="auto"/>
        <w:lang w:val="ru-RU" w:eastAsia="ru-RU" w:bidi="ar-SA"/>
      </w:rPr>
    </w:lvl>
    <w:lvl w:ilvl="3">
      <w:start w:val="1"/>
      <w:numFmt w:val="decimal"/>
      <w:lvlText w:val="%1.%2.%3.%4."/>
      <w:lvlJc w:val="left"/>
      <w:pPr>
        <w:tabs>
          <w:tab w:val="num" w:pos="0"/>
        </w:tabs>
        <w:ind w:left="1728" w:hanging="648"/>
      </w:pPr>
      <w:rPr>
        <w:sz w:val="24"/>
        <w:u w:val="none"/>
        <w:b w:val="false"/>
        <w:kern w:val="0"/>
        <w:szCs w:val="24"/>
        <w:bCs/>
        <w:rFonts w:ascii="Times New Roman" w:hAnsi="Times New Roman" w:eastAsia="Times New Roman" w:cs="Times New Roman"/>
        <w:color w:val="auto"/>
        <w:lang w:val="ru-RU" w:eastAsia="ru-RU" w:bidi="ar-SA"/>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sz w:val="24"/>
        <w:u w:val="none"/>
        <w:b/>
        <w:kern w:val="0"/>
        <w:szCs w:val="24"/>
        <w:bCs/>
        <w:rFonts w:ascii="Times New Roman" w:hAnsi="Times New Roman" w:eastAsia="Times New Roman" w:cs="Times New Roman"/>
        <w:color w:val="auto"/>
        <w:lang w:val="ru-RU" w:eastAsia="ru-RU" w:bidi="ar-SA"/>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ꟷ"/>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ꟷ"/>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bullet"/>
      <w:lvlText w:val="ꟷ"/>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1"/>
      <w:numFmt w:val="bullet"/>
      <w:lvlText w:val="ꟷ"/>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bullet"/>
      <w:lvlText w:val="ꟷ"/>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ꟷ"/>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ꟷ"/>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uiPriority w:val="9"/>
    <w:qFormat/>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uiPriority w:val="9"/>
    <w:unhideWhenUsed/>
    <w:qFormat/>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uiPriority w:val="9"/>
    <w:unhideWhenUsed/>
    <w:qFormat/>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Pr>
      <w:sz w:val="16"/>
      <w:szCs w:val="16"/>
      <w:lang w:val="en-GB"/>
    </w:rPr>
  </w:style>
  <w:style w:type="character" w:styleId="31" w:customStyle="1">
    <w:name w:val="Заголовок 3 Знак"/>
    <w:qFormat/>
    <w:rPr>
      <w:rFonts w:ascii="Cambria" w:hAnsi="Cambria" w:eastAsia="Times New Roman" w:cs="Times New Roman"/>
      <w:b/>
      <w:bCs/>
      <w:color w:val="4F81BD"/>
      <w:sz w:val="24"/>
      <w:szCs w:val="24"/>
      <w:lang w:val="en-GB"/>
    </w:rPr>
  </w:style>
  <w:style w:type="character" w:styleId="Annotationreference">
    <w:name w:val="annotation reference"/>
    <w:qFormat/>
    <w:rPr>
      <w:sz w:val="16"/>
      <w:szCs w:val="16"/>
    </w:rPr>
  </w:style>
  <w:style w:type="character" w:styleId="Style7" w:customStyle="1">
    <w:name w:val="Текст примечания Знак"/>
    <w:link w:val="Annotationtext"/>
    <w:qFormat/>
    <w:rPr>
      <w:lang w:val="en-GB"/>
    </w:rPr>
  </w:style>
  <w:style w:type="character" w:styleId="Style8" w:customStyle="1">
    <w:name w:val="Тема примечания Знак"/>
    <w:link w:val="Annotationsubject"/>
    <w:qFormat/>
    <w:rPr>
      <w:b/>
      <w:bCs/>
      <w:lang w:val="en-GB"/>
    </w:rPr>
  </w:style>
  <w:style w:type="character" w:styleId="32" w:customStyle="1">
    <w:name w:val="Основной текст с отступом 3 Знак"/>
    <w:link w:val="BodyTextIndent3"/>
    <w:qFormat/>
    <w:rPr>
      <w:sz w:val="16"/>
      <w:szCs w:val="16"/>
    </w:rPr>
  </w:style>
  <w:style w:type="character" w:styleId="Style9" w:customStyle="1">
    <w:name w:val="Основной текст Знак"/>
    <w:qFormat/>
    <w:rPr>
      <w:sz w:val="28"/>
      <w:szCs w:val="28"/>
    </w:rPr>
  </w:style>
  <w:style w:type="character" w:styleId="Style10" w:customStyle="1">
    <w:name w:val="Заголовок Знак"/>
    <w:qFormat/>
    <w:rPr>
      <w:b/>
      <w:bCs/>
      <w:sz w:val="24"/>
      <w:szCs w:val="24"/>
    </w:rPr>
  </w:style>
  <w:style w:type="character" w:styleId="Style11" w:customStyle="1">
    <w:name w:val="Верхний колонтитул Знак"/>
    <w:qFormat/>
    <w:rPr>
      <w:sz w:val="24"/>
      <w:szCs w:val="24"/>
      <w:lang w:val="en-GB"/>
    </w:rPr>
  </w:style>
  <w:style w:type="character" w:styleId="Style12" w:customStyle="1">
    <w:name w:val="Нижний колонтитул Знак"/>
    <w:qFormat/>
    <w:rPr>
      <w:sz w:val="24"/>
      <w:szCs w:val="24"/>
      <w:lang w:val="en-GB"/>
    </w:rPr>
  </w:style>
  <w:style w:type="character" w:styleId="2" w:customStyle="1">
    <w:name w:val="Основной текст 2 Знак"/>
    <w:link w:val="BodyText2"/>
    <w:qFormat/>
    <w:rPr>
      <w:sz w:val="24"/>
      <w:szCs w:val="24"/>
    </w:rPr>
  </w:style>
  <w:style w:type="character" w:styleId="Style13" w:customStyle="1">
    <w:name w:val="Основной текст с отступом Знак"/>
    <w:qFormat/>
    <w:rPr>
      <w:sz w:val="24"/>
      <w:szCs w:val="24"/>
    </w:rPr>
  </w:style>
  <w:style w:type="character" w:styleId="Strong">
    <w:name w:val="Strong"/>
    <w:qFormat/>
    <w:rPr>
      <w:b/>
      <w:bCs/>
    </w:rPr>
  </w:style>
  <w:style w:type="character" w:styleId="Style14" w:customStyle="1">
    <w:name w:val="Текст сноски Знак"/>
    <w:qFormat/>
    <w:rPr>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33" w:customStyle="1">
    <w:name w:val="3. Подпункт Знак"/>
    <w:link w:val="34"/>
    <w:qFormat/>
    <w:rPr>
      <w:b/>
      <w:bCs/>
      <w:sz w:val="24"/>
      <w:szCs w:val="24"/>
      <w:lang w:val="x-none" w:eastAsia="x-none"/>
    </w:rPr>
  </w:style>
  <w:style w:type="character" w:styleId="Style15" w:customStyle="1">
    <w:name w:val="Абзац списка Знак"/>
    <w:link w:val="ListParagraph"/>
    <w:qFormat/>
    <w:rPr>
      <w:sz w:val="24"/>
      <w:szCs w:val="24"/>
    </w:rPr>
  </w:style>
  <w:style w:type="character" w:styleId="Style16" w:customStyle="1">
    <w:name w:val="Название Знак"/>
    <w:qFormat/>
    <w:rPr>
      <w:b/>
      <w:bCs/>
      <w:sz w:val="24"/>
      <w:szCs w:val="24"/>
    </w:rPr>
  </w:style>
  <w:style w:type="character" w:styleId="1" w:customStyle="1">
    <w:name w:val="Неразрешенное упоминание1"/>
    <w:basedOn w:val="DefaultParagraphFont"/>
    <w:qFormat/>
    <w:rPr>
      <w:color w:val="605E5C"/>
      <w:shd w:fill="E1DFDD" w:val="clear"/>
    </w:rPr>
  </w:style>
  <w:style w:type="character" w:styleId="Style17" w:customStyle="1">
    <w:name w:val="Маркеры"/>
    <w:qFormat/>
    <w:rPr>
      <w:rFonts w:ascii="OpenSymbol" w:hAnsi="OpenSymbol" w:eastAsia="OpenSymbol" w:cs="OpenSymbol"/>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Style19" w:customStyle="1">
    <w:name w:val="комментарий"/>
    <w:qFormat/>
    <w:rPr>
      <w:b/>
      <w:i/>
      <w:shd w:fill="FFFF99" w:val="clear"/>
    </w:rPr>
  </w:style>
  <w:style w:type="character" w:styleId="Style20" w:customStyle="1">
    <w:name w:val="Символ нумерации"/>
    <w:qFormat/>
    <w:rPr>
      <w:rFonts w:ascii="Times New Roman" w:hAnsi="Times New Roman" w:eastAsia="Times New Roman" w:cs="Times New Roman"/>
      <w:b w:val="false"/>
      <w:bCs w:val="false"/>
      <w:color w:val="auto"/>
      <w:kern w:val="0"/>
      <w:sz w:val="20"/>
      <w:szCs w:val="20"/>
      <w:lang w:val="ru-RU" w:eastAsia="ru-RU" w:bidi="ar-SA"/>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next w:val="BodyText"/>
    <w:link w:val="Style10"/>
    <w:uiPriority w:val="10"/>
    <w:qFormat/>
    <w:pPr>
      <w:widowControl w:val="false"/>
      <w:overflowPunct w:val="true"/>
      <w:spacing w:before="0" w:after="120"/>
      <w:jc w:val="center"/>
      <w:textAlignment w:val="baseline"/>
    </w:pPr>
    <w:rPr>
      <w:b/>
      <w:bCs/>
      <w:sz w:val="32"/>
      <w:szCs w:val="20"/>
      <w:lang w:val="ru-RU"/>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1" w:customStyle="1">
    <w:name w:val="Знак Знак Знак Знак Знак Знак Знак Знак Знак1"/>
    <w:basedOn w:val="Normal"/>
    <w:qFormat/>
    <w:pPr>
      <w:spacing w:lineRule="exact" w:line="240" w:before="0" w:after="160"/>
      <w:jc w:val="both"/>
    </w:pPr>
    <w:rPr>
      <w:rFonts w:ascii="Verdana" w:hAnsi="Verdana"/>
      <w:sz w:val="22"/>
      <w:szCs w:val="20"/>
      <w:lang w:val="en-US" w:eastAsia="en-US"/>
    </w:rPr>
  </w:style>
  <w:style w:type="paragraph" w:styleId="12" w:customStyle="1">
    <w:name w:val="Обычный1"/>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qFormat/>
    <w:pPr/>
    <w:rPr>
      <w:rFonts w:ascii="Consolas" w:hAnsi="Consolas" w:eastAsia="Calibri"/>
      <w:sz w:val="21"/>
      <w:szCs w:val="21"/>
      <w:lang w:eastAsia="en-US"/>
    </w:rPr>
  </w:style>
  <w:style w:type="paragraph" w:styleId="Style23" w:customStyle="1">
    <w:name w:val="Подпункт договора"/>
    <w:basedOn w:val="Normal"/>
    <w:qFormat/>
    <w:pPr>
      <w:tabs>
        <w:tab w:val="clear" w:pos="708"/>
        <w:tab w:val="left" w:pos="360" w:leader="none"/>
      </w:tabs>
      <w:jc w:val="both"/>
    </w:pPr>
    <w:rPr>
      <w:rFonts w:ascii="Arial" w:hAnsi="Arial"/>
      <w:sz w:val="20"/>
      <w:szCs w:val="20"/>
      <w:lang w:val="ru-RU"/>
    </w:rPr>
  </w:style>
  <w:style w:type="paragraph" w:styleId="Style24" w:customStyle="1">
    <w:name w:val="Пункт"/>
    <w:basedOn w:val="Normal"/>
    <w:qFormat/>
    <w:pPr>
      <w:numPr>
        <w:ilvl w:val="2"/>
        <w:numId w:val="2"/>
      </w:numPr>
      <w:jc w:val="both"/>
    </w:pPr>
    <w:rPr>
      <w:sz w:val="28"/>
      <w:lang w:val="ru-RU"/>
    </w:rPr>
  </w:style>
  <w:style w:type="paragraph" w:styleId="Style25" w:customStyle="1">
    <w:name w:val="Подпункт"/>
    <w:basedOn w:val="Style24"/>
    <w:qFormat/>
    <w:pPr>
      <w:numPr>
        <w:ilvl w:val="3"/>
      </w:numPr>
    </w:pPr>
    <w:rPr/>
  </w:style>
  <w:style w:type="paragraph" w:styleId="Style26" w:customStyle="1">
    <w:name w:val="Подподпункт"/>
    <w:basedOn w:val="Style25"/>
    <w:qFormat/>
    <w:pPr>
      <w:numPr>
        <w:ilvl w:val="4"/>
      </w:numPr>
    </w:pPr>
    <w:rPr/>
  </w:style>
  <w:style w:type="paragraph" w:styleId="Style27" w:customStyle="1">
    <w:name w:val="Пункт договора"/>
    <w:basedOn w:val="Normal"/>
    <w:qFormat/>
    <w:pPr>
      <w:widowControl w:val="false"/>
      <w:jc w:val="both"/>
    </w:pPr>
    <w:rPr>
      <w:rFonts w:ascii="Arial" w:hAnsi="Arial"/>
      <w:sz w:val="20"/>
      <w:szCs w:val="20"/>
      <w:lang w:val="ru-RU"/>
    </w:rPr>
  </w:style>
  <w:style w:type="paragraph" w:styleId="Style28" w:customStyle="1">
    <w:name w:val="Знак"/>
    <w:basedOn w:val="Normal"/>
    <w:qFormat/>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pPr/>
    <w:rPr>
      <w:sz w:val="20"/>
      <w:szCs w:val="20"/>
      <w:lang w:eastAsia="x-none"/>
    </w:rPr>
  </w:style>
  <w:style w:type="paragraph" w:styleId="Style29" w:customStyle="1">
    <w:name w:val="Раздел договора"/>
    <w:basedOn w:val="Normal"/>
    <w:next w:val="Style27"/>
    <w:qFormat/>
    <w:pPr>
      <w:keepNext w:val="true"/>
      <w:keepLines/>
      <w:widowControl w:val="false"/>
      <w:spacing w:before="240" w:after="200"/>
    </w:pPr>
    <w:rPr>
      <w:rFonts w:ascii="Arial" w:hAnsi="Arial"/>
      <w:b/>
      <w:caps/>
      <w:sz w:val="20"/>
      <w:szCs w:val="20"/>
      <w:lang w:val="ru-RU"/>
    </w:rPr>
  </w:style>
  <w:style w:type="paragraph" w:styleId="BalloonText">
    <w:name w:val="Balloon Text"/>
    <w:basedOn w:val="Normal"/>
    <w:qFormat/>
    <w:pPr/>
    <w:rPr>
      <w:rFonts w:ascii="Tahoma" w:hAnsi="Tahoma" w:cs="Tahoma"/>
      <w:sz w:val="16"/>
      <w:szCs w:val="16"/>
    </w:rPr>
  </w:style>
  <w:style w:type="paragraph" w:styleId="BodyText3">
    <w:name w:val="Body Text 3"/>
    <w:basedOn w:val="Normal"/>
    <w:link w:val="3"/>
    <w:qFormat/>
    <w:pPr>
      <w:spacing w:before="0" w:after="120"/>
    </w:pPr>
    <w:rPr>
      <w:sz w:val="16"/>
      <w:szCs w:val="16"/>
      <w:lang w:eastAsia="x-none"/>
    </w:rPr>
  </w:style>
  <w:style w:type="paragraph" w:styleId="ConsNormal" w:customStyle="1">
    <w:name w:val="ConsNormal"/>
    <w:qFormat/>
    <w:pPr>
      <w:widowControl/>
      <w:suppressAutoHyphens w:val="true"/>
      <w:overflowPunct w:val="fals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0" w:customStyle="1">
    <w:name w:val="Знак Знак Знак Знак Знак Знак Знак Знак Знак"/>
    <w:basedOn w:val="Normal"/>
    <w:qFormat/>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qFormat/>
    <w:pPr>
      <w:spacing w:before="0" w:after="0"/>
      <w:ind w:left="720" w:hanging="0"/>
      <w:contextualSpacing/>
    </w:pPr>
    <w:rPr>
      <w:lang w:val="ru-RU"/>
    </w:rPr>
  </w:style>
  <w:style w:type="paragraph" w:styleId="Annotationtext">
    <w:name w:val="annotation text"/>
    <w:basedOn w:val="Normal"/>
    <w:link w:val="Style7"/>
    <w:qFormat/>
    <w:pPr/>
    <w:rPr>
      <w:sz w:val="20"/>
      <w:szCs w:val="20"/>
      <w:lang w:eastAsia="x-none"/>
    </w:rPr>
  </w:style>
  <w:style w:type="paragraph" w:styleId="Annotationsubject">
    <w:name w:val="annotation subject"/>
    <w:basedOn w:val="Annotationtext"/>
    <w:next w:val="Annotationtext"/>
    <w:link w:val="Style8"/>
    <w:qFormat/>
    <w:pPr/>
    <w:rPr>
      <w:b/>
      <w:bCs/>
    </w:rPr>
  </w:style>
  <w:style w:type="paragraph" w:styleId="BodyTextIndent3">
    <w:name w:val="Body Text Indent 3"/>
    <w:basedOn w:val="Normal"/>
    <w:link w:val="32"/>
    <w:qFormat/>
    <w:pPr>
      <w:spacing w:lineRule="auto" w:line="360" w:before="0" w:after="120"/>
      <w:ind w:left="283" w:firstLine="567"/>
      <w:jc w:val="both"/>
    </w:pPr>
    <w:rPr>
      <w:sz w:val="16"/>
      <w:szCs w:val="16"/>
      <w:lang w:val="x-none" w:eastAsia="x-none"/>
    </w:rPr>
  </w:style>
  <w:style w:type="paragraph" w:styleId="Revision">
    <w:name w:val="Revision"/>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tyle31" w:customStyle="1">
    <w:name w:val="Колонтитул"/>
    <w:basedOn w:val="Normal"/>
    <w:qFormat/>
    <w:pPr/>
    <w:rPr/>
  </w:style>
  <w:style w:type="paragraph" w:styleId="Header">
    <w:name w:val="Header"/>
    <w:basedOn w:val="Normal"/>
    <w:link w:val="Style11"/>
    <w:pPr>
      <w:tabs>
        <w:tab w:val="clear" w:pos="708"/>
        <w:tab w:val="center" w:pos="4677" w:leader="none"/>
        <w:tab w:val="right" w:pos="9355" w:leader="none"/>
      </w:tabs>
    </w:pPr>
    <w:rPr>
      <w:lang w:eastAsia="x-none"/>
    </w:rPr>
  </w:style>
  <w:style w:type="paragraph" w:styleId="Footer">
    <w:name w:val="Footer"/>
    <w:basedOn w:val="Normal"/>
    <w:link w:val="Style12"/>
    <w:pPr>
      <w:tabs>
        <w:tab w:val="clear" w:pos="708"/>
        <w:tab w:val="center" w:pos="4677" w:leader="none"/>
        <w:tab w:val="right" w:pos="9355" w:leader="none"/>
      </w:tabs>
    </w:pPr>
    <w:rPr>
      <w:lang w:eastAsia="x-none"/>
    </w:rPr>
  </w:style>
  <w:style w:type="paragraph" w:styleId="BodyText2">
    <w:name w:val="Body Text 2"/>
    <w:basedOn w:val="Normal"/>
    <w:link w:val="2"/>
    <w:qFormat/>
    <w:pPr>
      <w:spacing w:lineRule="auto" w:line="480" w:before="0" w:after="120"/>
    </w:pPr>
    <w:rPr>
      <w:lang w:val="x-none" w:eastAsia="x-none"/>
    </w:rPr>
  </w:style>
  <w:style w:type="paragraph" w:styleId="BodyTextIndent">
    <w:name w:val="Body Text Indent"/>
    <w:basedOn w:val="Normal"/>
    <w:link w:val="Style13"/>
    <w:pPr>
      <w:spacing w:before="0" w:after="120"/>
      <w:ind w:left="283" w:hanging="0"/>
    </w:pPr>
    <w:rPr>
      <w:lang w:val="x-none" w:eastAsia="x-none"/>
    </w:rPr>
  </w:style>
  <w:style w:type="paragraph" w:styleId="333" w:customStyle="1">
    <w:name w:val="Пункт 3.3.3"/>
    <w:basedOn w:val="Normal"/>
    <w:qFormat/>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1" w:customStyle="1">
    <w:name w:val="caption11"/>
    <w:basedOn w:val="Normal"/>
    <w:next w:val="Normal"/>
    <w:qFormat/>
    <w:pPr>
      <w:widowControl w:val="false"/>
      <w:overflowPunct w:val="true"/>
      <w:spacing w:before="120" w:after="120"/>
      <w:jc w:val="both"/>
      <w:textAlignment w:val="baseline"/>
    </w:pPr>
    <w:rPr>
      <w:b/>
      <w:bCs/>
      <w:lang w:val="ru-RU"/>
    </w:rPr>
  </w:style>
  <w:style w:type="paragraph" w:styleId="13" w:customStyle="1">
    <w:name w:val="1. Статья"/>
    <w:basedOn w:val="Heading3"/>
    <w:qFormat/>
    <w:pPr>
      <w:keepNext w:val="false"/>
      <w:keepLines w:val="false"/>
      <w:widowControl w:val="false"/>
      <w:numPr>
        <w:ilvl w:val="0"/>
        <w:numId w:val="4"/>
      </w:numPr>
      <w:tabs>
        <w:tab w:val="clear" w:pos="708"/>
        <w:tab w:val="left" w:pos="2340" w:leader="none"/>
      </w:tabs>
      <w:overflowPunct w:val="true"/>
      <w:spacing w:before="0" w:after="0"/>
      <w:ind w:left="0"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Style32" w:customStyle="1">
    <w:name w:val="Таблица шапка"/>
    <w:basedOn w:val="Normal"/>
    <w:qFormat/>
    <w:pPr>
      <w:keepNext w:val="true"/>
      <w:spacing w:before="40" w:after="40"/>
      <w:ind w:left="57" w:right="57" w:hanging="0"/>
    </w:pPr>
    <w:rPr>
      <w:sz w:val="22"/>
      <w:szCs w:val="26"/>
    </w:rPr>
  </w:style>
  <w:style w:type="paragraph" w:styleId="Style33" w:customStyle="1">
    <w:name w:val="Таблица"/>
    <w:basedOn w:val="Normal"/>
    <w:qFormat/>
    <w:pPr>
      <w:keepNext w:val="true"/>
      <w:spacing w:before="60" w:after="60"/>
      <w:jc w:val="center"/>
    </w:pPr>
    <w:rPr>
      <w:rFonts w:eastAsia="Calibri"/>
      <w:b/>
      <w:lang w:val="x-none" w:eastAsia="x-none"/>
    </w:rPr>
  </w:style>
  <w:style w:type="paragraph" w:styleId="Style34" w:customStyle="1">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numbering" w:styleId="6287113141" w:customStyle="1">
    <w:name w:val="6287113141"/>
    <w:qFormat/>
  </w:style>
  <w:style w:type="numbering" w:styleId="30127710911" w:customStyle="1">
    <w:name w:val="30127710911"/>
    <w:qFormat/>
  </w:style>
  <w:style w:type="numbering" w:styleId="33362175721" w:customStyle="1">
    <w:name w:val="33362175721"/>
    <w:qFormat/>
  </w:style>
  <w:style w:type="numbering" w:styleId="17772831821" w:customStyle="1">
    <w:name w:val="17772831821"/>
    <w:qFormat/>
  </w:style>
  <w:style w:type="numbering" w:styleId="39431094841" w:customStyle="1">
    <w:name w:val="39431094841"/>
    <w:qFormat/>
  </w:style>
  <w:style w:type="numbering" w:styleId="16722728921" w:customStyle="1">
    <w:name w:val="16722728921"/>
    <w:qFormat/>
  </w:style>
  <w:style w:type="numbering" w:styleId="21135455341" w:customStyle="1">
    <w:name w:val="21135455341"/>
    <w:qFormat/>
  </w:style>
  <w:style w:type="numbering" w:styleId="37641386611" w:customStyle="1">
    <w:name w:val="37641386611"/>
    <w:qFormat/>
  </w:style>
  <w:style w:type="numbering" w:styleId="24335663901" w:customStyle="1">
    <w:name w:val="24335663901"/>
    <w:qFormat/>
  </w:style>
  <w:style w:type="numbering" w:styleId="29037573581" w:customStyle="1">
    <w:name w:val="29037573581"/>
    <w:qFormat/>
  </w:style>
  <w:style w:type="numbering" w:styleId="20691172111" w:customStyle="1">
    <w:name w:val="20691172111"/>
    <w:qFormat/>
  </w:style>
  <w:style w:type="numbering" w:styleId="31313796721" w:customStyle="1">
    <w:name w:val="31313796721"/>
    <w:qFormat/>
  </w:style>
  <w:style w:type="numbering" w:styleId="29613645591" w:customStyle="1">
    <w:name w:val="29613645591"/>
    <w:qFormat/>
  </w:style>
  <w:style w:type="numbering" w:styleId="34168424201" w:customStyle="1">
    <w:name w:val="34168424201"/>
    <w:qFormat/>
  </w:style>
  <w:style w:type="numbering" w:styleId="19164902231" w:customStyle="1">
    <w:name w:val="19164902231"/>
    <w:qFormat/>
  </w:style>
  <w:style w:type="numbering" w:styleId="26664324121" w:customStyle="1">
    <w:name w:val="26664324121"/>
    <w:qFormat/>
  </w:style>
  <w:style w:type="numbering" w:styleId="11941455201" w:customStyle="1">
    <w:name w:val="11941455201"/>
    <w:qFormat/>
  </w:style>
  <w:style w:type="numbering" w:styleId="27305395091" w:customStyle="1">
    <w:name w:val="27305395091"/>
    <w:qFormat/>
  </w:style>
  <w:style w:type="table" w:default="1" w:styleId="a4">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612</TotalTime>
  <Application>AlterOffice/3.4.0.9$Linux_X86_64 LibreOffice_project/b8daf9e823b1a5463a2f48435ddc2e8696e7d4fc</Application>
  <AppVersion>15.0000</AppVersion>
  <Pages>19</Pages>
  <Words>6688</Words>
  <Characters>47602</Characters>
  <CharactersWithSpaces>54273</CharactersWithSpaces>
  <Paragraphs>379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nikitinma@corp.gidroogk.com</cp:lastModifiedBy>
  <cp:lastPrinted>2022-01-13T22:05:00Z</cp:lastPrinted>
  <dcterms:modified xsi:type="dcterms:W3CDTF">2026-06-19T14:04:58Z</dcterms:modified>
  <cp:revision>58</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