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r>
    </w:p>
    <w:p>
      <w:pPr>
        <w:pStyle w:val="Normal"/>
        <w:shd w:val="clear" w:color="auto" w:fill="FFFFFF"/>
        <w:tabs>
          <w:tab w:val="clear" w:pos="709"/>
          <w:tab w:val="left" w:pos="6926" w:leader="none"/>
        </w:tabs>
        <w:jc w:val="center"/>
        <w:rPr>
          <w:b/>
          <w:sz w:val="24"/>
          <w:szCs w:val="24"/>
        </w:rPr>
      </w:pPr>
      <w:r>
        <w:rPr>
          <w:b/>
          <w:bCs/>
          <w:sz w:val="24"/>
          <w:szCs w:val="24"/>
        </w:rPr>
        <w:t xml:space="preserve">Договор поставки № </w:t>
      </w:r>
      <w:r>
        <w:rPr>
          <w:rFonts w:eastAsia="Calibri"/>
          <w:b/>
          <w:bCs/>
          <w:i w:val="false"/>
          <w:iCs w:val="false"/>
          <w:color w:val="000000" w:themeColor="text1"/>
          <w:spacing w:val="10"/>
          <w:sz w:val="26"/>
          <w:szCs w:val="26"/>
          <w:shd w:fill="FFFFFF" w:val="clear"/>
          <w:lang w:eastAsia="en-US"/>
        </w:rPr>
        <w:t>2123-РЕМ ПРОД-2026-ТК-КФ</w:t>
      </w:r>
      <w:r>
        <w:rPr>
          <w:rFonts w:eastAsia="Calibri"/>
          <w:b/>
          <w:bCs/>
          <w:i w:val="false"/>
          <w:iCs w:val="false"/>
          <w:spacing w:val="10"/>
          <w:sz w:val="26"/>
          <w:szCs w:val="26"/>
          <w:shd w:fill="FFFFFF" w:val="clear"/>
          <w:lang w:eastAsia="en-US"/>
        </w:rPr>
        <w:t xml:space="preserve"> </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pPr>
      <w:r>
        <w:rPr>
          <w:spacing w:val="10"/>
          <w:sz w:val="24"/>
          <w:szCs w:val="24"/>
        </w:rPr>
        <w:t xml:space="preserve">совместно в дальнейшем именуемые «Стороны», а по отдельности – «Сторона», </w:t>
      </w:r>
      <w:r>
        <w:rPr>
          <w:spacing w:val="10"/>
          <w:sz w:val="24"/>
          <w:szCs w:val="24"/>
          <w:lang w:eastAsia="en-US"/>
        </w:rPr>
        <w:t>по результатам проведенной Покупателем неконкурентной процедуры по лоту №</w:t>
      </w:r>
      <w:r>
        <w:rPr>
          <w:rFonts w:eastAsia="Times New Roman" w:cs="Times New Roman"/>
          <w:color w:val="auto"/>
          <w:spacing w:val="10"/>
          <w:kern w:val="0"/>
          <w:sz w:val="24"/>
          <w:szCs w:val="24"/>
          <w:lang w:val="ru-RU" w:eastAsia="ru-RU" w:bidi="ar-SA"/>
        </w:rPr>
        <w:t xml:space="preserve"> 2123-РЕМ ПРОД-2026-ТК-КФ</w:t>
      </w:r>
      <w:r>
        <w:rPr>
          <w:spacing w:val="10"/>
          <w:sz w:val="24"/>
          <w:szCs w:val="24"/>
          <w:lang w:eastAsia="en-US"/>
        </w:rPr>
        <w:t xml:space="preserve">, </w:t>
      </w:r>
      <w:r>
        <w:rPr>
          <w:spacing w:val="10"/>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 xml:space="preserve">в собственность Покупателю </w:t>
      </w:r>
      <w:r>
        <w:rPr>
          <w:rFonts w:eastAsia="Calibri"/>
          <w:bCs/>
          <w:sz w:val="24"/>
          <w:szCs w:val="24"/>
          <w:lang w:eastAsia="en-US"/>
        </w:rPr>
        <w:t>запасные части для гусеничного  бульдозера LIEBHHERR PR 734 LGP для нужд Камчатского филиала АО «ТК РусГидро»</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Камчатского филиала АО «ТК РусГидро».</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Россия, Камчатский край, город Петропавловск-Камчатский, ул. Пограничная 75Б </w:t>
      </w:r>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 не более 30 календарных дней с даты заключения договора.</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_______ (__________________) рублей ___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пункта 2.4.4 Договора.</w:t>
      </w:r>
    </w:p>
    <w:p>
      <w:pPr>
        <w:pStyle w:val="ListParagraph"/>
        <w:numPr>
          <w:ilvl w:val="2"/>
          <w:numId w:val="2"/>
        </w:numPr>
        <w:tabs>
          <w:tab w:val="clear" w:pos="709"/>
          <w:tab w:val="left" w:pos="1245" w:leader="none"/>
        </w:tabs>
        <w:ind w:left="0" w:firstLine="709"/>
        <w:jc w:val="both"/>
        <w:rPr>
          <w:sz w:val="24"/>
        </w:rPr>
      </w:pPr>
      <w:r>
        <w:rPr>
          <w:sz w:val="24"/>
        </w:rPr>
        <w:t xml:space="preserve">Окончательный платеж в размере 70 (семидесяти) процентов от стоимости </w:t>
      </w:r>
      <w:r>
        <w:rPr>
          <w:sz w:val="24"/>
          <w:shd w:fill="EEEEEE" w:val="clear"/>
        </w:rPr>
        <w:t>Товара выплачивается Поставщику в течение 20 (двадцати) календарных дней</w:t>
      </w:r>
      <w:r>
        <w:rPr>
          <w:rStyle w:val="FootnoteReference"/>
          <w:sz w:val="24"/>
          <w:shd w:fill="EEEEEE" w:val="clear"/>
        </w:rPr>
        <w:footnoteReference w:id="2"/>
      </w:r>
      <w:r>
        <w:rPr>
          <w:sz w:val="24"/>
          <w:shd w:fill="EEEEEE" w:val="clear"/>
        </w:rPr>
        <w:t xml:space="preserve"> / 7 (семи) рабочих дней</w:t>
      </w:r>
      <w:r>
        <w:rPr>
          <w:rStyle w:val="FootnoteReference"/>
          <w:sz w:val="24"/>
          <w:shd w:fill="EEEEEE" w:val="clear"/>
        </w:rPr>
        <w:footnoteReference w:id="3"/>
      </w:r>
      <w:r>
        <w:rPr>
          <w:sz w:val="24"/>
          <w:shd w:fill="EEEEEE" w:val="clear"/>
        </w:rPr>
        <w:t xml:space="preserve"> с даты </w:t>
      </w:r>
      <w:r>
        <w:rPr>
          <w:sz w:val="24"/>
        </w:rPr>
        <w:t>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w:t>
      </w:r>
      <w:r>
        <w:rPr>
          <w:sz w:val="24"/>
          <w:szCs w:val="24"/>
          <w:shd w:fill="EEEEEE" w:val="clear"/>
        </w:rPr>
        <w:t xml:space="preserve">ние 3 (трех)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EEEEEE" w:val="clear"/>
        </w:rPr>
      </w:pPr>
      <w:bookmarkStart w:id="3" w:name="_Ref361408232"/>
      <w:r>
        <w:rPr>
          <w:sz w:val="24"/>
          <w:szCs w:val="24"/>
          <w:shd w:fill="EEEEEE"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EEEEEE"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EEEEEE" w:val="clear"/>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w:t>
      </w:r>
      <w:r>
        <w:rPr>
          <w:sz w:val="24"/>
          <w:szCs w:val="24"/>
        </w:rPr>
        <w:t>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shd w:fill="FFFFFF" w:val="clear"/>
        </w:rPr>
        <w:t xml:space="preserve">Гарантийный срок на Товар, поставленный по Договору, </w:t>
      </w:r>
      <w:r>
        <w:rPr>
          <w:sz w:val="24"/>
          <w:szCs w:val="24"/>
          <w:shd w:fill="FFFFFF" w:val="clear"/>
        </w:rPr>
        <w:t>составляет ____ (______) месяцев</w:t>
      </w:r>
      <w:r>
        <w:rPr>
          <w:sz w:val="24"/>
          <w:szCs w:val="24"/>
          <w:shd w:fill="FFFFFF" w:val="clear"/>
        </w:rPr>
        <w:t xml:space="preserve"> и </w:t>
      </w:r>
      <w:r>
        <w:rPr>
          <w:sz w:val="24"/>
          <w:szCs w:val="24"/>
        </w:rPr>
        <w:t xml:space="preserve">начинает течь с даты подписания Сторонами накладной ТОРГ-12. Гарантийный срок может быть продлен в соответствии с условиями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4"/>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5"/>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6"/>
      </w:r>
      <w:r>
        <w:rPr>
          <w:sz w:val="24"/>
          <w:szCs w:val="24"/>
          <w:highlight w:val="lightGray"/>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w:t>
        <w:br/>
        <w:t xml:space="preserve">с 31 (тридцать первого) календарного дня просрочки (неустойка с 1 по 30 день просрочки </w:t>
        <w:br/>
        <w:t xml:space="preserve">не начисляется), но не более 5% от несвоевременно уплаченной суммы. </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1"/>
          <w:numId w:val="15"/>
        </w:numPr>
        <w:ind w:left="0" w:firstLine="709"/>
        <w:jc w:val="both"/>
        <w:rPr>
          <w:highlight w:val="none"/>
          <w:shd w:fill="EEEEEE" w:val="clear"/>
        </w:rPr>
      </w:pPr>
      <w:r>
        <w:rPr>
          <w:rFonts w:eastAsia="Calibri"/>
          <w:bCs/>
          <w:sz w:val="24"/>
          <w:szCs w:val="24"/>
          <w:shd w:fill="EEEEEE" w:val="clear"/>
        </w:rPr>
        <w:t>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5 к Договору), Покупатель вправе потребовать уплаты Поставщиком штрафа в размере 15 000 (пятнадцати тысяч) рублей за каждый случай нарушения</w:t>
      </w:r>
      <w:r>
        <w:rPr>
          <w:rStyle w:val="FootnoteReference"/>
          <w:rFonts w:eastAsia="Calibri"/>
          <w:bCs/>
          <w:sz w:val="24"/>
          <w:szCs w:val="24"/>
          <w:shd w:fill="EEEEEE" w:val="clear"/>
        </w:rPr>
        <w:footnoteReference w:id="7"/>
      </w:r>
      <w:r>
        <w:rPr>
          <w:rFonts w:eastAsia="Calibri"/>
          <w:bCs/>
          <w:sz w:val="24"/>
          <w:szCs w:val="24"/>
          <w:shd w:fill="EEEEEE" w:val="clear"/>
        </w:rPr>
        <w:t>.</w:t>
      </w:r>
    </w:p>
    <w:p>
      <w:pPr>
        <w:pStyle w:val="ListParagraph"/>
        <w:widowControl/>
        <w:numPr>
          <w:ilvl w:val="1"/>
          <w:numId w:val="15"/>
        </w:numPr>
        <w:shd w:val="clear" w:color="auto" w:fill="FFFFFF"/>
        <w:ind w:left="0" w:firstLine="709"/>
        <w:jc w:val="both"/>
        <w:rPr>
          <w:bCs/>
          <w:sz w:val="24"/>
          <w:szCs w:val="24"/>
        </w:rPr>
      </w:pPr>
      <w:r>
        <w:rPr>
          <w:bCs/>
          <w:sz w:val="24"/>
          <w:szCs w:val="24"/>
          <w:shd w:fill="EEEEEE" w:val="clear"/>
        </w:rPr>
        <w:t>Обязанно</w:t>
      </w:r>
      <w:r>
        <w:rPr>
          <w:bCs/>
          <w:sz w:val="24"/>
          <w:szCs w:val="24"/>
        </w:rPr>
        <w:t xml:space="preserve">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8"/>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9"/>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0"/>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1"/>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Акционерное общество</w:t>
            </w:r>
          </w:p>
          <w:p>
            <w:pPr>
              <w:pStyle w:val="Normal"/>
              <w:widowControl w:val="false"/>
              <w:rPr>
                <w:b/>
                <w:bCs/>
                <w:sz w:val="24"/>
                <w:szCs w:val="24"/>
              </w:rPr>
            </w:pPr>
            <w:r>
              <w:rPr>
                <w:b/>
                <w:bCs/>
                <w:sz w:val="24"/>
                <w:szCs w:val="24"/>
              </w:rPr>
              <w:t>«Транспортная компания РусГидро»</w:t>
            </w:r>
          </w:p>
          <w:p>
            <w:pPr>
              <w:pStyle w:val="Normal"/>
              <w:widowControl w:val="false"/>
              <w:rPr>
                <w:bCs/>
                <w:sz w:val="24"/>
                <w:szCs w:val="24"/>
                <w:u w:val="single"/>
              </w:rPr>
            </w:pPr>
            <w:r>
              <w:rPr>
                <w:b/>
                <w:bCs/>
                <w:sz w:val="24"/>
                <w:szCs w:val="24"/>
              </w:rPr>
              <w:t>(</w:t>
            </w:r>
            <w:r>
              <w:rPr>
                <w:bCs/>
                <w:sz w:val="24"/>
                <w:szCs w:val="24"/>
              </w:rPr>
              <w:t>АО «ТК РусГидро»)</w:t>
            </w:r>
          </w:p>
          <w:p>
            <w:pPr>
              <w:pStyle w:val="Normal"/>
              <w:widowControl w:val="false"/>
              <w:rPr>
                <w:sz w:val="24"/>
                <w:szCs w:val="24"/>
              </w:rPr>
            </w:pPr>
            <w:r>
              <w:rPr>
                <w:sz w:val="24"/>
                <w:szCs w:val="24"/>
              </w:rPr>
              <w:t>Юридический адрес: 655619, Республика Хакасия, г. Саяногорск, рп. Черемушки, стр 101</w:t>
            </w:r>
          </w:p>
          <w:p>
            <w:pPr>
              <w:pStyle w:val="Normal"/>
              <w:widowControl w:val="false"/>
              <w:rPr>
                <w:sz w:val="24"/>
                <w:szCs w:val="24"/>
              </w:rPr>
            </w:pPr>
            <w:r>
              <w:rPr>
                <w:sz w:val="24"/>
                <w:szCs w:val="24"/>
              </w:rPr>
              <w:t>ОГРН: 1031900676356;</w:t>
            </w:r>
          </w:p>
          <w:p>
            <w:pPr>
              <w:pStyle w:val="Normal"/>
              <w:widowControl w:val="false"/>
              <w:rPr>
                <w:sz w:val="24"/>
                <w:szCs w:val="24"/>
              </w:rPr>
            </w:pPr>
            <w:r>
              <w:rPr>
                <w:sz w:val="24"/>
                <w:szCs w:val="24"/>
              </w:rPr>
              <w:t>ИНН: 1902018248; КПП: 190201001;</w:t>
            </w:r>
          </w:p>
          <w:p>
            <w:pPr>
              <w:pStyle w:val="Normal"/>
              <w:widowControl w:val="false"/>
              <w:rPr>
                <w:sz w:val="24"/>
                <w:szCs w:val="24"/>
              </w:rPr>
            </w:pPr>
            <w:r>
              <w:rPr>
                <w:sz w:val="24"/>
                <w:szCs w:val="24"/>
              </w:rPr>
              <w:t>р/с 40702 810 7 9500 0000002</w:t>
            </w:r>
          </w:p>
          <w:p>
            <w:pPr>
              <w:pStyle w:val="Normal"/>
              <w:widowControl w:val="false"/>
              <w:rPr>
                <w:sz w:val="24"/>
                <w:szCs w:val="24"/>
              </w:rPr>
            </w:pPr>
            <w:r>
              <w:rPr>
                <w:sz w:val="24"/>
                <w:szCs w:val="24"/>
              </w:rPr>
              <w:t xml:space="preserve">«Газпромбанк» (Акционерное общество) </w:t>
            </w:r>
          </w:p>
          <w:p>
            <w:pPr>
              <w:pStyle w:val="Normal"/>
              <w:widowControl w:val="false"/>
              <w:rPr>
                <w:sz w:val="24"/>
                <w:szCs w:val="24"/>
              </w:rPr>
            </w:pPr>
            <w:r>
              <w:rPr>
                <w:sz w:val="24"/>
                <w:szCs w:val="24"/>
              </w:rPr>
              <w:t xml:space="preserve">ГПБ (АО) г. Москва </w:t>
            </w:r>
          </w:p>
          <w:p>
            <w:pPr>
              <w:pStyle w:val="Normal"/>
              <w:widowControl w:val="false"/>
              <w:rPr>
                <w:sz w:val="24"/>
                <w:szCs w:val="24"/>
              </w:rPr>
            </w:pPr>
            <w:r>
              <w:rPr>
                <w:sz w:val="24"/>
                <w:szCs w:val="24"/>
              </w:rPr>
              <w:t xml:space="preserve">к/с 30101 810 2 0000 0000823 </w:t>
            </w:r>
          </w:p>
          <w:p>
            <w:pPr>
              <w:pStyle w:val="Normal"/>
              <w:widowControl w:val="false"/>
              <w:rPr>
                <w:sz w:val="24"/>
                <w:szCs w:val="24"/>
              </w:rPr>
            </w:pPr>
            <w:r>
              <w:rPr>
                <w:sz w:val="24"/>
                <w:szCs w:val="24"/>
              </w:rPr>
              <w:t>БИК 044525823</w:t>
            </w:r>
          </w:p>
          <w:p>
            <w:pPr>
              <w:pStyle w:val="Normal"/>
              <w:widowControl w:val="false"/>
              <w:rPr>
                <w:bCs/>
                <w:sz w:val="24"/>
                <w:szCs w:val="24"/>
              </w:rPr>
            </w:pPr>
            <w:r>
              <w:rPr>
                <w:bCs/>
                <w:sz w:val="24"/>
                <w:szCs w:val="24"/>
              </w:rPr>
            </w:r>
          </w:p>
          <w:p>
            <w:pPr>
              <w:pStyle w:val="Normal"/>
              <w:widowControl w:val="false"/>
              <w:rPr>
                <w:b/>
                <w:bCs/>
                <w:sz w:val="24"/>
                <w:szCs w:val="24"/>
              </w:rPr>
            </w:pPr>
            <w:r>
              <w:rPr>
                <w:b/>
                <w:bCs/>
                <w:sz w:val="24"/>
                <w:szCs w:val="24"/>
              </w:rPr>
              <w:t xml:space="preserve">Камчатский филиал </w:t>
            </w:r>
          </w:p>
          <w:p>
            <w:pPr>
              <w:pStyle w:val="Normal"/>
              <w:widowControl w:val="false"/>
              <w:rPr>
                <w:b/>
                <w:bCs/>
                <w:sz w:val="24"/>
                <w:szCs w:val="24"/>
                <w:u w:val="single"/>
              </w:rPr>
            </w:pPr>
            <w:r>
              <w:rPr>
                <w:b/>
                <w:bCs/>
                <w:sz w:val="24"/>
                <w:szCs w:val="24"/>
              </w:rPr>
              <w:t>АО «ТК РусГидро»</w:t>
            </w:r>
          </w:p>
          <w:p>
            <w:pPr>
              <w:pStyle w:val="Normal"/>
              <w:widowControl w:val="false"/>
              <w:rPr>
                <w:sz w:val="24"/>
                <w:szCs w:val="24"/>
                <w:lang w:val="en-GB"/>
              </w:rPr>
            </w:pPr>
            <w:r>
              <w:rPr>
                <w:sz w:val="24"/>
                <w:szCs w:val="24"/>
              </w:rPr>
              <w:t xml:space="preserve">Почтовый адрес: 683032, Камчатский край, г. Петропавловск-Камчатский, ул. </w:t>
            </w:r>
            <w:r>
              <w:rPr>
                <w:sz w:val="24"/>
                <w:szCs w:val="24"/>
                <w:lang w:val="en-GB"/>
              </w:rPr>
              <w:t>Пограничная, д. 14а</w:t>
            </w:r>
          </w:p>
          <w:p>
            <w:pPr>
              <w:pStyle w:val="Normal"/>
              <w:widowControl w:val="false"/>
              <w:rPr>
                <w:sz w:val="24"/>
                <w:szCs w:val="24"/>
              </w:rPr>
            </w:pPr>
            <w:r>
              <w:rPr>
                <w:b/>
                <w:sz w:val="24"/>
                <w:szCs w:val="24"/>
                <w:lang w:val="en-GB"/>
              </w:rPr>
              <w:t>ИНН: 1902018248; КПП: 410143001</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8"/>
        <w:gridCol w:w="155"/>
        <w:gridCol w:w="667"/>
        <w:gridCol w:w="581"/>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2"/>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3"/>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4"/>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5"/>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6"/>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7"/>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9"/>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20"/>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3">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5">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6">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7">
    <w:p>
      <w:pPr>
        <w:pStyle w:val="FootnoteText"/>
        <w:jc w:val="both"/>
        <w:rPr>
          <w:szCs w:val="24"/>
          <w:highlight w:val="lightGray"/>
        </w:rPr>
      </w:pPr>
      <w:r>
        <w:rPr>
          <w:rStyle w:val="Style14"/>
        </w:rPr>
        <w:footnoteRef/>
      </w:r>
      <w:r>
        <w:rPr/>
        <w:t xml:space="preserve"> </w:t>
      </w:r>
      <w:r>
        <w:rPr>
          <w:highlight w:val="lightGray"/>
        </w:rPr>
        <w:t>Необходимость включения данного пункта определяется в соответствии с приказом ПАО «РусГидро</w:t>
      </w:r>
      <w:r>
        <w:rPr>
          <w:szCs w:val="24"/>
          <w:highlight w:val="lightGray"/>
        </w:rPr>
        <w:t xml:space="preserve">» </w:t>
        <w:br/>
        <w:t>от 12.01.2021 № 4.</w:t>
      </w:r>
    </w:p>
  </w:footnote>
  <w:footnote w:id="8">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0">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3">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4">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5">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6">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7">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8">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9">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20">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Application>AlterOffice/2025.3.1.0$Linux_X86_64 LibreOffice_project/431cd1b79110582f53535c95ed0a2449aadc8bf9</Application>
  <AppVersion>15.0000</AppVersion>
  <Pages>26</Pages>
  <Words>9423</Words>
  <Characters>67573</Characters>
  <CharactersWithSpaces>76719</CharactersWithSpaces>
  <Paragraphs>422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oleinikovadv@corp.gidroogk.com</cp:lastModifiedBy>
  <cp:lastPrinted>2018-05-22T09:46:00Z</cp:lastPrinted>
  <dcterms:modified xsi:type="dcterms:W3CDTF">2026-06-23T14:47:37Z</dcterms:modified>
  <cp:revision>54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