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  <w:r>
        <w:rPr/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  <w:t>ОКПД 2: 28.92.21.110 Поставка запасных частей для гусеничного  бульдозера LIEBHHERR PR 734 LGP для нужд Камчатского филиала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i w:val="false"/>
          <w:iCs w:val="false"/>
          <w:color w:val="000000" w:themeColor="text1"/>
          <w:sz w:val="26"/>
          <w:szCs w:val="26"/>
          <w:shd w:fill="auto" w:val="clear"/>
        </w:rPr>
        <w:t>Лот № 2123-РЕМ ПРОД-2026-ТК-КФ</w:t>
      </w:r>
      <w:r>
        <w:rPr>
          <w:rFonts w:eastAsia="Calibri"/>
          <w:b/>
          <w:i w:val="false"/>
          <w:iCs w:val="false"/>
          <w:sz w:val="26"/>
          <w:szCs w:val="26"/>
          <w:shd w:fill="auto" w:val="clear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5085447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7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7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7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85448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8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8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Cs w:val="20"/>
            </w:rPr>
          </w:pPr>
          <w:hyperlink w:anchor="_Toc1508544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8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2"/>
              <w:szCs w:val="22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8544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9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8544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_Toc150854491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85449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2"/>
              <w:szCs w:val="22"/>
            </w:rPr>
            <w:t>8</w:t>
          </w:r>
          <w:r>
            <w:rPr>
              <w:sz w:val="22"/>
              <w:szCs w:val="22"/>
              <w:vanish w:val="false"/>
              <w:rFonts w:eastAsia="新細明體" w:cs="Arial" w:ascii="Calibri" w:hAnsi="Calibri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50854474"/>
      <w:bookmarkStart w:id="1" w:name="_Toc51339692"/>
      <w:bookmarkStart w:id="2" w:name="_Toc75446566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Toc150854475"/>
      <w:bookmarkStart w:id="4" w:name="_Toc46743505"/>
      <w:bookmarkStart w:id="5" w:name="_Toc75446567"/>
      <w:r>
        <w:rPr/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bookmarkStart w:id="8" w:name="_Toc150854476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keepNext w:val="true"/>
        <w:keepLines/>
        <w:jc w:val="left"/>
        <w:rPr>
          <w:sz w:val="24"/>
          <w:szCs w:val="24"/>
        </w:rPr>
      </w:pPr>
      <w:r>
        <w:rPr>
          <w:sz w:val="24"/>
          <w:szCs w:val="24"/>
        </w:rPr>
        <w:t>ОКПД 2: 28.92.21.110 Поставка запасных частей для гусеничного  бульдозера LIEBHHERR PR734 LGP для нужд Камчатского филиала АО «ТК РусГидро».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jc w:val="left"/>
        <w:rPr/>
      </w:pPr>
      <w:bookmarkStart w:id="9" w:name="_Toc75446569"/>
      <w:bookmarkStart w:id="10" w:name="_Toc150854477"/>
      <w:bookmarkStart w:id="11" w:name="_Toc46743507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9"/>
      <w:bookmarkEnd w:id="10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Обеспечение запасными частями</w:t>
      </w:r>
      <w:r>
        <w:rPr>
          <w:sz w:val="24"/>
          <w:szCs w:val="24"/>
          <w:shd w:fill="auto" w:val="clear"/>
        </w:rPr>
        <w:t xml:space="preserve"> </w:t>
      </w:r>
      <w:r>
        <w:rPr>
          <w:bCs/>
          <w:iCs/>
          <w:sz w:val="24"/>
          <w:szCs w:val="24"/>
          <w:shd w:fill="auto" w:val="clear"/>
        </w:rPr>
        <w:t>гусеничного  бульдозера LIEBHHERR PR734 LGP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>в целях проведения его текущего ремонта и приведения в нормативное состояние.</w:t>
      </w:r>
    </w:p>
    <w:p>
      <w:pPr>
        <w:pStyle w:val="Heading4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left="1" w:firstLine="567"/>
        <w:jc w:val="both"/>
        <w:rPr/>
      </w:pPr>
      <w:r>
        <w:rPr/>
      </w:r>
    </w:p>
    <w:p>
      <w:pPr>
        <w:pStyle w:val="Normal"/>
        <w:ind w:left="1" w:firstLine="567"/>
        <w:jc w:val="both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Toc150854484"/>
      <w:bookmarkStart w:id="13" w:name="_Toc51339693"/>
      <w:bookmarkStart w:id="14" w:name="_Toc75446573"/>
      <w:r>
        <w:rPr>
          <w:iCs/>
        </w:rPr>
        <w:t>Требования к продукции</w:t>
      </w:r>
      <w:bookmarkEnd w:id="12"/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5" w:name="_Toc150854485"/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  <w:bookmarkEnd w:id="16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50854486"/>
      <w:bookmarkStart w:id="18" w:name="_Toc75446575"/>
      <w:r>
        <w:rPr>
          <w:lang w:val="ru-RU"/>
        </w:rPr>
        <w:t>Перечень и объем закупаемой продукции</w:t>
      </w:r>
      <w:bookmarkEnd w:id="17"/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75446576"/>
      <w:bookmarkStart w:id="20" w:name="_Toc150854487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19"/>
      <w:bookmarkEnd w:id="20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0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4397"/>
        <w:gridCol w:w="1893"/>
        <w:gridCol w:w="1583"/>
        <w:gridCol w:w="1622"/>
      </w:tblGrid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поставляемой продукции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Тип/марка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Втулка опоры кабины (PR) АМ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9794098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Болт специальный опоры под кабину  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9798798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Подушка опорная кабины в сборе с болтом АМ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9791267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левая натяжного колеса АМ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12488994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 правая натяжного колеса АМ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12488995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натяжная ITM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7000832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оси ленивца LIEBHERR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10028351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 направляющее в сборе PR 734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10322237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 Linde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0009736190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ind w:left="72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150854488"/>
      <w:bookmarkStart w:id="23" w:name="_Toc75446578"/>
      <w:bookmarkStart w:id="24" w:name="_Toc51339696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 и оказания сопутствующих услуг</w:t>
      </w:r>
      <w:bookmarkEnd w:id="22"/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75446579"/>
      <w:bookmarkStart w:id="26" w:name="_Toc150854489"/>
      <w:bookmarkStart w:id="27" w:name="_Toc50125127"/>
      <w:bookmarkStart w:id="28" w:name="_Toc51339697"/>
      <w:bookmarkStart w:id="29" w:name="_Toc50125126_Копия_1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поставки продукции</w:t>
      </w:r>
      <w:bookmarkEnd w:id="25"/>
      <w:bookmarkEnd w:id="26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ОКПД 2: 28.92.21.110 Поставка запасных частей для гусеничного  бульдозера LIEBHHERR PR734 LGP для нужд Камчатского филиала АО «ТК РусГидро».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31" w:name="_Toc150854490"/>
      <w:bookmarkStart w:id="32" w:name="_Toc75446581"/>
      <w:bookmarkStart w:id="33" w:name="_Toc46743511"/>
      <w:bookmarkStart w:id="34" w:name="_Toc46743510_Копия_1"/>
      <w:bookmarkEnd w:id="34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1"/>
      <w:bookmarkEnd w:id="3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5" w:name="_Toc75446582"/>
      <w:bookmarkStart w:id="36" w:name="_Toc15085449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качеству </w:t>
      </w:r>
      <w:r>
        <w:rPr>
          <w:sz w:val="24"/>
          <w:szCs w:val="24"/>
          <w:lang w:val="ru-RU"/>
        </w:rPr>
        <w:t>продукции</w:t>
      </w:r>
      <w:bookmarkEnd w:id="35"/>
      <w:bookmarkEnd w:id="36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(позиции 1-9 Таблицы 1.1):</w:t>
      </w:r>
      <w:r>
        <w:rPr/>
        <w:t xml:space="preserve"> </w:t>
      </w:r>
      <w:r>
        <w:rPr>
          <w:bCs/>
          <w:iCs/>
          <w:sz w:val="24"/>
          <w:szCs w:val="24"/>
        </w:rPr>
        <w:t>ОКПД 2: 28.92.21.110 Поставка запасных частей для гусеничного  бульдозера LIEBHHERR PR734 LGP для нужд Камчатского филиала АО «ТК РусГидро».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3"/>
        <w:gridCol w:w="1814"/>
        <w:gridCol w:w="17"/>
        <w:gridCol w:w="1984"/>
        <w:gridCol w:w="1739"/>
        <w:gridCol w:w="3424"/>
      </w:tblGrid>
      <w:tr>
        <w:trPr>
          <w:trHeight w:val="601" w:hRule="atLeast"/>
        </w:trPr>
        <w:tc>
          <w:tcPr>
            <w:tcW w:w="9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3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1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601" w:hRule="atLeast"/>
        </w:trPr>
        <w:tc>
          <w:tcPr>
            <w:tcW w:w="9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81" w:hRule="atLeast"/>
        </w:trPr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1296" w:hRule="atLeast"/>
        </w:trPr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3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№1 Таблицы 1):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Втулка опоры кабины (PR) АМ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9794098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№2 Таблицы 1): Болт специальный опоры под кабину  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9798798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№3 Таблицы 1): Подушка опорная кабины в сборе с болтом АМ 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9791267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 Таблицы 1): Опора левая натяжного колеса АМ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12488994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 Таблицы 1): Опора правая натяжного колеса АМ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12488995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 Таблицы 1): Гайка натяжная ITM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3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7000832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№7 Таблицы 1):   Болт оси ленивца LIEBHERR             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1.7.1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0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10028351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1.8.</w:t>
            </w:r>
          </w:p>
        </w:tc>
        <w:tc>
          <w:tcPr>
            <w:tcW w:w="381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№8 Таблицы 1):   Колесо направляющее в сборе PR 734           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1.8.1.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0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10322237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1.9.</w:t>
            </w:r>
          </w:p>
        </w:tc>
        <w:tc>
          <w:tcPr>
            <w:tcW w:w="3815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13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№9 Таблицы 1):   Электромагнит Linde          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1.9.1.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00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0009736190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продукции осуществляется до места поставки силами, средствами и за счет Поставщика. Место поставки: Россия, Камчатский край, город Петропавловск-Камчатский, Пограничная 75 Б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ранее 2025 года выпуска, оригинальной (от производителя), эквивалент продукции не допускается, из-за значительных рисков снижения надёжности, производительности и долговечности механизма, так же ранее не находившаяся в использовании у Поставщика и (или) третьих лиц, не допускается поставка выставочных образцов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ind w:left="720"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Комплектность поставки должна обеспечить возможность использования продукции по прямому назначению.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ind w:left="720"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Качество и безопасность поставляемой продукции должно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Федерации.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</w:numPr>
              <w:ind w:left="720" w:hanging="0"/>
              <w:jc w:val="both"/>
              <w:rPr/>
            </w:pPr>
            <w:r>
              <w:rPr/>
              <w:t>Перед поставкой, Поставщик предоставляет копии документов, подтверждающие качество поставляемой продукции (сертификаты соответствия).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</w:numPr>
              <w:ind w:left="720" w:hanging="0"/>
              <w:jc w:val="both"/>
              <w:rPr/>
            </w:pPr>
            <w:r>
              <w:rPr/>
              <w:t>Приемка продукции осуществляется на основании отгрузочных документов Поставщика. Покупатель обязан принять продукцию путем её проверки на соответствие сопроводительным документам, в момент передачи продукции. При обнаружении несоответствия продукции сопроводительным документам, а также в случае несоблюдения Поставщиком условия о количестве/качестве продукции, сторонами составляется Акт рекламации.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</w:numPr>
              <w:ind w:left="720" w:hanging="0"/>
              <w:jc w:val="both"/>
              <w:rPr/>
            </w:pPr>
            <w:r>
              <w:rPr/>
              <w:t>В случае получения продукции в дефектной упаковке Покупатель имеет право не принимать такую продукцию.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3815" w:type="dxa"/>
            <w:gridSpan w:val="3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</w:numPr>
              <w:ind w:left="720" w:hanging="0"/>
              <w:jc w:val="both"/>
              <w:rPr/>
            </w:pPr>
            <w:r>
              <w:rPr/>
              <w:t>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некачественную продукцию</w:t>
            </w:r>
          </w:p>
        </w:tc>
        <w:tc>
          <w:tcPr>
            <w:tcW w:w="173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81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 не менее 12 месяцев со дня продажи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9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381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УПД.</w:t>
            </w:r>
          </w:p>
        </w:tc>
        <w:tc>
          <w:tcPr>
            <w:tcW w:w="17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0" w:hanging="0"/>
        <w:rPr>
          <w:i/>
          <w:i/>
          <w:iCs/>
          <w:sz w:val="24"/>
          <w:szCs w:val="24"/>
          <w:shd w:fill="FFFF99" w:val="clear"/>
          <w:lang w:val="ru-RU"/>
        </w:rPr>
      </w:pPr>
      <w:r>
        <w:rPr>
          <w:i/>
          <w:iCs/>
          <w:sz w:val="24"/>
          <w:szCs w:val="24"/>
          <w:shd w:fill="FFFF99" w:val="clear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firstLine="851"/>
        <w:jc w:val="both"/>
        <w:rPr/>
      </w:pPr>
      <w:bookmarkStart w:id="37" w:name="_Toc150854492"/>
      <w:r>
        <w:rPr/>
        <w:t>Требования к документации по ценообразованию на этапе закупки</w:t>
      </w:r>
      <w:bookmarkEnd w:id="37"/>
    </w:p>
    <w:p>
      <w:pPr>
        <w:pStyle w:val="Heading4"/>
        <w:numPr>
          <w:ilvl w:val="1"/>
          <w:numId w:val="3"/>
        </w:numPr>
        <w:jc w:val="both"/>
        <w:rPr>
          <w:rFonts w:eastAsia="Times New Roman"/>
          <w:b w:val="false"/>
          <w:bCs w:val="false"/>
          <w:szCs w:val="26"/>
          <w:lang w:val="ru-RU"/>
        </w:rPr>
      </w:pPr>
      <w:r>
        <w:rPr>
          <w:rFonts w:eastAsia="Times New Roman"/>
          <w:b w:val="false"/>
          <w:bCs w:val="false"/>
          <w:szCs w:val="26"/>
          <w:lang w:val="ru-RU"/>
        </w:rPr>
        <w:t>В обоснование стоимости своей заявки Участник предоставляет Коммерческое предложение.</w:t>
      </w:r>
    </w:p>
    <w:p>
      <w:pPr>
        <w:pStyle w:val="Heading4"/>
        <w:numPr>
          <w:ilvl w:val="1"/>
          <w:numId w:val="3"/>
        </w:numPr>
        <w:rPr>
          <w:rFonts w:eastAsia="Times New Roman"/>
          <w:b w:val="false"/>
          <w:bCs w:val="false"/>
          <w:szCs w:val="26"/>
          <w:lang w:val="ru-RU"/>
        </w:rPr>
      </w:pPr>
      <w:bookmarkStart w:id="38" w:name="_Hlk88327292"/>
      <w:r>
        <w:rPr>
          <w:rFonts w:eastAsia="Times New Roman"/>
          <w:b w:val="false"/>
          <w:bCs w:val="false"/>
          <w:szCs w:val="26"/>
          <w:lang w:val="ru-RU"/>
        </w:rPr>
        <w:t>Дополнительные документы по ценообразованию</w:t>
      </w:r>
      <w:bookmarkEnd w:id="38"/>
      <w:r>
        <w:rPr>
          <w:rFonts w:eastAsia="Times New Roman"/>
          <w:b w:val="false"/>
          <w:bCs w:val="false"/>
          <w:szCs w:val="26"/>
          <w:lang w:val="ru-RU"/>
        </w:rPr>
        <w:t xml:space="preserve">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Ведущий инженер ГКЭО и РТС                                                               С.А. Фёдоров</w:t>
      </w:r>
      <w:bookmarkStart w:id="39" w:name="_Toc54643711"/>
      <w:bookmarkStart w:id="40" w:name="_Toc54281228"/>
      <w:bookmarkEnd w:id="39"/>
      <w:bookmarkEnd w:id="40"/>
    </w:p>
    <w:p>
      <w:pPr>
        <w:pStyle w:val="Normal"/>
        <w:rPr>
          <w:sz w:val="24"/>
          <w:szCs w:val="26"/>
          <w:lang w:eastAsia="x-none"/>
        </w:rPr>
      </w:pPr>
      <w:r>
        <w:rPr>
          <w:sz w:val="24"/>
          <w:szCs w:val="26"/>
          <w:lang w:eastAsia="x-none"/>
        </w:rPr>
      </w:r>
      <w:bookmarkStart w:id="41" w:name="_GoBack"/>
      <w:bookmarkStart w:id="42" w:name="_GoBack"/>
      <w:bookmarkEnd w:id="42"/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79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74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42F4-5AEE-40D6-823F-DE022DE6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AlterOffice/2025.3.1.0$Linux_X86_64 LibreOffice_project/431cd1b79110582f53535c95ed0a2449aadc8bf9</Application>
  <AppVersion>15.0000</AppVersion>
  <Pages>7</Pages>
  <Words>876</Words>
  <Characters>5687</Characters>
  <CharactersWithSpaces>6491</CharactersWithSpaces>
  <Paragraphs>187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2026-02-18T04:10:00Z</dcterms:created>
  <dc:creator>Быстров Олег Геннадьевич</dc:creator>
  <dc:description/>
  <dc:language>ru-RU</dc:language>
  <cp:lastModifiedBy>oleinikovadv@corp.gidroogk.com</cp:lastModifiedBy>
  <cp:lastPrinted>2026-02-06T03:03:00Z</cp:lastPrinted>
  <dcterms:modified xsi:type="dcterms:W3CDTF">2026-06-24T13:01:05Z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