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ОКПД2 27.12.10 Поставка силовых трансформаторов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классом напряжения до 220 кВ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для аварийного запаса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АТДЦТ</w:t>
      </w:r>
      <w:r>
        <w:rPr>
          <w:rFonts w:eastAsia="Calibri"/>
          <w:b/>
          <w:sz w:val="26"/>
          <w:szCs w:val="26"/>
        </w:rPr>
        <w:t>Н</w:t>
      </w:r>
      <w:r>
        <w:rPr>
          <w:rFonts w:eastAsia="Calibri"/>
          <w:b/>
          <w:sz w:val="26"/>
          <w:szCs w:val="26"/>
        </w:rPr>
        <w:t>-125000/220 УХЛ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bookmarkStart w:id="0" w:name="_GoBack"/>
      <w:bookmarkEnd w:id="0"/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20"/>
            </w:rPr>
            <w:instrText xml:space="preserve"> TOC \z \o "1-4" \u \h</w:instrText>
          </w:r>
          <w:r>
            <w:rPr>
              <w:webHidden/>
              <w:rStyle w:val="Style20"/>
            </w:rPr>
            <w:fldChar w:fldCharType="separate"/>
          </w:r>
          <w:hyperlink w:anchor="_Toc232430354">
            <w:r>
              <w:rPr>
                <w:webHidden/>
                <w:rStyle w:val="Style20"/>
              </w:rPr>
              <w:t>1.</w:t>
            </w:r>
            <w:r>
              <w:rPr>
                <w:rStyle w:val="Style20"/>
                <w:rFonts w:eastAsia="Arial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20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232430355">
            <w:r>
              <w:rPr>
                <w:webHidden/>
                <w:rStyle w:val="Style20"/>
                <w:iCs/>
              </w:rPr>
              <w:t>1.1.</w:t>
            </w:r>
            <w:r>
              <w:rPr>
                <w:rStyle w:val="Style20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0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232430356">
            <w:r>
              <w:rPr>
                <w:webHidden/>
                <w:rStyle w:val="Style20"/>
                <w:iCs/>
              </w:rPr>
              <w:t>1.2.</w:t>
            </w:r>
            <w:r>
              <w:rPr>
                <w:rStyle w:val="Style20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0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232430357">
            <w:r>
              <w:rPr>
                <w:webHidden/>
                <w:rStyle w:val="Style20"/>
                <w:iCs/>
              </w:rPr>
              <w:t>1.3.</w:t>
            </w:r>
            <w:r>
              <w:rPr>
                <w:rStyle w:val="Style20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0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232430358">
            <w:r>
              <w:rPr>
                <w:webHidden/>
                <w:rStyle w:val="Style20"/>
                <w:iCs/>
              </w:rPr>
              <w:t>1.4.</w:t>
            </w:r>
            <w:r>
              <w:rPr>
                <w:rStyle w:val="Style20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0"/>
              </w:rPr>
              <w:t>Информация в отношении исполнения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232430359">
            <w:r>
              <w:rPr>
                <w:webHidden/>
                <w:rStyle w:val="Style20"/>
                <w:iCs/>
              </w:rPr>
              <w:t>1.5.</w:t>
            </w:r>
            <w:r>
              <w:rPr>
                <w:rStyle w:val="Style20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0"/>
              </w:rPr>
              <w:t xml:space="preserve">Иные требования и сведения общего характера: </w:t>
            </w:r>
            <w:r>
              <w:rPr>
                <w:rStyle w:val="Style20"/>
                <w:sz w:val="20"/>
                <w:szCs w:val="20"/>
              </w:rPr>
              <w:t>АТДЦТН-125000/220/110/10 УХЛ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232430360">
            <w:r>
              <w:rPr>
                <w:webHidden/>
                <w:rStyle w:val="Style20"/>
                <w:rFonts w:eastAsia="Calibri"/>
                <w:b/>
              </w:rPr>
              <w:t>1.5.1.</w:t>
            </w:r>
            <w:r>
              <w:rPr>
                <w:rStyle w:val="Style20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0"/>
                <w:rFonts w:eastAsia="Calibri"/>
                <w:b/>
              </w:rPr>
              <w:t>Требования к участнику закупки, признанным победителем: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430361">
            <w:r>
              <w:rPr>
                <w:webHidden/>
                <w:rStyle w:val="Style20"/>
              </w:rPr>
              <w:t>2.</w:t>
            </w:r>
            <w:r>
              <w:rPr>
                <w:rStyle w:val="Style20"/>
                <w:rFonts w:eastAsia="Arial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20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232430362">
            <w:r>
              <w:rPr>
                <w:webHidden/>
                <w:rStyle w:val="Style20"/>
                <w:iCs/>
              </w:rPr>
              <w:t>2.1.</w:t>
            </w:r>
            <w:r>
              <w:rPr>
                <w:rStyle w:val="Style20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0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_Toc232430362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232430363">
            <w:r>
              <w:rPr>
                <w:webHidden/>
                <w:rStyle w:val="Style20"/>
              </w:rPr>
              <w:t>2.1.1.</w:t>
            </w:r>
            <w:r>
              <w:rPr>
                <w:rStyle w:val="Style20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0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430364">
            <w:r>
              <w:rPr>
                <w:webHidden/>
                <w:rStyle w:val="Style20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232430365">
            <w:r>
              <w:rPr>
                <w:webHidden/>
                <w:rStyle w:val="Style20"/>
                <w:rFonts w:eastAsia="Calibri"/>
                <w:b/>
              </w:rPr>
              <w:t>2.1.2.</w:t>
            </w:r>
            <w:r>
              <w:rPr>
                <w:rStyle w:val="Style20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0"/>
                <w:rFonts w:eastAsia="Calibri"/>
                <w:b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430366">
            <w:r>
              <w:rPr>
                <w:webHidden/>
                <w:rStyle w:val="Style20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232430367">
            <w:r>
              <w:rPr>
                <w:webHidden/>
                <w:rStyle w:val="Style20"/>
                <w:iCs/>
              </w:rPr>
              <w:t>2.2.</w:t>
            </w:r>
            <w:r>
              <w:rPr>
                <w:rStyle w:val="Style20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0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430368">
            <w:r>
              <w:rPr>
                <w:webHidden/>
                <w:rStyle w:val="Style20"/>
              </w:rPr>
              <w:t>Таблица 3. 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232430369">
            <w:r>
              <w:rPr>
                <w:webHidden/>
                <w:rStyle w:val="Style20"/>
              </w:rPr>
              <w:t>2.2.1.</w:t>
            </w:r>
            <w:r>
              <w:rPr>
                <w:rStyle w:val="Style20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0"/>
              </w:rPr>
              <w:t>В составе заявки необходимо предоставить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_Toc232430369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26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20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432" w:hanging="432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360"/>
        <w:rPr/>
      </w:pPr>
      <w:bookmarkStart w:id="1" w:name="_Toc51339692"/>
      <w:bookmarkStart w:id="2" w:name="_Toc232430354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>
          <w:rStyle w:val="Style11"/>
          <w:b/>
          <w:i w:val="false"/>
          <w:i w:val="false"/>
          <w:shd w:fill="auto" w:val="clear"/>
        </w:rPr>
      </w:pPr>
      <w:bookmarkStart w:id="3" w:name="_Toc232430355"/>
      <w:bookmarkStart w:id="4" w:name="_Toc46743505"/>
      <w:r>
        <w:rPr/>
        <w:t>Обозначения и сокращения</w:t>
      </w:r>
      <w:bookmarkEnd w:id="3"/>
      <w:bookmarkEnd w:id="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Межгосударственный стандарт или государственный стандарт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Style w:val="Annotationreference"/>
                <w:iCs/>
                <w:sz w:val="22"/>
                <w:szCs w:val="22"/>
              </w:rPr>
              <w:t>ГОСТ Р 1.3-2018 (ЕСКД)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условия на продукцию. Общие требования к содержанию, оформлению, обозначению и обновления, единая система конструкторской документации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Style w:val="Annotationreference"/>
                <w:iCs/>
                <w:sz w:val="22"/>
                <w:szCs w:val="22"/>
              </w:rPr>
              <w:t>ГОСТ 2.601-2019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Единая система конструкторской документации. Эксплуатационные документы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12.2.007.0-75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стандартов безопасности труда. Изделия электротехнические. Общие требования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12.2.007.2-75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стандартов безопасности труда. Трансформаторы силовые и реакторы электрические. Требования безопасности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12.2.007.3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стандартов безопасности труда. Электротехнические устройства на напряжение свыше 1000 В. Требования безопасности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7746-2015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тока. Общие технические условия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9680-2012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силовые мощностью 0,01 кВ·А и более. Ряд номинальных мощностей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9920-89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Электроустановки переменного тока на напряжение от 3 до 750 кВ. Длина пути утечки внешней изоляции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14209-85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Трансформаторы силовые масляные общего назначения. Допустимые нагрузки 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52719-2007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силовые. Общие технические условия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Р 55187-12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Вводы изолированные на номинальные напряжения свыше 1000 В переменного тока. Общие технические условия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11920-85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Трансформаторы силовые масляные общего назначения напряжением до 35 кВ включительно. Технические условия 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15150-69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20243-2014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силовые. Методы испытаний на стойкость при коротком замыкании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21128-2022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Системы электроснабжения, сети, источники, преобразователи и приёмники электрической энергии. Номинальные напряжения до 1000 В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24126-2021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Устройства регулирования напряжения силовых трансформаторов под нагрузкой. Общие технические условия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27360-2022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Трансформаторы силовые масляные герметизированные общего назначения мощностью до 1600 кВ·А напряжением до 22 кВ. Основные параметры и общие технические требования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29322-2014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Напряжения стандартные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6697-2022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Системы электроснабжения, источники, преобразователи и приёмники электрической энергии переменного тока. Номинальные частоты от 0,1 до 10000 Гц и допускаемые отклонения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высокое напряжение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запасные части, инструмент и принадлежности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короткое замыкание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нормативный документ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низкое напряжение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ПБВ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переключаемые без возбуждения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РПН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регулируемые под нагрузкой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требования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УХЛ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«умеренный и холодный климат»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IP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rStyle w:val="Style11"/>
                <w:b w:val="false"/>
                <w:i w:val="false"/>
                <w:iCs/>
                <w:sz w:val="22"/>
                <w:szCs w:val="22"/>
                <w:shd w:fill="auto" w:val="clear"/>
              </w:rPr>
              <w:t>система кодификации, применяемая для обозначения степеней защиты, обеспечиваемых оболочкой, от доступа к опасным частям, попадания внешних твердых предметов, воды, а также для предоставления дополнительной информации, связанной с такой защитой</w:t>
            </w:r>
          </w:p>
        </w:tc>
      </w:tr>
      <w:tr>
        <w:trPr>
          <w:trHeight w:val="56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обозначение системы охлаждения: естественная циркуляция воздуха и масла 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bookmarkStart w:id="5" w:name="_Toc46743506"/>
      <w:bookmarkStart w:id="6" w:name="_Toc46743506"/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7" w:name="_Toc46743506"/>
      <w:bookmarkStart w:id="8" w:name="_Toc232430356"/>
      <w:r>
        <w:rPr/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both"/>
        <w:rPr>
          <w:rFonts w:eastAsia="Calibri"/>
          <w:i/>
          <w:i/>
        </w:rPr>
      </w:pPr>
      <w:r>
        <w:rPr>
          <w:rFonts w:eastAsia="Calibri"/>
          <w:i/>
          <w:sz w:val="24"/>
          <w:szCs w:val="24"/>
        </w:rPr>
        <w:t>«Поставка силовых трансформаторов классом напряжения 220 кВ для аварийного запаса»</w:t>
      </w:r>
    </w:p>
    <w:p>
      <w:pPr>
        <w:pStyle w:val="Heading4"/>
        <w:numPr>
          <w:ilvl w:val="1"/>
          <w:numId w:val="3"/>
        </w:numPr>
        <w:rPr/>
      </w:pPr>
      <w:bookmarkStart w:id="9" w:name="_Toc232430357"/>
      <w:bookmarkStart w:id="10" w:name="_Toc46743507"/>
      <w:r>
        <w:rPr/>
        <w:t xml:space="preserve">Цель </w:t>
      </w:r>
      <w:bookmarkEnd w:id="10"/>
      <w:r>
        <w:rPr/>
        <w:t>использования закупаемой продукции</w:t>
      </w:r>
      <w:bookmarkEnd w:id="9"/>
      <w:r>
        <w:rPr/>
        <w:t xml:space="preserve"> </w:t>
      </w:r>
    </w:p>
    <w:p>
      <w:pPr>
        <w:pStyle w:val="Normal"/>
        <w:rPr>
          <w:i/>
          <w:i/>
          <w:sz w:val="24"/>
          <w:u w:val="single"/>
        </w:rPr>
      </w:pPr>
      <w:r>
        <w:rPr>
          <w:i/>
          <w:sz w:val="24"/>
          <w:u w:val="single"/>
        </w:rPr>
        <w:t xml:space="preserve">Для аварийного запаса. </w:t>
      </w:r>
    </w:p>
    <w:p>
      <w:pPr>
        <w:pStyle w:val="Heading4"/>
        <w:numPr>
          <w:ilvl w:val="1"/>
          <w:numId w:val="3"/>
        </w:numPr>
        <w:rPr/>
      </w:pPr>
      <w:bookmarkStart w:id="11" w:name="_Toc232430358"/>
      <w:bookmarkStart w:id="12" w:name="_Hlk49857604"/>
      <w:bookmarkStart w:id="13" w:name="_Toc46743509"/>
      <w:r>
        <w:rPr/>
        <w:t xml:space="preserve">Информация в отношении исполнения договора, </w:t>
      </w:r>
      <w:bookmarkStart w:id="14" w:name="_Hlk46492347"/>
      <w:r>
        <w:rPr/>
        <w:t xml:space="preserve">которая должна быть учтена при подготовке заявки </w:t>
      </w:r>
      <w:bookmarkEnd w:id="14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Start w:id="15" w:name="_Hlk48209761"/>
      <w:bookmarkEnd w:id="12"/>
      <w:bookmarkEnd w:id="13"/>
      <w:r>
        <w:rPr/>
        <w:t>:</w:t>
      </w:r>
      <w:bookmarkEnd w:id="11"/>
    </w:p>
    <w:p>
      <w:pPr>
        <w:pStyle w:val="Normal"/>
        <w:rPr>
          <w:i/>
          <w:i/>
        </w:rPr>
      </w:pPr>
      <w:r>
        <w:rPr>
          <w:i/>
        </w:rPr>
        <w:t>ЗЭС ПАО «Якутскэнерго»:</w:t>
      </w:r>
    </w:p>
    <w:p>
      <w:pPr>
        <w:pStyle w:val="Normal"/>
        <w:rPr>
          <w:i/>
          <w:i/>
        </w:rPr>
      </w:pPr>
      <w:r>
        <w:rPr>
          <w:i/>
        </w:rPr>
        <w:t xml:space="preserve">- </w:t>
      </w:r>
      <w:r>
        <w:rPr>
          <w:i/>
          <w:sz w:val="24"/>
        </w:rPr>
        <w:t>Месторасположение объекта: г. Мирный, Республика Саха (Якутия).</w:t>
      </w:r>
    </w:p>
    <w:p>
      <w:pPr>
        <w:pStyle w:val="Heading4"/>
        <w:numPr>
          <w:ilvl w:val="1"/>
          <w:numId w:val="3"/>
        </w:numPr>
        <w:rPr/>
      </w:pPr>
      <w:bookmarkStart w:id="16" w:name="_Toc46743510"/>
      <w:bookmarkStart w:id="17" w:name="_Toc50125126"/>
      <w:bookmarkStart w:id="18" w:name="_Toc232430359"/>
      <w:bookmarkEnd w:id="15"/>
      <w:r>
        <w:rPr/>
        <w:t xml:space="preserve">Иные требования и сведения общего характера: </w:t>
      </w:r>
    </w:p>
    <w:p>
      <w:pPr>
        <w:pStyle w:val="Normal"/>
        <w:rPr>
          <w:sz w:val="24"/>
          <w:szCs w:val="24"/>
        </w:rPr>
      </w:pPr>
      <w:bookmarkStart w:id="19" w:name="_Toc232430359"/>
      <w:r>
        <w:rPr>
          <w:sz w:val="24"/>
          <w:szCs w:val="24"/>
        </w:rPr>
        <w:t xml:space="preserve">Трансформатор АТДЦТН-125000/220/110/10 УХЛ для аварийного </w:t>
      </w:r>
      <w:bookmarkEnd w:id="19"/>
      <w:r>
        <w:rPr>
          <w:sz w:val="24"/>
          <w:szCs w:val="24"/>
        </w:rPr>
        <w:t>запаса.</w:t>
      </w:r>
    </w:p>
    <w:p>
      <w:pPr>
        <w:pStyle w:val="Normal"/>
        <w:keepNext w:val="true"/>
        <w:numPr>
          <w:ilvl w:val="2"/>
          <w:numId w:val="3"/>
        </w:numPr>
        <w:spacing w:before="120" w:after="60"/>
        <w:jc w:val="both"/>
        <w:outlineLvl w:val="2"/>
        <w:rPr>
          <w:rFonts w:eastAsia="Calibri"/>
          <w:b/>
          <w:sz w:val="24"/>
          <w:szCs w:val="24"/>
        </w:rPr>
      </w:pPr>
      <w:bookmarkStart w:id="20" w:name="_Toc232430360"/>
      <w:bookmarkStart w:id="21" w:name="_Toc191395480"/>
      <w:r>
        <w:rPr>
          <w:rFonts w:eastAsia="Calibri"/>
          <w:b/>
          <w:sz w:val="24"/>
          <w:szCs w:val="24"/>
        </w:rPr>
        <w:t>Требования к участнику закупки, признанным победителем</w:t>
      </w:r>
      <w:bookmarkEnd w:id="21"/>
      <w:r>
        <w:rPr>
          <w:rFonts w:eastAsia="Calibri"/>
          <w:b/>
          <w:sz w:val="24"/>
          <w:szCs w:val="24"/>
        </w:rPr>
        <w:t>:</w:t>
      </w:r>
      <w:bookmarkEnd w:id="20"/>
    </w:p>
    <w:p>
      <w:pPr>
        <w:pStyle w:val="Normal"/>
        <w:widowControl w:val="false"/>
        <w:shd w:val="clear" w:color="auto" w:fill="FFFFFF"/>
        <w:spacing w:lineRule="auto" w:line="276" w:before="0" w:after="360"/>
        <w:jc w:val="both"/>
        <w:rPr>
          <w:sz w:val="24"/>
          <w:szCs w:val="24"/>
        </w:rPr>
      </w:pPr>
      <w:r>
        <w:rPr>
          <w:sz w:val="24"/>
          <w:szCs w:val="24"/>
        </w:rPr>
        <w:t>Участник</w:t>
      </w:r>
      <w:r>
        <w:rPr>
          <w:rFonts w:eastAsia="Lucida Sans Unicode"/>
          <w:bCs/>
          <w:sz w:val="24"/>
          <w:szCs w:val="24"/>
        </w:rPr>
        <w:t xml:space="preserve">, признанный победителем закупочной процедуры, в течение 3 рабочих дней с даты официального размещения Организатором итогового протокола по результатам закупки (до заключения договора) должен предоставить </w:t>
      </w:r>
      <w:r>
        <w:rPr>
          <w:sz w:val="24"/>
          <w:szCs w:val="24"/>
        </w:rPr>
        <w:t>Письмо – подтверждение завода-изготовителя о согласии на изготовление трансформаторов с указанием конкретных сроков изготовления и предлагаемых гарантийных сроков (в произвольной форме).</w:t>
      </w:r>
    </w:p>
    <w:p>
      <w:pPr>
        <w:pStyle w:val="Heading1"/>
        <w:numPr>
          <w:ilvl w:val="0"/>
          <w:numId w:val="3"/>
        </w:numPr>
        <w:ind w:left="426" w:hanging="360"/>
        <w:rPr>
          <w:caps/>
        </w:rPr>
      </w:pPr>
      <w:bookmarkStart w:id="22" w:name="_Toc232430361"/>
      <w:bookmarkStart w:id="23" w:name="_Toc51339693"/>
      <w:r>
        <w:rPr/>
        <w:t>Требования к продукции</w:t>
      </w:r>
      <w:bookmarkEnd w:id="22"/>
      <w:bookmarkEnd w:id="23"/>
    </w:p>
    <w:p>
      <w:pPr>
        <w:pStyle w:val="Heading4"/>
        <w:numPr>
          <w:ilvl w:val="1"/>
          <w:numId w:val="3"/>
        </w:numPr>
        <w:rPr/>
      </w:pPr>
      <w:bookmarkStart w:id="24" w:name="_Toc232430362"/>
      <w:r>
        <w:rPr/>
        <w:t>Требования к объемам и срокам поставки</w:t>
      </w:r>
      <w:bookmarkEnd w:id="24"/>
    </w:p>
    <w:p>
      <w:pPr>
        <w:pStyle w:val="Heading3"/>
        <w:numPr>
          <w:ilvl w:val="2"/>
          <w:numId w:val="3"/>
        </w:numPr>
        <w:rPr/>
      </w:pPr>
      <w:bookmarkStart w:id="25" w:name="_Toc232430363"/>
      <w:r>
        <w:rPr/>
        <w:t>Перечень и объем закупаемой продукции</w:t>
      </w:r>
      <w:bookmarkEnd w:id="25"/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>
          <w:b/>
          <w:sz w:val="24"/>
          <w:szCs w:val="24"/>
        </w:rPr>
      </w:pPr>
      <w:bookmarkStart w:id="26" w:name="_Toc51339695"/>
      <w:bookmarkStart w:id="27" w:name="_Toc232430364"/>
      <w:bookmarkStart w:id="28" w:name="_Toc191395484"/>
      <w:r>
        <w:rPr>
          <w:b/>
          <w:sz w:val="24"/>
          <w:szCs w:val="24"/>
        </w:rPr>
        <w:t>Таблица 1.1 Перечень и объем закупаемой продукции</w:t>
      </w:r>
      <w:bookmarkEnd w:id="27"/>
      <w:bookmarkEnd w:id="28"/>
    </w:p>
    <w:p>
      <w:pPr>
        <w:pStyle w:val="Normal"/>
        <w:numPr>
          <w:ilvl w:val="0"/>
          <w:numId w:val="0"/>
        </w:num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8"/>
        <w:gridCol w:w="6127"/>
        <w:gridCol w:w="1418"/>
        <w:gridCol w:w="1418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darkGray"/>
              </w:rPr>
            </w:pPr>
            <w:r>
              <w:rPr>
                <w:bCs/>
                <w:iCs/>
                <w:sz w:val="24"/>
                <w:szCs w:val="24"/>
                <w:highlight w:val="lightGray"/>
                <w:shd w:fill="FFFF99" w:val="clear"/>
              </w:rPr>
              <w:t>АТДЦТН-125000/220/110/10 УХ</w:t>
            </w:r>
            <w:r>
              <w:rPr>
                <w:bCs/>
                <w:iCs/>
                <w:sz w:val="24"/>
                <w:szCs w:val="24"/>
                <w:highlight w:val="darkGray"/>
                <w:shd w:fill="FFFF99" w:val="clear"/>
              </w:rPr>
              <w:t>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keepNext w:val="true"/>
        <w:numPr>
          <w:ilvl w:val="2"/>
          <w:numId w:val="3"/>
        </w:numPr>
        <w:spacing w:before="120" w:after="60"/>
        <w:jc w:val="both"/>
        <w:outlineLvl w:val="2"/>
        <w:rPr>
          <w:rFonts w:eastAsia="Calibri"/>
          <w:b/>
          <w:sz w:val="24"/>
          <w:szCs w:val="24"/>
        </w:rPr>
      </w:pPr>
      <w:bookmarkStart w:id="29" w:name="_Toc232430365"/>
      <w:bookmarkStart w:id="30" w:name="_Toc191395486"/>
      <w:r>
        <w:rPr>
          <w:rFonts w:eastAsia="Calibri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29"/>
      <w:bookmarkEnd w:id="30"/>
    </w:p>
    <w:p>
      <w:pPr>
        <w:pStyle w:val="Normal"/>
        <w:numPr>
          <w:ilvl w:val="0"/>
          <w:numId w:val="0"/>
        </w:numPr>
        <w:outlineLvl w:val="0"/>
        <w:rPr>
          <w:b/>
          <w:sz w:val="24"/>
          <w:szCs w:val="24"/>
        </w:rPr>
      </w:pPr>
      <w:bookmarkStart w:id="31" w:name="_Toc232430366"/>
      <w:bookmarkStart w:id="32" w:name="_Toc191395487"/>
      <w:r>
        <w:rPr>
          <w:b/>
          <w:sz w:val="24"/>
          <w:szCs w:val="24"/>
        </w:rPr>
        <w:t>Таблица 2.1 Требования по срокам поставки продукции</w:t>
      </w:r>
      <w:bookmarkEnd w:id="31"/>
      <w:bookmarkEnd w:id="32"/>
      <w:r>
        <w:rPr>
          <w:b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8"/>
        <w:gridCol w:w="2552"/>
        <w:gridCol w:w="2977"/>
        <w:gridCol w:w="3260"/>
      </w:tblGrid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iCs/>
                <w:sz w:val="24"/>
                <w:szCs w:val="24"/>
                <w:highlight w:val="lightGray"/>
                <w:shd w:fill="FFFF99" w:val="clear"/>
              </w:rPr>
            </w:pPr>
            <w:r>
              <w:rPr>
                <w:bCs/>
                <w:iCs/>
                <w:sz w:val="24"/>
                <w:szCs w:val="24"/>
                <w:highlight w:val="lightGray"/>
                <w:shd w:fill="FFFF99" w:val="clear"/>
              </w:rPr>
              <w:t>АТДЦТН-125000/220/</w:t>
            </w:r>
          </w:p>
          <w:p>
            <w:pPr>
              <w:pStyle w:val="Normal"/>
              <w:widowControl w:val="false"/>
              <w:rPr>
                <w:sz w:val="24"/>
                <w:szCs w:val="24"/>
                <w:highlight w:val="lightGray"/>
              </w:rPr>
            </w:pPr>
            <w:r>
              <w:rPr>
                <w:bCs/>
                <w:iCs/>
                <w:sz w:val="24"/>
                <w:szCs w:val="24"/>
                <w:highlight w:val="lightGray"/>
                <w:shd w:fill="FFFF99" w:val="clear"/>
              </w:rPr>
              <w:t>110/10 УХ</w:t>
            </w:r>
            <w:r>
              <w:rPr>
                <w:bCs/>
                <w:iCs/>
                <w:sz w:val="24"/>
                <w:szCs w:val="24"/>
                <w:highlight w:val="lightGray"/>
                <w:shd w:fill="FFFF99" w:val="clear"/>
              </w:rPr>
              <w:t>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33" w:name="_Toc46743510"/>
            <w:bookmarkStart w:id="34" w:name="_Toc50125126"/>
            <w:bookmarkStart w:id="35" w:name="_Toc51339695"/>
            <w:r>
              <w:rPr>
                <w:sz w:val="24"/>
                <w:szCs w:val="24"/>
              </w:rPr>
              <w:t xml:space="preserve">В течении 90 дней после подписания договора </w:t>
            </w:r>
            <w:bookmarkEnd w:id="33"/>
            <w:bookmarkEnd w:id="34"/>
            <w:bookmarkEnd w:id="35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6" w:name="_Toc51339698"/>
      <w:bookmarkStart w:id="37" w:name="_Toc232430367"/>
      <w:bookmarkStart w:id="38" w:name="_Toc46743511"/>
      <w:r>
        <w:rPr/>
        <w:t xml:space="preserve">Требования к </w:t>
      </w:r>
      <w:bookmarkEnd w:id="38"/>
      <w:r>
        <w:rPr/>
        <w:t>качеству продукции</w:t>
      </w:r>
      <w:bookmarkEnd w:id="37"/>
    </w:p>
    <w:p>
      <w:pPr>
        <w:pStyle w:val="Style40"/>
        <w:numPr>
          <w:ilvl w:val="0"/>
          <w:numId w:val="0"/>
        </w:numPr>
        <w:outlineLvl w:val="0"/>
        <w:rPr/>
      </w:pPr>
      <w:bookmarkStart w:id="39" w:name="_Toc232430368"/>
      <w:r>
        <w:rPr/>
        <w:t>Таблица 3. Требования к качеству продукции</w:t>
      </w:r>
      <w:bookmarkEnd w:id="39"/>
      <w:r>
        <w:rPr/>
        <w:t xml:space="preserve"> </w:t>
      </w:r>
      <w:bookmarkEnd w:id="36"/>
    </w:p>
    <w:p>
      <w:pPr>
        <w:pStyle w:val="Normal"/>
        <w:rPr>
          <w:i/>
          <w:i/>
          <w:sz w:val="24"/>
          <w:szCs w:val="24"/>
          <w:shd w:fill="FFFF99" w:val="clear"/>
        </w:rPr>
      </w:pPr>
      <w:r>
        <w:rPr>
          <w:i/>
          <w:sz w:val="24"/>
          <w:szCs w:val="24"/>
          <w:shd w:fill="FFFF99" w:val="clear"/>
        </w:rPr>
      </w:r>
    </w:p>
    <w:p>
      <w:pPr>
        <w:pStyle w:val="Normal"/>
        <w:jc w:val="both"/>
        <w:rPr>
          <w:rStyle w:val="Style11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№1Таблицы 1.1): </w:t>
      </w:r>
      <w:r>
        <w:rPr>
          <w:rStyle w:val="Style11"/>
          <w:b w:val="false"/>
          <w:iCs/>
          <w:sz w:val="24"/>
          <w:szCs w:val="24"/>
          <w:highlight w:val="lightGray"/>
        </w:rPr>
        <w:t xml:space="preserve">АТДЦТН-125000/220/110/10 </w:t>
      </w:r>
      <w:r>
        <w:rPr>
          <w:rStyle w:val="Style11"/>
          <w:b w:val="false"/>
          <w:iCs/>
          <w:sz w:val="24"/>
          <w:szCs w:val="24"/>
          <w:highlight w:val="lightGray"/>
        </w:rPr>
        <w:t>УХЛ</w:t>
      </w:r>
      <w:r>
        <w:rPr/>
        <w:t xml:space="preserve"> </w:t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tbl>
      <w:tblPr>
        <w:tblStyle w:val="af7"/>
        <w:tblpPr w:bottomFromText="0" w:horzAnchor="text" w:leftFromText="180" w:rightFromText="180" w:tblpX="0" w:tblpY="1" w:topFromText="0" w:vertAnchor="text"/>
        <w:tblW w:w="1487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56"/>
        <w:gridCol w:w="3033"/>
        <w:gridCol w:w="2552"/>
        <w:gridCol w:w="2126"/>
        <w:gridCol w:w="2834"/>
        <w:gridCol w:w="2977"/>
      </w:tblGrid>
      <w:tr>
        <w:trPr/>
        <w:tc>
          <w:tcPr>
            <w:tcW w:w="135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03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960" w:type="dxa"/>
            <w:gridSpan w:val="2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97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35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Предоставление подтверждающего документа на этапе закупки 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both"/>
              <w:rPr>
                <w:bCs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0"/>
                <w:szCs w:val="20"/>
                <w:lang w:val="ru-RU" w:eastAsia="ru-RU" w:bidi="ar-SA"/>
              </w:rPr>
              <w:t>(по тексту таблицы указаны сокращенные наименования документов со ссылкой на п. 2.2.1 настоящих ТТ, где приведены полные наименования)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изготовителя (завода-изготовителя) продукции и его ИНН</w:t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АТДЦТН-125000/220/110/10 УХЛ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Исполнение по виду изолирующей и охлаждающей среды 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ДЦ -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охлаждение с принудительной циркуляцией масла и воздуха (масло движется через охладители, обдуваемые вентиляторами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Тип трансформатора </w:t>
            </w:r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-автотрансформатор, трёхфазный,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охлаждение с принудительной циркуляцией масла и воздуха (масло движется через охладители, обдуваемые вентиляторами, поток масла — ненаправленный),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трёхобмоточный,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есть регулирование напряжения под нагрузкой (РПН)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  <w:bookmarkStart w:id="40" w:name="_Ref210226071"/>
            <w:bookmarkStart w:id="41" w:name="_Ref210231393"/>
            <w:bookmarkStart w:id="42" w:name="_Ref210226071"/>
            <w:bookmarkStart w:id="43" w:name="_Ref210231393"/>
            <w:bookmarkEnd w:id="42"/>
            <w:bookmarkEnd w:id="43"/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Схемы и группы соединения обмоток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Уавто/Д-0-11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BodyText3"/>
              <w:widowControl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напряжение, кВ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Style w:val="Style11"/>
                <w:b w:val="false"/>
                <w:sz w:val="24"/>
                <w:szCs w:val="24"/>
                <w:highlight w:val="lightGray"/>
              </w:rPr>
            </w:pPr>
            <w:r>
              <w:rPr>
                <w:rStyle w:val="Style11"/>
                <w:rFonts w:eastAsia="Times New Roman" w:cs="Times New Roman"/>
                <w:b w:val="false"/>
                <w:kern w:val="0"/>
                <w:sz w:val="24"/>
                <w:szCs w:val="24"/>
                <w:highlight w:val="lightGray"/>
                <w:lang w:val="ru-RU" w:eastAsia="ru-RU" w:bidi="ar-SA"/>
              </w:rPr>
              <w:t xml:space="preserve">230 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1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напряжение, кВ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СН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Style w:val="Style11"/>
                <w:b w:val="false"/>
                <w:sz w:val="24"/>
                <w:szCs w:val="24"/>
                <w:highlight w:val="lightGray"/>
              </w:rPr>
            </w:pPr>
            <w:r>
              <w:rPr>
                <w:rStyle w:val="Style11"/>
                <w:rFonts w:eastAsia="Times New Roman" w:cs="Times New Roman"/>
                <w:b w:val="false"/>
                <w:iCs/>
                <w:kern w:val="0"/>
                <w:sz w:val="24"/>
                <w:szCs w:val="24"/>
                <w:highlight w:val="lightGray"/>
                <w:lang w:val="en-US" w:eastAsia="ru-RU" w:bidi="ar-SA"/>
              </w:rPr>
              <w:t>121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lightGray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lightGray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lightGray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lightGray"/>
                <w:lang w:val="ru-RU" w:eastAsia="ru-RU" w:bidi="ar-SA"/>
              </w:rPr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BodyText3"/>
              <w:widowControl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напряжение, кВ</w:t>
            </w:r>
          </w:p>
          <w:p>
            <w:pPr>
              <w:pStyle w:val="BodyText3"/>
              <w:widowControl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НН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rStyle w:val="Style11"/>
                <w:b w:val="false"/>
                <w:sz w:val="24"/>
                <w:szCs w:val="24"/>
                <w:highlight w:val="lightGray"/>
              </w:rPr>
            </w:pPr>
            <w:r>
              <w:rPr>
                <w:rStyle w:val="Style11"/>
                <w:rFonts w:eastAsia="Times New Roman" w:cs="Times New Roman"/>
                <w:b w:val="false"/>
                <w:iCs/>
                <w:kern w:val="0"/>
                <w:sz w:val="24"/>
                <w:szCs w:val="24"/>
                <w:highlight w:val="lightGray"/>
                <w:lang w:val="ru-RU" w:eastAsia="ru-RU" w:bidi="ar-SA"/>
              </w:rPr>
              <w:t>10,54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highlight w:val="darkGray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darkGray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Style w:val="Style11"/>
                <w:b w:val="false"/>
                <w:iCs/>
                <w:sz w:val="24"/>
                <w:szCs w:val="24"/>
                <w:highlight w:val="darkGray"/>
                <w:lang w:val="en-US"/>
              </w:rPr>
            </w:pPr>
            <w:r>
              <w:rPr>
                <w:b w:val="false"/>
                <w:iCs/>
                <w:sz w:val="24"/>
                <w:szCs w:val="24"/>
                <w:highlight w:val="darkGray"/>
                <w:lang w:val="en-US"/>
              </w:rPr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Номинальная мощность, кВ·А </w:t>
            </w:r>
          </w:p>
        </w:tc>
        <w:tc>
          <w:tcPr>
            <w:tcW w:w="2552" w:type="dxa"/>
            <w:tcBorders/>
            <w:shd w:color="FFFFFF" w:fill="FFFFFF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125000 кВА 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FFFFFF" w:fill="FFFFFF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Ном. мощность обмотки СН,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кВ·А </w:t>
            </w:r>
          </w:p>
        </w:tc>
        <w:tc>
          <w:tcPr>
            <w:tcW w:w="2552" w:type="dxa"/>
            <w:tcBorders/>
            <w:shd w:color="FFFFFF" w:fill="FFFFFF" w:val="clear"/>
            <w:vAlign w:val="bottom"/>
          </w:tcPr>
          <w:p>
            <w:pPr>
              <w:pStyle w:val="BodyText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125000 кВА  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FFFFFF" w:fill="FFFFFF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Ном. мощность обмотки НН, кВ·А </w:t>
            </w:r>
          </w:p>
        </w:tc>
        <w:tc>
          <w:tcPr>
            <w:tcW w:w="2552" w:type="dxa"/>
            <w:tcBorders/>
            <w:shd w:color="FFFFFF" w:fill="FFFFFF" w:val="clear"/>
            <w:vAlign w:val="bottom"/>
          </w:tcPr>
          <w:p>
            <w:pPr>
              <w:pStyle w:val="BodyText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63000 кВА 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FFFFFF" w:fill="FFFFFF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BodyText3"/>
              <w:widowControl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FFFFFF" w:fill="FFFFFF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Потери холостого хода, кВт, не более </w:t>
            </w:r>
          </w:p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BodyText3"/>
              <w:widowControl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63,4 кВт 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FFFFFF" w:fill="FFFFFF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Ток холостого хода, %, не более </w:t>
            </w:r>
          </w:p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0,20% </w:t>
            </w:r>
          </w:p>
          <w:p>
            <w:pPr>
              <w:pStyle w:val="Normal"/>
              <w:widowControl/>
              <w:spacing w:before="6" w:after="6"/>
              <w:jc w:val="left"/>
              <w:rPr>
                <w:rStyle w:val="Style11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FFFFFF" w:fill="FFFFFF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Напряжение КЗ ВН-СН для среднего положения РПН, отнесенное к номинальной мощности Sном АТ, UК ВН-СН, %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11,0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±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10%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ab/>
              <w:t>Протоколы испытаний (п. 2.2.1.4)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720" w:hanging="685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•</w:t>
            </w:r>
            <w:r>
              <w:rPr>
                <w:rFonts w:cs="Times New Roman"/>
                <w:kern w:val="0"/>
                <w:lang w:val="ru-RU" w:eastAsia="ru-RU" w:bidi="ar-SA"/>
              </w:rPr>
              <w:tab/>
              <w:t>Тех. Условия (п. 2.2.1.5)</w:t>
            </w:r>
          </w:p>
        </w:tc>
        <w:tc>
          <w:tcPr>
            <w:tcW w:w="2977" w:type="dxa"/>
            <w:tcBorders/>
            <w:shd w:color="FFFFFF" w:fill="FFFFFF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Напряжение КЗ ВН-НН для среднего положения РПН, отнесенное к номинальной мощности Sном АТ, UК ВН-НН, %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42,9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±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10%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Протоколы испытаний (п. 2.2.1.4)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Тех. Условия (п. 2.2.1.5)</w:t>
            </w:r>
          </w:p>
        </w:tc>
        <w:tc>
          <w:tcPr>
            <w:tcW w:w="2977" w:type="dxa"/>
            <w:tcBorders/>
            <w:shd w:color="FFFFFF" w:fill="FFFFFF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Напряжение КЗ СН-НН для среднего положения РПН, отнесенное к номинальной мощности Sном АТ, UК СН-НН, %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27,6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±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10%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Протоколы испытаний (п. 2.2.1.4)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Тех. Условия (п. 2.2.1.5)</w:t>
            </w:r>
          </w:p>
        </w:tc>
        <w:tc>
          <w:tcPr>
            <w:tcW w:w="2977" w:type="dxa"/>
            <w:tcBorders/>
            <w:shd w:color="FFFFFF" w:fill="FFFFFF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Ном.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ток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обмотки ВН UномВН,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314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Протоколы испытаний (п. 2.2.1.4)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Тех. Условия (п. 2.2.1.5)</w:t>
            </w:r>
          </w:p>
        </w:tc>
        <w:tc>
          <w:tcPr>
            <w:tcW w:w="2977" w:type="dxa"/>
            <w:tcBorders/>
            <w:shd w:color="FFFFFF" w:fill="FFFFFF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Ном.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ток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обмотки СН UномСН,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596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Протоколы испытаний (п. 2.2.1.4)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Тех. Условия (п. 2.2.1.5)</w:t>
            </w:r>
          </w:p>
        </w:tc>
        <w:tc>
          <w:tcPr>
            <w:tcW w:w="2977" w:type="dxa"/>
            <w:tcBorders/>
            <w:shd w:color="FFFFFF" w:fill="FFFFFF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Ном. ток обмотки НН, IНОМ НН, А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3450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Протоколы испытаний (п. 2.2.1.4)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Тех. Условия (п. 2.2.1.5)</w:t>
            </w:r>
          </w:p>
        </w:tc>
        <w:tc>
          <w:tcPr>
            <w:tcW w:w="2977" w:type="dxa"/>
            <w:tcBorders/>
            <w:shd w:color="FFFFFF" w:fill="FFFFFF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Устройство регулирования напряжения: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  <w:bookmarkStart w:id="44" w:name="_Ref219376043"/>
            <w:bookmarkStart w:id="45" w:name="_Ref219376043"/>
            <w:bookmarkEnd w:id="45"/>
          </w:p>
        </w:tc>
        <w:tc>
          <w:tcPr>
            <w:tcW w:w="3033" w:type="dxa"/>
            <w:tcBorders/>
          </w:tcPr>
          <w:p>
            <w:pPr>
              <w:pStyle w:val="BodyText3"/>
              <w:widowControl/>
              <w:spacing w:before="0" w:after="0"/>
              <w:contextualSpacing/>
              <w:jc w:val="left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highlight w:val="white"/>
                <w:lang w:val="ru-RU" w:eastAsia="ru-RU" w:bidi="ar-SA"/>
              </w:rPr>
              <w:t>Устройства регулирования напряжения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BodyText3"/>
              <w:widowControl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РПН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РПН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Style w:val="Style11"/>
                <w:b w:val="false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комплекте с приводом, изготовленным по ГОСТ 24126-2021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Тип/производитель РПН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РНОА-110/1000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Гашение дуги в РПН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BodyText3"/>
              <w:widowControl/>
              <w:spacing w:before="0" w:after="12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Комплектация устройства РПН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Устройство РПН должно быть снабжено: струйным защитным реле; датчиком положения;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датчиком температуры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BodyText3"/>
              <w:widowControl/>
              <w:spacing w:before="0" w:after="12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Режим заземления нейтрали.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Глухозаземленная 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Ресурс по механической износостойкости устройства РПН без электрической нагрузки, переключений, не менее</w:t>
            </w:r>
          </w:p>
        </w:tc>
        <w:tc>
          <w:tcPr>
            <w:tcW w:w="2552" w:type="dxa"/>
            <w:tcBorders/>
          </w:tcPr>
          <w:p>
            <w:pPr>
              <w:pStyle w:val="BodyText3"/>
              <w:widowControl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требованиям,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п. 2.11.1 ГОСТ 24126-2021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BodyText3"/>
              <w:widowControl/>
              <w:spacing w:before="0" w:after="12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Ресурс по электрической износостойкости разрывающих ток контактов контакторов устройств РПН переключений, не менее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50 тыс. переключений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переключений до замены масла контактора, не менее</w:t>
            </w:r>
          </w:p>
        </w:tc>
        <w:tc>
          <w:tcPr>
            <w:tcW w:w="2552" w:type="dxa"/>
            <w:tcBorders/>
          </w:tcPr>
          <w:p>
            <w:pPr>
              <w:pStyle w:val="BodyText3"/>
              <w:widowControl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24126-2021 п. 2.11.3 не менее 100 000 циклов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30 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BodyText3"/>
              <w:widowControl/>
              <w:spacing w:before="0" w:after="12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Комплектность поставки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ListParagraph"/>
              <w:widowControl/>
              <w:numPr>
                <w:ilvl w:val="0"/>
                <w:numId w:val="20"/>
              </w:numPr>
              <w:spacing w:before="0" w:after="0"/>
              <w:ind w:left="322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Дистанционный указатель положения; </w:t>
            </w:r>
          </w:p>
          <w:p>
            <w:pPr>
              <w:pStyle w:val="ListParagraph"/>
              <w:widowControl/>
              <w:numPr>
                <w:ilvl w:val="0"/>
                <w:numId w:val="20"/>
              </w:numPr>
              <w:spacing w:before="0" w:after="0"/>
              <w:ind w:left="322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Блок автоматического управления; </w:t>
            </w:r>
          </w:p>
          <w:p>
            <w:pPr>
              <w:pStyle w:val="ListParagraph"/>
              <w:widowControl/>
              <w:numPr>
                <w:ilvl w:val="0"/>
                <w:numId w:val="20"/>
              </w:numPr>
              <w:spacing w:before="0" w:after="0"/>
              <w:ind w:left="322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Датчик положения; </w:t>
            </w:r>
          </w:p>
          <w:p>
            <w:pPr>
              <w:pStyle w:val="ListParagraph"/>
              <w:widowControl/>
              <w:numPr>
                <w:ilvl w:val="0"/>
                <w:numId w:val="20"/>
              </w:numPr>
              <w:spacing w:before="0" w:after="0"/>
              <w:ind w:left="322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Датчик температуры масла, блокирующий переключения при низких температурах 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Техническая документация на РПН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русском языке (2 экз.)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BodyText3"/>
              <w:widowControl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Климатическое исполнение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УХЛ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Категория размещения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1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Верхнее / нижнее рабочее значение температуры окружающего воздуха, °С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УХЛ: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плюс 40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/ минус 60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1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Высота установки над уровнем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моря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 1000 м </w:t>
              <w:tab/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1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электрической прочности изоляции трансформатора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Уровень изоляции 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(а) </w:t>
            </w:r>
          </w:p>
          <w:p>
            <w:pPr>
              <w:pStyle w:val="NoSpacing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b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  <w:bookmarkStart w:id="46" w:name="_Ref210314748"/>
            <w:bookmarkStart w:id="47" w:name="_Ref210314748"/>
            <w:bookmarkEnd w:id="47"/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Испытательное напряжение для внутренней и внешней изоляции обмоток ВН, СН, НН и нейтрали 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Spacing"/>
              <w:widowControl/>
              <w:spacing w:lineRule="auto" w:line="240" w:before="0" w:after="0"/>
              <w:jc w:val="left"/>
              <w:rPr>
                <w:b/>
                <w:bCs/>
                <w:i/>
                <w:i/>
                <w:iCs/>
                <w:shd w:fill="FFFF99" w:val="clear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Согласно требованиям таблицы 5.1 ГОСТ Р 55195-2012 (в зависимости от класса напряжения трансформатора и уровня изоляции)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Согласие с требованием 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Допустимые систематические нагрузки и перегрузки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ГОСТ 14209-85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Стойкость при коротких замыканиях трансформаторов (автотрансформаторов)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 9.3.2.4 ГОСТ Р 52719-2007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с учетом примечания в указанном пункте)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Превышения температуры отдельных элементов масляного трансформатора над температурой окружающей среды, °С, не более </w:t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пп. 6.1.1, 6.1.3</w:t>
            </w:r>
          </w:p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Р 52719-2007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FFFFFF" w:fill="FFFFFF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  <w:shd w:color="FFFFFF" w:fill="FFFFFF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Изготовление</w:t>
            </w:r>
          </w:p>
        </w:tc>
        <w:tc>
          <w:tcPr>
            <w:tcW w:w="2552" w:type="dxa"/>
            <w:tcBorders/>
          </w:tcPr>
          <w:p>
            <w:pPr>
              <w:pStyle w:val="BodyText3"/>
              <w:widowControl/>
              <w:spacing w:before="0" w:after="12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воздушным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вводом (по стороне ВН)</w:t>
            </w:r>
          </w:p>
          <w:p>
            <w:pPr>
              <w:pStyle w:val="BodyText3"/>
              <w:widowControl/>
              <w:spacing w:before="0" w:after="12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воздушным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вводом (по стороне СН)</w:t>
            </w:r>
          </w:p>
          <w:p>
            <w:pPr>
              <w:pStyle w:val="BodyText3"/>
              <w:widowControl/>
              <w:spacing w:before="0" w:after="120"/>
              <w:contextualSpacing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воздушным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вводом (по стороне НН)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Термосифонные фильтры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Согласно требованиям п. Г.53 ГОСТ Р 52719-2007 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Устройства подъёма и перекатки в продольном и поперечном направлениях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требованиям </w:t>
            </w: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пп. Г.46-48, Г.50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ГОСТ Р 52719-2007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BodyText3"/>
              <w:widowControl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Расположение основных элементов трансформатора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требованиям, п. 2.2.5 ГОСТ 11920-85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Установка трансформатора на фундаменте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 катками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14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Расширитель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Трансформатор должен быть снабжен расширителем согласно п. Г.13 ГОСТ Р 52719-2007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15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Система защиты масла от контакта с окружающим воздухом, система дыхания, маслоуказатель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Согласно требованиям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пп. Г.13, Г.14, Г.22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Р 52719-2007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Необслуживаемый воздухоосушитель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Идет в комплекте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17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обмоток ВН, СН, НН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Медь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8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трансформаторного масла, производитель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ГК, либо эквивалент, допускающий смешивание с маслом марки ГК без ограничений, согласно ГОСТ 982-80</w:t>
              <w:tab/>
              <w:t>Согласие с требованием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8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Лакокрасочное покрытие, цвет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Лакокрасочное покрытие: должно быть стойким к атмосферным воздействиям.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Цвет: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НД на трансформатор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Тех. Условия (п. 2.2.1.5)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Гофрированный бак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Без гофрированных баков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высоковольтным вводам: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Тип: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ВН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СН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НН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Заводской чертёж: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ВН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СН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НН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9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Производитель: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ВН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СН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НН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9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Изготовление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</w:t>
            </w: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Р 55187-12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Материал внешней изоляции высоковольтных вводов (покрышки)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ВН: фарфор /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полимер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СН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: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фарфор/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полимер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НН: фарфор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Материал </w:t>
            </w: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внутренней</w:t>
            </w: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изоляции высоковольтных вводов 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ВН: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RIS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ar-SA"/>
              </w:rPr>
              <w:t>СН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: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RIS</w:t>
            </w:r>
          </w:p>
        </w:tc>
        <w:tc>
          <w:tcPr>
            <w:tcW w:w="2126" w:type="dxa"/>
            <w:tcBorders>
              <w:top w:val="nil"/>
            </w:tcBorders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Степень загрязнения установленных на трансформатор (автотрансформатор) высоковольтных вводов</w:t>
            </w:r>
          </w:p>
        </w:tc>
        <w:tc>
          <w:tcPr>
            <w:tcW w:w="2552" w:type="dxa"/>
            <w:tcBorders/>
          </w:tcPr>
          <w:p>
            <w:pPr>
              <w:pStyle w:val="BodyText3"/>
              <w:widowControl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 – легкая</w:t>
            </w:r>
          </w:p>
          <w:p>
            <w:pPr>
              <w:pStyle w:val="BodyText3"/>
              <w:widowControl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385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Удельная длина пути утечки внешней изоляции вводов, см/кВ, не менее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Протоколы испытаний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_Ref210581295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2.2.1.4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  <w:shd w:color="auto" w:fill="auto" w:val="clear"/>
          </w:tcPr>
          <w:p>
            <w:pPr>
              <w:pStyle w:val="BodyText3"/>
              <w:widowControl/>
              <w:shd w:val="clear" w:color="auto" w:fill="FFFFFF" w:themeFill="background1"/>
              <w:spacing w:before="0" w:after="12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Цвет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внешней изоляции высоковольтных вводов (покрышки)</w:t>
            </w:r>
          </w:p>
        </w:tc>
        <w:tc>
          <w:tcPr>
            <w:tcW w:w="255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126" w:type="dxa"/>
            <w:tcBorders/>
            <w:shd w:color="FFFFFF" w:fill="FFFFFF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Техническая</w:t>
            </w:r>
            <w:r>
              <w:rPr>
                <w:rFonts w:eastAsia="Times New Roman" w:cs="Times New Roman"/>
                <w:spacing w:val="-15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</w:t>
            </w:r>
            <w:r>
              <w:rPr>
                <w:rFonts w:eastAsia="Times New Roman" w:cs="Times New Roman"/>
                <w:spacing w:val="-15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 высоковольтные вводы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русском языке. Два экземпляра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Контактные клеммы. Болты-соединения (метизы)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Контактные клеммы с комплектом крепежа для монтажа.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Болты-соединения (метизы) должны быть изготовлены из нержавеющей стали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встроенным трансформаторам тока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 вводах ВН: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Коэффициент безопасности приборов обмоток для измерений и учета электроэнергии, не более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BodyText3"/>
              <w:widowControl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Ответвления трансформаторов тока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Все ответвления трансформаторов тока должны быть выведены в коробку для присоединения кабелей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Ведомость ЗИП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_Ref210581406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Ошибка: источник перекрёстной ссылки не найден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Техническая документация к трансформаторам тока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Должна быть на русском языке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по безопасности: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Требования безопасности, в том числе пожарной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Согласно требованиям </w:t>
            </w: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п. 7.1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ГОСТ Р 52719-2007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ConsPlusNormal1"/>
              <w:widowControl w:val="fals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Заземление бака трансформатора </w:t>
            </w:r>
          </w:p>
        </w:tc>
        <w:tc>
          <w:tcPr>
            <w:tcW w:w="2552" w:type="dxa"/>
            <w:tcBorders/>
          </w:tcPr>
          <w:p>
            <w:pPr>
              <w:pStyle w:val="ConsPlusNormal1"/>
              <w:widowControl w:val="false"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требованиям, п. 7.2 ГОСТ Р 52719-2007, ГОСТ 12.2.007.0-75 со следующими дополнениями:</w:t>
            </w:r>
          </w:p>
          <w:p>
            <w:pPr>
              <w:pStyle w:val="ListParagraph"/>
              <w:widowControl/>
              <w:numPr>
                <w:ilvl w:val="0"/>
                <w:numId w:val="20"/>
              </w:numPr>
              <w:spacing w:before="0" w:after="0"/>
              <w:ind w:left="322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при применении для заземления резьбового соединения диаметр резьбы должен быть М12 для трансформаторов мощностью 25 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 xml:space="preserve">кВ·А </w:t>
            </w:r>
            <w:r>
              <w:rPr>
                <w:rFonts w:cs="Times New Roman"/>
                <w:kern w:val="0"/>
                <w:lang w:val="ru-RU" w:eastAsia="ru-RU" w:bidi="ar-SA"/>
              </w:rPr>
              <w:t>и более и М8 - для трансформаторов мощностью менее 25</w:t>
            </w: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>кВ·А</w:t>
            </w:r>
            <w:r>
              <w:rPr>
                <w:rFonts w:cs="Times New Roman"/>
                <w:kern w:val="0"/>
                <w:lang w:val="ru-RU" w:eastAsia="ru-RU" w:bidi="ar-SA"/>
              </w:rPr>
              <w:t>;</w:t>
            </w:r>
          </w:p>
          <w:p>
            <w:pPr>
              <w:pStyle w:val="ListParagraph"/>
              <w:widowControl/>
              <w:numPr>
                <w:ilvl w:val="0"/>
                <w:numId w:val="20"/>
              </w:numPr>
              <w:spacing w:before="0" w:after="0"/>
              <w:ind w:left="322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поверхность заземляющего контакта должна быть достаточной для присоединения стальной шины сечением не менее 40 x 4 мм;</w:t>
            </w:r>
          </w:p>
          <w:p>
            <w:pPr>
              <w:pStyle w:val="ListParagraph"/>
              <w:widowControl/>
              <w:numPr>
                <w:ilvl w:val="0"/>
                <w:numId w:val="20"/>
              </w:numPr>
              <w:spacing w:before="0" w:after="0"/>
              <w:ind w:left="322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заземляющий контакт должен быть расположен в доступном месте внизу бака на стороне НН, а в трансформаторах с охлаждением вида С - в доступном месте остова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Российская декларация о соответствии требованиям безопасности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Предоставляется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массе и габаритным размерам трансформатора: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Масса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кг, не более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Габаритные размеры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мм, не более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Транспортные размеры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мм, не более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Указывается участником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качеству поставляемой продукции: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Общее требование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новая*, ранее не используемая.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* - Под новой следует понимать продукцию, которая не была в употреблении, не имеет следов износа, не приходило ремонт, в том числе восстановление, замену составных частей, восстановление потребительских свойств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b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Год выпуска продукции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Не ранее </w:t>
            </w:r>
            <w:r>
              <w:rPr>
                <w:rStyle w:val="Style11"/>
                <w:rFonts w:eastAsia="Times New Roman" w:cs="Times New Roman"/>
                <w:b w:val="false"/>
                <w:iCs/>
                <w:kern w:val="0"/>
                <w:sz w:val="24"/>
                <w:szCs w:val="24"/>
                <w:highlight w:val="darkGray"/>
                <w:lang w:val="ru-RU" w:eastAsia="ru-RU" w:bidi="ar-SA"/>
              </w:rPr>
              <w:t>2026г.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 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Гарантия на защиту от коррозии, при отсутствии механических повреждений силового трансформатора, не менее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10 лет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 даты подписания накладной ТОРГ-12 или УПД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Требования к доставке, маркировке, упаковке, транспортировке, перемещению, условиям хранения, приемке и испытаниям 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 продукции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Style w:val="Style11"/>
                <w:b w:val="false"/>
                <w:iCs/>
                <w:sz w:val="24"/>
                <w:szCs w:val="24"/>
              </w:rPr>
            </w:pPr>
            <w:r>
              <w:rPr>
                <w:rStyle w:val="Style11"/>
                <w:rFonts w:eastAsia="Times New Roman" w:cs="Times New Roman"/>
                <w:b w:val="false"/>
                <w:iCs/>
                <w:kern w:val="0"/>
                <w:sz w:val="24"/>
                <w:szCs w:val="24"/>
                <w:highlight w:val="darkGray"/>
                <w:lang w:val="ru-RU" w:eastAsia="ru-RU" w:bidi="ar-SA"/>
              </w:rPr>
              <w:t>филиал Западные электрические сети ЗЭС ПАО "Якутскэнерго", 678174, Республика Саха (Якутия), г.Мирный, Ленинградский пр., 5/2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 6.9.1 ГОСТ 52719-2007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Транспортирование, перемещение и условия хранения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пп. 6.8.1, 11 ГОСТ 52719-2007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Регистратор ударов «Шок-индикатора»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регистратора ударов «Шок-индикатора» на трансформаторе для контроля условий погрузки/разгрузки и транспортирования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Упаковка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 6.9.2 ГОСТ 52719-2007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Растамаживание и доставка до места назначения (площадка строительства ПС)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Входит в стоимость поставки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Разгрузка оборудования на объекте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Входит в стоимость поставки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Место и ориентация при разгрузке по сторонам ВН и НН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Выполняется согласно требованиям заказчика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Требования охраны окружающей среды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 8.1 ГОСТ Р 52719-2007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Требование к утилизации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 8.2 ГОСТ Р 52719-2007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Ввод в эксплуатацию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 12 ГОСТ Р 52719-2007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надёжности, гарантиям, гарантийному и послегарантийному обслуживанию: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Установленная наработка на отказ (согласно требованиям п. 6.7 ГОСТ Р 52719-2007), не менее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25000 ч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эксплуатации со дня ввода в эксплуатацию, не менее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 лет со дня ввода в эксплуатацию но не более 66 месяцев с момента поставки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Сервисные центры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сервисных центров на территории РФ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Дополнительные условия гарантии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Гарантии распространяются на все поставляемое оборудование.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на место ремонта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Комплектность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требованиям п.6.8 ГОСТ Р 52719-2007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Ведомость ЗИП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_Ref210581406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Ошибка: источник перекрёстной ссылки не найден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Масло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полном объёме (транспортное, для дозаливки)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2"/>
              </w:numPr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Ведомость ЗИП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_Ref210581406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Ошибка: источник перекрёстной ссылки не найден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Техническая документация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2"/>
                <w:kern w:val="0"/>
                <w:sz w:val="24"/>
                <w:szCs w:val="24"/>
                <w:lang w:val="ru-RU" w:eastAsia="ru-RU" w:bidi="ar-SA"/>
              </w:rPr>
              <w:t>На русском языке согласно требованиям, п. 6.8.2 ГОСТ Р 52719-2007, ГОСТ Р 2.610-2019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(2 экземпляра в бумажном виде)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Силикагель для заправки в термосифонные фильтры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99" w:val="clear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комплект поставки входит силикагель типа КСКГ ГОСТ-3956-76, готовый к полной заправке в термосифонные фильтры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tabs>
                <w:tab w:val="clear" w:pos="709"/>
                <w:tab w:val="left" w:pos="229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Шкафы управления и сигнализации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Должны быть оцинкованными или изготовлены из нержавеющих материалов со степенью защиты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IP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- 54 по ГОСТ 14254-96 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Силовые и контрольные кабели системы охлаждения, контрольные кабели от приборов контроля, сигнализации, защиты, трансформаторов тока в пределах трансформатора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Входят в комплект поставки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Металлорукав по баку трансформатора для прокладки силовых и контрольных кабелей системы охлаждения, контрольных кабелей от приборов контроля, сигнализации, защиты трансформаторов тока до клеммных шкафов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Входят в комплект поставки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Чертежи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_Ref210581275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2.2.1.3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Во всем неоговоренном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Трансформаторы и комплектующие должны соответствовать требованиям ГОСТ Р 52719-2007, ПУЭ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Декларация (сертификат) о соответствии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_Ref210581249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2.2.1.2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Полный срок службы, не менее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 лет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4"/>
              </w:numPr>
              <w:tabs>
                <w:tab w:val="clear" w:pos="709"/>
                <w:tab w:val="left" w:pos="229" w:leader="none"/>
                <w:tab w:val="left" w:pos="1800" w:leader="none"/>
              </w:tabs>
              <w:spacing w:before="0" w:after="6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Тех. Условия (п. </w:t>
            </w:r>
            <w:r>
              <w:rPr>
                <w:rFonts w:cs="Times New Roman"/>
                <w:kern w:val="0"/>
                <w:lang w:val="ru-RU" w:eastAsia="ru-RU" w:bidi="ar-SA"/>
              </w:rPr>
              <w:fldChar w:fldCharType="begin"/>
            </w:r>
            <w:r>
              <w:rPr>
                <w:kern w:val="0"/>
                <w:rFonts w:cs="Times New Roman"/>
                <w:lang w:val="ru-RU" w:eastAsia="ru-RU" w:bidi="ar-SA"/>
              </w:rPr>
              <w:instrText xml:space="preserve"> REF _Ref210581359 \r \h </w:instrTex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separate"/>
            </w:r>
            <w:r>
              <w:rPr>
                <w:kern w:val="0"/>
                <w:rFonts w:cs="Times New Roman"/>
                <w:lang w:val="ru-RU" w:eastAsia="ru-RU" w:bidi="ar-SA"/>
              </w:rPr>
              <w:t>2.2.1.5</w:t>
            </w:r>
            <w:r>
              <w:rPr>
                <w:kern w:val="0"/>
                <w:rFonts w:cs="Times New Roman"/>
                <w:lang w:val="ru-RU" w:eastAsia="ru-RU" w:bidi="ar-SA"/>
              </w:rPr>
              <w:fldChar w:fldCharType="end"/>
            </w:r>
            <w:r>
              <w:rPr>
                <w:rFonts w:cs="Times New Roman"/>
                <w:kern w:val="0"/>
                <w:lang w:val="ru-RU" w:eastAsia="ru-RU" w:bidi="ar-SA"/>
              </w:rPr>
              <w:t>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участию в приемо-сдаточных испытаниях трансформатора: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Участие представителей заказчика в приемо-сдаточных испытаниях трансформатора на заводе-изготовителе.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Проезд, проживание входит в стоимость поставки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представителей Заказчика, которые будут принимать участие в испытаниях: 1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356" w:type="dxa"/>
            <w:tcBorders/>
          </w:tcPr>
          <w:p>
            <w:pPr>
              <w:pStyle w:val="Normal"/>
              <w:widowControl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58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Style w:val="Style11"/>
                <w:iCs/>
                <w:sz w:val="24"/>
                <w:szCs w:val="24"/>
              </w:rPr>
            </w:pPr>
            <w:r>
              <w:rPr>
                <w:rStyle w:val="Style11"/>
                <w:rFonts w:eastAsia="Times New Roman" w:cs="Times New Roman"/>
                <w:iCs/>
                <w:kern w:val="0"/>
                <w:sz w:val="24"/>
                <w:szCs w:val="24"/>
                <w:highlight w:val="darkGray"/>
                <w:lang w:val="ru-RU" w:eastAsia="ru-RU" w:bidi="ar-SA"/>
              </w:rPr>
              <w:t>по требованию Заказчика:</w:t>
            </w:r>
          </w:p>
          <w:p>
            <w:pPr>
              <w:pStyle w:val="Normal"/>
              <w:widowControl/>
              <w:spacing w:before="0" w:after="12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Требования к стране происхождения поставляемой продукции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Поставляемая продукция должна быть российского (или иной страны ЕАЭС) происхождения – должна быть включена в один из реестров, предусмотренных постановлением Правительства Российской Федерации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 декабря 2024 г. № 1875 (пункт 3), а именно: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br w:type="textWrapping" w:clear="all"/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1) Реестр российской промышленной продукции;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2) </w:t>
            </w:r>
            <w:bookmarkStart w:id="48" w:name="_Hlk198128161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Евразийский реестр промышленных товаров государств - членов Евразийского экономического союза (за исключением Российской Федерации)</w:t>
            </w:r>
            <w:bookmarkEnd w:id="48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229" w:leader="none"/>
              </w:tabs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необходимой информации, в том числе номер реестровой записи соответствующего реестра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(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 приложением документов, подтверждающих страну происхождения поставляемой продукции)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before="0" w:after="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60"/>
        <w:ind w:left="426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Примечания:</w:t>
      </w:r>
    </w:p>
    <w:p>
      <w:pPr>
        <w:pStyle w:val="ListParagraph"/>
        <w:numPr>
          <w:ilvl w:val="0"/>
          <w:numId w:val="8"/>
        </w:numPr>
        <w:spacing w:before="0" w:after="60"/>
        <w:contextualSpacing/>
        <w:jc w:val="both"/>
        <w:rPr/>
      </w:pPr>
      <w:r>
        <w:rPr/>
        <w:t>В случае если какой-либо из указанных в настоящих ТТ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>
      <w:pPr>
        <w:pStyle w:val="ListParagraph"/>
        <w:numPr>
          <w:ilvl w:val="0"/>
          <w:numId w:val="8"/>
        </w:numPr>
        <w:spacing w:before="0" w:after="60"/>
        <w:contextualSpacing/>
        <w:jc w:val="both"/>
        <w:rPr/>
      </w:pPr>
      <w:r>
        <w:rPr/>
        <w:t>Указанные в настоящих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ListParagraph"/>
        <w:spacing w:before="0" w:after="60"/>
        <w:ind w:left="1146" w:hanging="0"/>
        <w:contextualSpacing/>
        <w:jc w:val="both"/>
        <w:rPr/>
      </w:pPr>
      <w:r>
        <w:rPr/>
      </w:r>
    </w:p>
    <w:p>
      <w:pPr>
        <w:pStyle w:val="Heading3"/>
        <w:numPr>
          <w:ilvl w:val="2"/>
          <w:numId w:val="3"/>
        </w:numPr>
        <w:rPr/>
      </w:pPr>
      <w:bookmarkStart w:id="49" w:name="_Toc232430369"/>
      <w:bookmarkStart w:id="50" w:name="_Toc184662458"/>
      <w:bookmarkStart w:id="51" w:name="_Toc184662432"/>
      <w:bookmarkStart w:id="52" w:name="_Toc184662354"/>
      <w:bookmarkStart w:id="53" w:name="_Toc184661962"/>
      <w:bookmarkStart w:id="54" w:name="_Toc184662457"/>
      <w:bookmarkStart w:id="55" w:name="_Toc184662431"/>
      <w:bookmarkStart w:id="56" w:name="_Toc184662353"/>
      <w:bookmarkStart w:id="57" w:name="_Toc184661961"/>
      <w:bookmarkStart w:id="58" w:name="_Toc184662456"/>
      <w:bookmarkStart w:id="59" w:name="_Toc184662430"/>
      <w:bookmarkStart w:id="60" w:name="_Toc184662352"/>
      <w:bookmarkStart w:id="61" w:name="_Toc184661960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>
        <w:rPr/>
        <w:t>В составе заявки необходимо предоставить</w:t>
      </w:r>
      <w:bookmarkEnd w:id="49"/>
    </w:p>
    <w:p>
      <w:pPr>
        <w:pStyle w:val="Normal"/>
        <w:spacing w:before="0" w:after="60"/>
        <w:ind w:left="426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>
      <w:pPr>
        <w:pStyle w:val="52"/>
        <w:numPr>
          <w:ilvl w:val="3"/>
          <w:numId w:val="3"/>
        </w:numPr>
        <w:ind w:left="1418" w:hanging="992"/>
        <w:rPr/>
      </w:pPr>
      <w:r>
        <w:rPr/>
        <w:t>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</w:r>
    </w:p>
    <w:p>
      <w:pPr>
        <w:pStyle w:val="52"/>
        <w:numPr>
          <w:ilvl w:val="3"/>
          <w:numId w:val="3"/>
        </w:numPr>
        <w:ind w:left="1418" w:hanging="992"/>
        <w:rPr/>
      </w:pPr>
      <w:bookmarkStart w:id="62" w:name="_Ref210581249"/>
      <w:r>
        <w:rPr>
          <w:u w:val="single"/>
        </w:rPr>
        <w:t>Для продукции, которая ранее изготавливалась</w:t>
      </w:r>
      <w:r>
        <w:rPr/>
        <w:t xml:space="preserve"> – копию действующей декларации о соответствии, в соответствии с Федеральным Законом от 27.12.2002 г. № 184-ФЗ «О техническом регулировании»,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соответствия».</w:t>
      </w:r>
      <w:bookmarkEnd w:id="62"/>
    </w:p>
    <w:p>
      <w:pPr>
        <w:pStyle w:val="52"/>
        <w:numPr>
          <w:ilvl w:val="0"/>
          <w:numId w:val="0"/>
        </w:numPr>
        <w:ind w:left="1418" w:hanging="0"/>
        <w:rPr/>
      </w:pPr>
      <w:bookmarkStart w:id="63" w:name="_Ref210581066"/>
      <w:r>
        <w:rPr/>
        <w:t>Декларация о соответствии должна иметь электронную регистрацию (статус действующего документа)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</w:t>
      </w:r>
      <w:bookmarkEnd w:id="63"/>
    </w:p>
    <w:p>
      <w:pPr>
        <w:pStyle w:val="52"/>
        <w:numPr>
          <w:ilvl w:val="0"/>
          <w:numId w:val="0"/>
        </w:numPr>
        <w:ind w:left="1418" w:hanging="0"/>
        <w:rPr/>
      </w:pPr>
      <w:r>
        <w:rPr/>
        <w:t>Высоковольтное оборудование должно иметь декларацию о соответствии (силовые трансформаторы ГОСТ Р 52719-2007, ГОСТ 1516.3-96, ГОСТ 12.2.007.2-75).</w:t>
      </w:r>
    </w:p>
    <w:p>
      <w:pPr>
        <w:pStyle w:val="Normal"/>
        <w:keepNext w:val="true"/>
        <w:spacing w:before="120" w:after="60"/>
        <w:ind w:left="1418" w:hanging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>При отсутствии прототипа</w:t>
      </w:r>
      <w:r>
        <w:rPr>
          <w:rFonts w:eastAsia="Calibri"/>
          <w:sz w:val="24"/>
          <w:szCs w:val="24"/>
        </w:rPr>
        <w:t xml:space="preserve"> – справка о том, что декларация (сертификат) о соответствии отсутствует с указанием причины (отсутствие прототипа).</w:t>
      </w:r>
    </w:p>
    <w:p>
      <w:pPr>
        <w:pStyle w:val="52"/>
        <w:numPr>
          <w:ilvl w:val="3"/>
          <w:numId w:val="3"/>
        </w:numPr>
        <w:ind w:left="1418" w:hanging="992"/>
        <w:rPr/>
      </w:pPr>
      <w:bookmarkStart w:id="64" w:name="_Ref210581275"/>
      <w:r>
        <w:rPr>
          <w:rFonts w:eastAsia="Times New Roman"/>
          <w:u w:val="single"/>
        </w:rPr>
        <w:t>Для продукции, которая ранее изготавливалась</w:t>
      </w:r>
      <w:r>
        <w:rPr>
          <w:rFonts w:eastAsia="Times New Roman"/>
        </w:rPr>
        <w:t xml:space="preserve"> – г</w:t>
      </w:r>
      <w:r>
        <w:rPr/>
        <w:t>абаритно-установочные чертежи с присоединительными и установочными размерами и размерами силового трансформатора.</w:t>
      </w:r>
      <w:bookmarkEnd w:id="64"/>
    </w:p>
    <w:p>
      <w:pPr>
        <w:pStyle w:val="52"/>
        <w:numPr>
          <w:ilvl w:val="0"/>
          <w:numId w:val="0"/>
        </w:numPr>
        <w:ind w:left="1418" w:hanging="0"/>
        <w:rPr/>
      </w:pPr>
      <w:r>
        <w:rPr>
          <w:u w:val="single"/>
        </w:rPr>
        <w:t>При отсутствии прототипа</w:t>
      </w:r>
      <w:r>
        <w:rPr/>
        <w:t xml:space="preserve"> – справка о том, что чертежи отсутствуют с указанием причины (отсутствие прототипа).</w:t>
      </w:r>
    </w:p>
    <w:p>
      <w:pPr>
        <w:pStyle w:val="52"/>
        <w:numPr>
          <w:ilvl w:val="3"/>
          <w:numId w:val="3"/>
        </w:numPr>
        <w:ind w:left="1418" w:hanging="992"/>
        <w:rPr/>
      </w:pPr>
      <w:bookmarkStart w:id="65" w:name="_Ref215221809"/>
      <w:bookmarkStart w:id="66" w:name="_Ref210581295"/>
      <w:r>
        <w:rPr>
          <w:u w:val="single"/>
        </w:rPr>
        <w:t>Для продукции, которая ранее изготавливалась</w:t>
      </w:r>
      <w:r>
        <w:rPr/>
        <w:t xml:space="preserve"> – копии протоколов испытаний в полном объеме на соответствующий прототип трансформатора, а именно: высоковольтных испытаний, на стойкость при коротких замыканиях (протокол распространения), испытаний масла, акустических испытаний, электрической прочности изоляции импульсными напряжениями (протокол распространения), испытания на безопасность, испытания и проверки комплектующих и приборов, проведенных в аккредитованной испытательной лаборатории, подтверждающих соответствие оборудования требованиям ГОСТ Р 52719-2007</w:t>
      </w:r>
      <w:bookmarkEnd w:id="66"/>
      <w:r>
        <w:rPr/>
        <w:t>.</w:t>
      </w:r>
      <w:bookmarkEnd w:id="65"/>
    </w:p>
    <w:p>
      <w:pPr>
        <w:pStyle w:val="52"/>
        <w:numPr>
          <w:ilvl w:val="0"/>
          <w:numId w:val="0"/>
        </w:numPr>
        <w:ind w:left="1418" w:hanging="0"/>
        <w:rPr/>
      </w:pPr>
      <w:r>
        <w:rPr/>
        <w:t>Документы должны содержать вывод о том, что предлагаемый силовой трансформатор выдержал приемку в части проведенных испытаний.</w:t>
      </w:r>
    </w:p>
    <w:p>
      <w:pPr>
        <w:pStyle w:val="52"/>
        <w:numPr>
          <w:ilvl w:val="0"/>
          <w:numId w:val="0"/>
        </w:numPr>
        <w:ind w:left="1418" w:hanging="0"/>
        <w:rPr/>
      </w:pPr>
      <w:r>
        <w:rPr>
          <w:i/>
          <w:sz w:val="20"/>
          <w:szCs w:val="20"/>
        </w:rPr>
        <w:t xml:space="preserve">*Примечание (в части проведения испытаний трансформатора на стойкость при коротких замыканиях). </w:t>
      </w:r>
      <w:r>
        <w:rPr>
          <w:sz w:val="20"/>
          <w:szCs w:val="20"/>
        </w:rPr>
        <w:t>Согласно п. 9.3.2.4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ГОСТ Р 52719-2007 предоставляется: протокол испытаний на стойкость при коротких замыканиях или расчетное сравнение на стойкость при коротких замыканиях на предлагаемые силовые трансформаторы (документы должны содержать вывод о том, что предлагаемый силовой трансформатор выдержал приемку в части проведенных испытаний</w:t>
      </w:r>
      <w:r>
        <w:rPr/>
        <w:t>).</w:t>
      </w:r>
    </w:p>
    <w:p>
      <w:pPr>
        <w:pStyle w:val="52"/>
        <w:numPr>
          <w:ilvl w:val="0"/>
          <w:numId w:val="0"/>
        </w:numPr>
        <w:ind w:left="1418" w:hanging="0"/>
        <w:rPr/>
      </w:pPr>
      <w:r>
        <w:rPr>
          <w:u w:val="single"/>
        </w:rPr>
        <w:t>При отсутствии прототипа</w:t>
      </w:r>
      <w:r>
        <w:rPr/>
        <w:t xml:space="preserve"> – справка о том, что протоколы испытаний отсутствуют с указанием причины (отсутствие прототипа).</w:t>
      </w:r>
    </w:p>
    <w:p>
      <w:pPr>
        <w:pStyle w:val="52"/>
        <w:numPr>
          <w:ilvl w:val="3"/>
          <w:numId w:val="3"/>
        </w:numPr>
        <w:ind w:left="1418" w:hanging="992"/>
        <w:rPr/>
      </w:pPr>
      <w:bookmarkStart w:id="67" w:name="_Ref210581359"/>
      <w:r>
        <w:rPr>
          <w:rFonts w:eastAsia="Times New Roman"/>
          <w:bCs/>
          <w:u w:val="single"/>
        </w:rPr>
        <w:t>Для продукции, которая ранее изготавливалась (по техническим условиям)</w:t>
      </w:r>
      <w:r>
        <w:rPr>
          <w:rFonts w:eastAsia="Times New Roman"/>
          <w:bCs/>
        </w:rPr>
        <w:t xml:space="preserve"> – о</w:t>
      </w:r>
      <w:r>
        <w:rPr/>
        <w:t>тсканированные копии утвержденных технических условий (все страницы документа) в соответствии с которыми выпускается силовой трансформатор.</w:t>
      </w:r>
      <w:bookmarkEnd w:id="67"/>
    </w:p>
    <w:p>
      <w:pPr>
        <w:pStyle w:val="52"/>
        <w:numPr>
          <w:ilvl w:val="0"/>
          <w:numId w:val="0"/>
        </w:numPr>
        <w:ind w:left="1418" w:hanging="0"/>
        <w:rPr/>
      </w:pPr>
      <w:r>
        <w:rPr>
          <w:bCs/>
          <w:u w:val="single"/>
        </w:rPr>
        <w:t>При отсутствии прототипа или если продукция ранее изготавливалась по ГОСТ (а не по техническим условиям)</w:t>
      </w:r>
      <w:r>
        <w:rPr>
          <w:bCs/>
        </w:rPr>
        <w:t xml:space="preserve"> – справка о том, что технические условия отсутствуют с указанием соответствующей причины.</w:t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60" w:charSpace="0"/>
        </w:sectPr>
        <w:pStyle w:val="52"/>
        <w:numPr>
          <w:ilvl w:val="3"/>
          <w:numId w:val="3"/>
        </w:numPr>
        <w:ind w:left="1418" w:hanging="992"/>
        <w:rPr/>
      </w:pPr>
      <w:r>
        <w:rPr/>
        <w:t>Документы, подтверждающие страну происхождения поставляемой продукции в соответствии с нормами постановления Правительства Российской Федерации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 декабря 2024 г. № 1875.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rStyle w:val="Style11"/>
          <w:b w:val="false"/>
          <w:bCs/>
          <w:iCs/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u w:val="none"/>
        <w:iCs w:val="false"/>
        <w:vanish w:val="false"/>
        <w:rFonts w:ascii="Times New Roman" w:hAnsi="Times New Roman" w:cs="Times New Roman"/>
        <w14:ligatures w14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67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9">
    <w:lvl w:ilvl="0">
      <w:start w:val="1"/>
      <w:numFmt w:val="russianLower"/>
      <w:lvlText w:val="%1)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d0ab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</w:numPr>
      <w:ind w:left="426" w:hanging="0"/>
      <w:jc w:val="center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3"/>
      </w:numPr>
      <w:spacing w:before="120" w:after="60"/>
      <w:jc w:val="both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Style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Style1" w:customStyle="1">
    <w:name w:val="Нижний колонтитул Знак"/>
    <w:basedOn w:val="DefaultParagraphFont"/>
    <w:uiPriority w:val="99"/>
    <w:qFormat/>
    <w:rPr/>
  </w:style>
  <w:style w:type="character" w:styleId="Style2" w:customStyle="1">
    <w:name w:val="Название объекта Знак"/>
    <w:basedOn w:val="DefaultParagraphFont"/>
    <w:link w:val="Caption1"/>
    <w:uiPriority w:val="35"/>
    <w:qFormat/>
    <w:rPr>
      <w:b/>
      <w:bCs/>
      <w:color w:val="4472C4" w:themeColor="accent1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3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Annotationreference">
    <w:name w:val="annotation reference"/>
    <w:uiPriority w:val="99"/>
    <w:qFormat/>
    <w:rPr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4" w:customStyle="1">
    <w:name w:val="Название Знак"/>
    <w:link w:val="15"/>
    <w:uiPriority w:val="10"/>
    <w:qFormat/>
    <w:rPr>
      <w:sz w:val="28"/>
    </w:rPr>
  </w:style>
  <w:style w:type="character" w:styleId="Style5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21" w:customStyle="1">
    <w:name w:val="Цитата 2 Знак"/>
    <w:link w:val="Quote"/>
    <w:uiPriority w:val="29"/>
    <w:qFormat/>
    <w:rPr>
      <w:rFonts w:ascii="Calibri" w:hAnsi="Calibri" w:eastAsia="Calibri"/>
      <w:i/>
      <w:iCs/>
      <w:color w:val="000000"/>
    </w:rPr>
  </w:style>
  <w:style w:type="character" w:styleId="Style6" w:customStyle="1">
    <w:name w:val="Выделенная цитата Знак"/>
    <w:link w:val="IntenseQuote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7" w:customStyle="1">
    <w:name w:val="Электронная подпись Знак"/>
    <w:link w:val="E-mailSignature"/>
    <w:uiPriority w:val="99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7"/>
    <w:qFormat/>
    <w:rPr>
      <w:sz w:val="28"/>
    </w:rPr>
  </w:style>
  <w:style w:type="character" w:styleId="Style8" w:customStyle="1">
    <w:name w:val="Текст сноски Знак"/>
    <w:qFormat/>
    <w:rPr/>
  </w:style>
  <w:style w:type="character" w:styleId="Style9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10" w:customStyle="1">
    <w:name w:val="Абзац списка Знак"/>
    <w:link w:val="ListParagraph"/>
    <w:uiPriority w:val="34"/>
    <w:qFormat/>
    <w:rPr>
      <w:rFonts w:eastAsia="Calibri"/>
      <w:sz w:val="24"/>
      <w:szCs w:val="24"/>
    </w:rPr>
  </w:style>
  <w:style w:type="character" w:styleId="Style11" w:customStyle="1">
    <w:name w:val="комментарий"/>
    <w:qFormat/>
    <w:rPr>
      <w:b/>
      <w:i/>
      <w:shd w:fill="FFFF99" w:val="clear"/>
    </w:rPr>
  </w:style>
  <w:style w:type="character" w:styleId="Style12" w:customStyle="1">
    <w:name w:val="Подподпункт Знак"/>
    <w:link w:val="Style35"/>
    <w:qFormat/>
    <w:rPr>
      <w:sz w:val="26"/>
      <w:szCs w:val="26"/>
    </w:rPr>
  </w:style>
  <w:style w:type="character" w:styleId="31" w:customStyle="1">
    <w:name w:val="УРОВЕНЬ_Абзац_тип3 Знак"/>
    <w:link w:val="37"/>
    <w:qFormat/>
    <w:rPr>
      <w:rFonts w:eastAsia="Calibri"/>
      <w:sz w:val="26"/>
      <w:szCs w:val="28"/>
      <w:lang w:eastAsia="en-US"/>
    </w:rPr>
  </w:style>
  <w:style w:type="character" w:styleId="Style13" w:customStyle="1">
    <w:name w:val="Верхний колонтитул Знак"/>
    <w:uiPriority w:val="99"/>
    <w:qFormat/>
    <w:rPr>
      <w:sz w:val="24"/>
      <w:szCs w:val="24"/>
    </w:rPr>
  </w:style>
  <w:style w:type="character" w:styleId="Style14" w:customStyle="1">
    <w:name w:val="Текст примечания Знак"/>
    <w:link w:val="Annotationtext"/>
    <w:qFormat/>
    <w:rPr/>
  </w:style>
  <w:style w:type="character" w:styleId="Style15" w:customStyle="1">
    <w:name w:val="Текст концевой сноски Знак"/>
    <w:basedOn w:val="DefaultParagraphFont"/>
    <w:qFormat/>
    <w:rPr/>
  </w:style>
  <w:style w:type="character" w:styleId="Style16">
    <w:name w:val="Символ концевой сноски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ConsPlusNormal" w:customStyle="1">
    <w:name w:val="ConsPlusNormal Знак"/>
    <w:link w:val="ConsPlusNormal1"/>
    <w:qFormat/>
    <w:rPr>
      <w:rFonts w:ascii="Arial" w:hAnsi="Arial" w:cs="Arial"/>
    </w:rPr>
  </w:style>
  <w:style w:type="character" w:styleId="Style17" w:customStyle="1">
    <w:name w:val="курсив ТТ Знак"/>
    <w:basedOn w:val="DefaultParagraphFont"/>
    <w:link w:val="Style39"/>
    <w:qFormat/>
    <w:rPr>
      <w:iCs/>
      <w:sz w:val="24"/>
      <w:szCs w:val="24"/>
    </w:rPr>
  </w:style>
  <w:style w:type="character" w:styleId="Style18" w:customStyle="1">
    <w:name w:val="НТ Знак"/>
    <w:basedOn w:val="DefaultParagraphFont"/>
    <w:link w:val="Style40"/>
    <w:qFormat/>
    <w:rPr>
      <w:b/>
      <w:sz w:val="24"/>
      <w:szCs w:val="24"/>
    </w:rPr>
  </w:style>
  <w:style w:type="character" w:styleId="Style19" w:customStyle="1">
    <w:name w:val="На) Знак"/>
    <w:basedOn w:val="Style10"/>
    <w:link w:val="Style41"/>
    <w:qFormat/>
    <w:rPr>
      <w:rFonts w:eastAsia="Calibri"/>
      <w:sz w:val="24"/>
      <w:szCs w:val="24"/>
    </w:rPr>
  </w:style>
  <w:style w:type="character" w:styleId="51" w:customStyle="1">
    <w:name w:val="Н5 Знак"/>
    <w:basedOn w:val="3"/>
    <w:link w:val="52"/>
    <w:qFormat/>
    <w:rPr>
      <w:rFonts w:eastAsia="Calibri"/>
      <w:b w:val="false"/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33" w:customStyle="1">
    <w:name w:val="Основной текст 3 Знак"/>
    <w:basedOn w:val="DefaultParagraphFont"/>
    <w:link w:val="BodyText3"/>
    <w:qFormat/>
    <w:rPr>
      <w:sz w:val="16"/>
      <w:szCs w:val="16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20">
    <w:name w:val="Ссылка указателя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9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3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24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5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8"/>
    <w:pPr/>
    <w:rPr>
      <w:sz w:val="20"/>
      <w:szCs w:val="20"/>
    </w:rPr>
  </w:style>
  <w:style w:type="paragraph" w:styleId="14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4"/>
    <w:uiPriority w:val="10"/>
    <w:qFormat/>
    <w:pPr>
      <w:jc w:val="center"/>
    </w:pPr>
    <w:rPr>
      <w:szCs w:val="20"/>
    </w:rPr>
  </w:style>
  <w:style w:type="paragraph" w:styleId="Style26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3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7" w:customStyle="1">
    <w:name w:val="Подпункт"/>
    <w:basedOn w:val="Normal"/>
    <w:link w:val="11"/>
    <w:qFormat/>
    <w:pPr>
      <w:tabs>
        <w:tab w:val="clear" w:pos="709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9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28" w:customStyle="1">
    <w:name w:val="Раздел регламента"/>
    <w:basedOn w:val="Normal"/>
    <w:qFormat/>
    <w:pPr/>
    <w:rPr/>
  </w:style>
  <w:style w:type="paragraph" w:styleId="Style29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uiPriority w:val="39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4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uiPriority w:val="39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30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link w:val="Style2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5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10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7"/>
    <w:uiPriority w:val="99"/>
    <w:unhideWhenUsed/>
    <w:qFormat/>
    <w:pPr/>
    <w:rPr>
      <w:rFonts w:eastAsia="Calibri"/>
      <w:sz w:val="24"/>
      <w:szCs w:val="24"/>
    </w:rPr>
  </w:style>
  <w:style w:type="paragraph" w:styleId="Style31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3" w:customStyle="1">
    <w:name w:val="List 3"/>
    <w:basedOn w:val="Normal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2" w:customStyle="1">
    <w:name w:val="Пункт"/>
    <w:basedOn w:val="Normal"/>
    <w:qFormat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3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Подподпункт"/>
    <w:basedOn w:val="Style27"/>
    <w:link w:val="Style12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36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7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9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EndnoteText">
    <w:name w:val="Endnote Text"/>
    <w:basedOn w:val="Normal"/>
    <w:link w:val="Style15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Style38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pPr>
      <w:spacing w:beforeAutospacing="1" w:afterAutospacing="1"/>
    </w:pPr>
    <w:rPr>
      <w:sz w:val="24"/>
      <w:szCs w:val="24"/>
    </w:rPr>
  </w:style>
  <w:style w:type="paragraph" w:styleId="ListNum" w:customStyle="1">
    <w:name w:val="ListNum"/>
    <w:qFormat/>
    <w:pPr>
      <w:widowControl w:val="false"/>
      <w:pBdr/>
      <w:tabs>
        <w:tab w:val="clear" w:pos="709"/>
        <w:tab w:val="left" w:pos="284" w:leader="none"/>
        <w:tab w:val="left" w:pos="1260" w:leader="none"/>
      </w:tabs>
      <w:bidi w:val="0"/>
      <w:spacing w:before="60" w:after="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ru-RU" w:eastAsia="ru-RU" w:bidi="ar-SA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9" w:customStyle="1">
    <w:name w:val="курсив ТТ"/>
    <w:basedOn w:val="Normal"/>
    <w:link w:val="Style17"/>
    <w:qFormat/>
    <w:pPr/>
    <w:rPr>
      <w:iCs/>
      <w:sz w:val="24"/>
      <w:szCs w:val="24"/>
    </w:rPr>
  </w:style>
  <w:style w:type="paragraph" w:styleId="Style40" w:customStyle="1">
    <w:name w:val="НТ"/>
    <w:basedOn w:val="Normal"/>
    <w:link w:val="Style18"/>
    <w:qFormat/>
    <w:pPr/>
    <w:rPr>
      <w:b/>
      <w:sz w:val="24"/>
      <w:szCs w:val="24"/>
    </w:rPr>
  </w:style>
  <w:style w:type="paragraph" w:styleId="Style41" w:customStyle="1">
    <w:name w:val="На)"/>
    <w:basedOn w:val="ListParagraph"/>
    <w:link w:val="Style19"/>
    <w:qFormat/>
    <w:pPr>
      <w:numPr>
        <w:ilvl w:val="0"/>
        <w:numId w:val="9"/>
      </w:numPr>
    </w:pPr>
    <w:rPr/>
  </w:style>
  <w:style w:type="paragraph" w:styleId="52" w:customStyle="1">
    <w:name w:val="Н5"/>
    <w:basedOn w:val="Heading3"/>
    <w:link w:val="51"/>
    <w:qFormat/>
    <w:pPr>
      <w:numPr>
        <w:ilvl w:val="3"/>
      </w:numPr>
      <w:outlineLvl w:val="9"/>
    </w:pPr>
    <w:rPr>
      <w:b w:val="false"/>
    </w:rPr>
  </w:style>
  <w:style w:type="paragraph" w:styleId="ConsPlusNonformat" w:customStyle="1">
    <w:name w:val="ConsPlusNonformat"/>
    <w:qFormat/>
    <w:pPr>
      <w:widowControl/>
      <w:pBdr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0"/>
      <w:sz w:val="20"/>
      <w:szCs w:val="20"/>
      <w:lang w:eastAsia="zh-CN" w:val="ru-RU" w:bidi="ar-SA"/>
    </w:rPr>
  </w:style>
  <w:style w:type="paragraph" w:styleId="110" w:customStyle="1">
    <w:name w:val="Цитата1"/>
    <w:qFormat/>
    <w:pPr>
      <w:widowControl w:val="false"/>
      <w:pBdr/>
      <w:shd w:val="clear" w:color="auto" w:fill="FFFFFF"/>
      <w:tabs>
        <w:tab w:val="clear" w:pos="709"/>
        <w:tab w:val="left" w:pos="2635" w:leader="none"/>
      </w:tabs>
      <w:bidi w:val="0"/>
      <w:spacing w:lineRule="exact" w:line="278" w:before="5" w:after="0"/>
      <w:ind w:left="725" w:right="2650" w:firstLine="485"/>
      <w:jc w:val="center"/>
    </w:pPr>
    <w:rPr>
      <w:rFonts w:ascii="Times New Roman" w:hAnsi="Times New Roman" w:eastAsia="Times New Roman" w:cs="Times New Roman"/>
      <w:b/>
      <w:bCs/>
      <w:color w:val="000000"/>
      <w:spacing w:val="-8"/>
      <w:kern w:val="0"/>
      <w:sz w:val="28"/>
      <w:szCs w:val="24"/>
      <w:u w:val="single"/>
      <w:lang w:val="ru-RU" w:eastAsia="ru-RU" w:bidi="ar-SA"/>
    </w:rPr>
  </w:style>
  <w:style w:type="paragraph" w:styleId="Style42">
    <w:name w:val="Содержимое врезки"/>
    <w:basedOn w:val="Normal"/>
    <w:qFormat/>
    <w:pPr/>
    <w:rPr/>
  </w:style>
  <w:style w:type="paragraph" w:styleId="Style43">
    <w:name w:val="Содержимое таблицы"/>
    <w:basedOn w:val="Normal"/>
    <w:qFormat/>
    <w:pPr>
      <w:widowControl w:val="false"/>
      <w:suppressLineNumbers/>
    </w:pPr>
    <w:rPr/>
  </w:style>
  <w:style w:type="paragraph" w:styleId="Style44">
    <w:name w:val="Заголовок таблицы"/>
    <w:basedOn w:val="Style4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</w:style>
  <w:style w:type="numbering" w:styleId="29" w:customStyle="1">
    <w:name w:val="Стиль2"/>
    <w:uiPriority w:val="99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5">
    <w:name w:val="Plain Table 2"/>
    <w:basedOn w:val="a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3">
    <w:name w:val="Plain Table 3"/>
    <w:basedOn w:val="a6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6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-Accent1">
    <w:name w:val="Grid Table 5 Dark- Accent 1"/>
    <w:basedOn w:val="a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6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6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styleId="-7">
    <w:name w:val="Grid Table 7 Colorful"/>
    <w:basedOn w:val="a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6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6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4">
    <w:name w:val="List Table 2 - Accent 4"/>
    <w:basedOn w:val="a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6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6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">
    <w:name w:val="List Table 5 Dark"/>
    <w:basedOn w:val="a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6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6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6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6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ned-Accent">
    <w:name w:val="Lined - Accent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6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7">
    <w:name w:val="Table Grid"/>
    <w:basedOn w:val="a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d">
    <w:name w:val="Сетка таблицы1"/>
    <w:basedOn w:val="a6"/>
    <w:uiPriority w:val="39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-50">
    <w:name w:val="Grid Table 5 Dark"/>
    <w:basedOn w:val="a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2f">
    <w:name w:val="Сетка таблицы2"/>
    <w:basedOn w:val="a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ListTable2-Accent3">
    <w:name w:val="List Table 2 - Accent 3"/>
    <w:basedOn w:val="a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7Colorful-Accent6">
    <w:name w:val="List Table 7 Colorful - Accent 6"/>
    <w:basedOn w:val="a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9EA2-5C45-43DC-A4B2-B0B3095D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AlterOffice/3.4.0.9$Linux_X86_64 LibreOffice_project/b8daf9e823b1a5463a2f48435ddc2e8696e7d4fc</Application>
  <AppVersion>15.0000</AppVersion>
  <Pages>27</Pages>
  <Words>3994</Words>
  <Characters>26349</Characters>
  <CharactersWithSpaces>28975</CharactersWithSpaces>
  <Paragraphs>835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2026-06-22T06:54:00Z</dcterms:created>
  <dc:creator>Быстров Олег Геннадьевич</dc:creator>
  <dc:description/>
  <dc:language>ru-RU</dc:language>
  <cp:lastModifiedBy>buzunovav@Elektra.local</cp:lastModifiedBy>
  <dcterms:modified xsi:type="dcterms:W3CDTF">2026-06-23T17:38:20Z</dcterms:modified>
  <cp:revision>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