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highlight w:val="none"/>
          <w:shd w:fill="auto" w:val="clear"/>
        </w:rPr>
      </w:pPr>
      <w:bookmarkStart w:id="0" w:name="_GoBack"/>
      <w:bookmarkEnd w:id="0"/>
      <w:r>
        <w:rPr>
          <w:sz w:val="24"/>
          <w:shd w:fill="auto" w:val="clear"/>
        </w:rPr>
        <w:t>Договор поставки № _______</w:t>
      </w:r>
    </w:p>
    <w:p>
      <w:pPr>
        <w:pStyle w:val="Normal"/>
        <w:shd w:val="clear" w:color="auto" w:fill="FFFFFF"/>
        <w:spacing w:before="0" w:after="120"/>
        <w:rPr>
          <w:highlight w:val="none"/>
          <w:shd w:fill="auto" w:val="clear"/>
        </w:rPr>
      </w:pPr>
      <w:r>
        <w:rPr>
          <w:sz w:val="24"/>
          <w:szCs w:val="24"/>
          <w:shd w:fill="auto" w:val="clear"/>
        </w:rPr>
        <w:t>г._______________</w:t>
        <w:tab/>
        <w:tab/>
        <w:tab/>
        <w:tab/>
        <w:tab/>
        <w:tab/>
        <w:t xml:space="preserve"> </w:t>
        <w:tab/>
        <w:t>«___» __________ 2025 г.</w:t>
      </w:r>
    </w:p>
    <w:p>
      <w:pPr>
        <w:pStyle w:val="Normal"/>
        <w:shd w:val="clear" w:color="auto" w:fill="FFFFFF"/>
        <w:spacing w:before="0" w:after="120"/>
        <w:ind w:firstLine="567"/>
        <w:jc w:val="both"/>
        <w:rPr>
          <w:sz w:val="24"/>
          <w:szCs w:val="24"/>
          <w:highlight w:val="none"/>
          <w:shd w:fill="auto" w:val="clear"/>
        </w:rPr>
      </w:pPr>
      <w:r>
        <w:rPr>
          <w:sz w:val="24"/>
          <w:szCs w:val="24"/>
          <w:shd w:fill="auto" w:val="clear"/>
        </w:rPr>
      </w:r>
    </w:p>
    <w:p>
      <w:pPr>
        <w:pStyle w:val="Normal"/>
        <w:spacing w:before="0" w:after="120"/>
        <w:ind w:firstLine="567"/>
        <w:jc w:val="both"/>
        <w:rPr>
          <w:highlight w:val="none"/>
          <w:shd w:fill="auto" w:val="clear"/>
        </w:rPr>
      </w:pPr>
      <w:r>
        <w:rPr>
          <w:b/>
          <w:sz w:val="24"/>
          <w:szCs w:val="24"/>
          <w:shd w:fill="auto" w:val="clear"/>
        </w:rPr>
        <w:t xml:space="preserve">Акционерное общество «Гидроремонт-ВКК» (АО «Гидроремонт-ВКК»), </w:t>
      </w:r>
      <w:r>
        <w:rPr>
          <w:sz w:val="24"/>
          <w:szCs w:val="24"/>
          <w:shd w:fill="auto" w:val="clear"/>
        </w:rPr>
        <w:t>именуемое в дальнейшем «</w:t>
      </w:r>
      <w:r>
        <w:rPr>
          <w:b/>
          <w:sz w:val="24"/>
          <w:szCs w:val="24"/>
          <w:shd w:fill="auto" w:val="clear"/>
        </w:rPr>
        <w:t>Покупатель</w:t>
      </w:r>
      <w:r>
        <w:rPr>
          <w:sz w:val="24"/>
          <w:szCs w:val="24"/>
          <w:shd w:fill="auto" w:val="clear"/>
        </w:rPr>
        <w:t>», в лице _________________, действующего на основании ______________,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проведенного ____________(</w:t>
      </w:r>
      <w:r>
        <w:rPr>
          <w:i/>
          <w:sz w:val="24"/>
          <w:szCs w:val="24"/>
          <w:shd w:fill="auto" w:val="clear"/>
        </w:rPr>
        <w:t>указывается закупочная процедура</w:t>
      </w:r>
      <w:r>
        <w:rPr>
          <w:sz w:val="24"/>
          <w:szCs w:val="24"/>
          <w:shd w:fill="auto" w:val="clear"/>
        </w:rPr>
        <w:t xml:space="preserve">), что подтверждается Протоколом №____ от </w:t>
      </w:r>
      <w:r>
        <w:rPr>
          <w:bCs/>
          <w:sz w:val="24"/>
          <w:szCs w:val="24"/>
          <w:shd w:fill="auto" w:val="clear"/>
        </w:rPr>
        <w:t>«_____» _________ 20 __ г.,</w:t>
      </w:r>
      <w:r>
        <w:rPr>
          <w:sz w:val="24"/>
          <w:szCs w:val="24"/>
          <w:shd w:fill="auto" w:val="clear"/>
        </w:rPr>
        <w:t xml:space="preserve"> </w:t>
      </w:r>
    </w:p>
    <w:p>
      <w:pPr>
        <w:pStyle w:val="Normal"/>
        <w:spacing w:before="0" w:after="120"/>
        <w:ind w:firstLine="567"/>
        <w:jc w:val="both"/>
        <w:rPr>
          <w:highlight w:val="none"/>
          <w:shd w:fill="auto" w:val="clear"/>
        </w:rPr>
      </w:pPr>
      <w:r>
        <w:rPr>
          <w:sz w:val="24"/>
          <w:szCs w:val="24"/>
          <w:shd w:fill="auto" w:val="clear"/>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highlight w:val="none"/>
          <w:shd w:fill="auto" w:val="clear"/>
        </w:rPr>
      </w:pPr>
      <w:r>
        <w:rPr>
          <w:b w:val="false"/>
          <w:sz w:val="24"/>
          <w:shd w:fill="auto" w:val="clear"/>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shd w:fill="auto" w:val="clear"/>
        </w:rPr>
        <w:t>Приложение № 1</w:t>
      </w:r>
      <w:r>
        <w:rPr>
          <w:b w:val="false"/>
          <w:sz w:val="24"/>
          <w:shd w:fill="auto" w:val="clear"/>
        </w:rPr>
        <w:t>) и техническими требованиями (</w:t>
      </w:r>
      <w:r>
        <w:rPr>
          <w:sz w:val="24"/>
          <w:shd w:fill="auto" w:val="clear"/>
        </w:rPr>
        <w:t>Приложение № 3</w:t>
      </w:r>
      <w:r>
        <w:rPr>
          <w:b w:val="false"/>
          <w:sz w:val="24"/>
          <w:shd w:fill="auto"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shd w:fill="auto" w:val="clear"/>
        </w:rPr>
        <w:t>Приложения № 2</w:t>
      </w:r>
      <w:r>
        <w:rPr>
          <w:sz w:val="24"/>
          <w:szCs w:val="24"/>
          <w:shd w:fill="auto" w:val="clear"/>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shd w:fill="auto" w:val="clear"/>
        </w:rPr>
        <w:t>Приложение № 1</w:t>
      </w:r>
      <w:r>
        <w:rPr>
          <w:sz w:val="24"/>
          <w:szCs w:val="24"/>
          <w:shd w:fill="auto" w:val="clear"/>
        </w:rPr>
        <w:t>).</w:t>
      </w:r>
    </w:p>
    <w:p>
      <w:pPr>
        <w:pStyle w:val="Normal"/>
        <w:shd w:val="clear" w:color="auto" w:fill="FFFFFF"/>
        <w:tabs>
          <w:tab w:val="clear" w:pos="720"/>
          <w:tab w:val="left" w:pos="540" w:leader="none"/>
        </w:tabs>
        <w:spacing w:before="0" w:after="120"/>
        <w:jc w:val="both"/>
        <w:rPr>
          <w:highlight w:val="none"/>
          <w:shd w:fill="auto" w:val="clear"/>
        </w:rPr>
      </w:pPr>
      <w:r>
        <w:rPr>
          <w:sz w:val="24"/>
          <w:szCs w:val="24"/>
          <w:shd w:fill="auto" w:val="clear"/>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highlight w:val="none"/>
          <w:shd w:fill="auto" w:val="clear"/>
        </w:rPr>
      </w:pPr>
      <w:r>
        <w:rPr>
          <w:sz w:val="24"/>
          <w:szCs w:val="24"/>
          <w:shd w:fill="auto" w:val="clear"/>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Поставка по Договору выполняется для нужд </w:t>
      </w:r>
      <w:r>
        <w:rPr>
          <w:bCs/>
          <w:sz w:val="24"/>
          <w:szCs w:val="24"/>
          <w:shd w:fill="auto" w:val="clear"/>
        </w:rPr>
        <w:t>для нужд АО «Усть-Среднеканская ГЭС им. А.Ф. Дьякова»</w:t>
      </w:r>
      <w:r>
        <w:rPr>
          <w:sz w:val="24"/>
          <w:szCs w:val="24"/>
          <w:shd w:fill="auto" w:val="clear"/>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Место поставки: РФ, </w:t>
      </w:r>
      <w:r>
        <w:rPr>
          <w:bCs/>
          <w:sz w:val="24"/>
          <w:szCs w:val="24"/>
          <w:shd w:fill="auto" w:val="clear"/>
        </w:rPr>
        <w:t>Магаданская область, Среднеканский район, Усть-Среднеканская ГЭС</w:t>
      </w:r>
      <w:r>
        <w:rPr>
          <w:sz w:val="24"/>
          <w:szCs w:val="24"/>
          <w:shd w:fill="auto" w:val="clear"/>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Цена Договора включает в себя: </w:t>
      </w:r>
    </w:p>
    <w:p>
      <w:pPr>
        <w:pStyle w:val="Normal"/>
        <w:tabs>
          <w:tab w:val="clear" w:pos="720"/>
          <w:tab w:val="left" w:pos="851" w:leader="none"/>
        </w:tabs>
        <w:spacing w:before="0" w:after="120"/>
        <w:jc w:val="both"/>
        <w:rPr>
          <w:highlight w:val="none"/>
          <w:shd w:fill="auto" w:val="clear"/>
        </w:rPr>
      </w:pPr>
      <w:r>
        <w:rPr>
          <w:sz w:val="24"/>
          <w:szCs w:val="24"/>
          <w:shd w:fill="auto" w:val="clear"/>
        </w:rPr>
        <w:tab/>
        <w:t>(</w:t>
      </w:r>
      <w:r>
        <w:rPr>
          <w:i/>
          <w:sz w:val="24"/>
          <w:szCs w:val="24"/>
          <w:shd w:fill="auto" w:val="clear"/>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Normal"/>
        <w:tabs>
          <w:tab w:val="clear" w:pos="720"/>
          <w:tab w:val="left" w:pos="0" w:leader="none"/>
          <w:tab w:val="left" w:pos="851" w:leader="none"/>
        </w:tabs>
        <w:spacing w:before="0" w:after="120"/>
        <w:ind w:firstLine="567"/>
        <w:jc w:val="both"/>
        <w:rPr>
          <w:highlight w:val="none"/>
          <w:shd w:fill="auto" w:val="clear"/>
        </w:rPr>
      </w:pPr>
      <w:r>
        <w:rPr>
          <w:bCs/>
          <w:sz w:val="24"/>
          <w:szCs w:val="24"/>
          <w:shd w:fill="auto"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Цена единицы Продукции определена в Спецификации и является твердой.</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Стоимость партии Продукции определяется Заявкой (по форме </w:t>
      </w:r>
      <w:r>
        <w:rPr>
          <w:b/>
          <w:sz w:val="24"/>
          <w:szCs w:val="24"/>
          <w:shd w:fill="auto" w:val="clear"/>
        </w:rPr>
        <w:t>Приложения № 2</w:t>
      </w:r>
      <w:r>
        <w:rPr>
          <w:sz w:val="24"/>
          <w:szCs w:val="24"/>
          <w:shd w:fill="auto"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2.5.1. Авансовый платеж в размере 30 % от стоимости партии Продукции без учета НДС, кроме того НДС по ставке, установленной статьей 164 НК РФ на дату выплаты авансового платежа, согласно Заявке, подписанной с 2-х сторон,  выплачивается Покупателем при условии согласования Сторонами Спецификации в соответствии с пунктом 2.3 Договора в срок, не превышающий 30 (тридцать) календарных дней с даты подписания Заявки на соответствующую партию продукции и получения Покупателем уведомления от Поставщика о начале изготовления Продукции, но не ранее чем за 30 календарных дней до планируемой даты поставки, указанной в Заявке,  при условии получения Покупателем счета, выставленного Поставщиком. Авансовый платеж засчитывается в счет оплаты соответствующей партии Продукции.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2.5.2. Платеж в размере 60 % от стоимости поставленной партии Продукции, согласно Заявке, производится Покупателем в течение 30 (тридцати) календарных дней с даты подписания Товарной накладной по форме ТОРГ-12, при условии получении счета, выставленного Поставщиком.</w:t>
      </w:r>
      <w:r>
        <w:rPr>
          <w:shd w:fill="auto" w:val="clear"/>
        </w:rPr>
        <w:t xml:space="preserve"> П</w:t>
      </w:r>
      <w:r>
        <w:rPr>
          <w:sz w:val="24"/>
          <w:szCs w:val="24"/>
          <w:shd w:fill="auto" w:val="clear"/>
        </w:rPr>
        <w:t>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2.5.3. Обеспечительный платеж в размере 10 (десять)</w:t>
      </w:r>
      <w:r>
        <w:rPr>
          <w:i/>
          <w:sz w:val="24"/>
          <w:szCs w:val="24"/>
          <w:shd w:fill="auto" w:val="clear"/>
        </w:rPr>
        <w:t xml:space="preserve"> </w:t>
      </w:r>
      <w:r>
        <w:rPr>
          <w:sz w:val="24"/>
          <w:szCs w:val="24"/>
          <w:shd w:fill="auto" w:val="clear"/>
        </w:rPr>
        <w:t>%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 на основании счета, выставленного Поставщиком.</w:t>
      </w:r>
      <w:r>
        <w:rPr>
          <w:shd w:fill="auto" w:val="clear"/>
        </w:rPr>
        <w:t xml:space="preserve"> </w:t>
      </w:r>
    </w:p>
    <w:p>
      <w:pPr>
        <w:pStyle w:val="ListParagraph"/>
        <w:widowControl w:val="false"/>
        <w:shd w:val="clear" w:color="auto" w:fill="FFFFFF"/>
        <w:suppressAutoHyphens w:val="true"/>
        <w:bidi w:val="0"/>
        <w:spacing w:before="0" w:after="120"/>
        <w:ind w:left="0" w:right="0" w:firstLine="567"/>
        <w:contextualSpacing w:val="false"/>
        <w:jc w:val="both"/>
        <w:rPr>
          <w:highlight w:val="none"/>
          <w:shd w:fill="auto" w:val="clear"/>
        </w:rPr>
      </w:pPr>
      <w:r>
        <w:rPr>
          <w:sz w:val="24"/>
          <w:szCs w:val="24"/>
          <w:shd w:fill="auto" w:val="clear"/>
        </w:rPr>
        <w:tab/>
        <w:t>2.5.4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auto" w:val="clear"/>
          <w:vertAlign w:val="superscript"/>
        </w:rPr>
        <w:t xml:space="preserve"> </w:t>
      </w:r>
      <w:r>
        <w:rPr>
          <w:sz w:val="24"/>
          <w:szCs w:val="24"/>
          <w:shd w:fill="auto"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r>
        <w:rPr>
          <w:rFonts w:cs="Times New Roman"/>
          <w:sz w:val="24"/>
          <w:szCs w:val="24"/>
          <w:shd w:fill="auto" w:val="clear"/>
        </w:rPr>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в соответствии с Заявками в Место поставки согласно п. 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 неустойки в размере 0,1 %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pPr>
      <w:r>
        <w:rPr>
          <w:sz w:val="24"/>
          <w:szCs w:val="24"/>
          <w:shd w:fill="auto" w:val="clear"/>
        </w:rPr>
        <w:t xml:space="preserve">Телефон автоответчика:  +7 (495) 710 54 63 и форма обратной связи на сайте </w:t>
      </w:r>
      <w:hyperlink r:id="rId2">
        <w:r>
          <w:rPr>
            <w:sz w:val="24"/>
            <w:szCs w:val="24"/>
            <w:shd w:fill="auto" w:val="clear"/>
          </w:rPr>
          <w:t>http://www.rushydro.ru</w:t>
        </w:r>
      </w:hyperlink>
      <w:hyperlink r:id="rId3">
        <w:r>
          <w:rPr>
            <w:sz w:val="24"/>
            <w:szCs w:val="24"/>
            <w:shd w:fill="auto" w:val="clear"/>
          </w:rPr>
          <w:t>/</w:t>
        </w:r>
      </w:hyperlink>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shd w:fill="auto" w:val="clear"/>
          </w:rPr>
          <w:t>№ 18162/09</w:t>
        </w:r>
      </w:hyperlink>
      <w:r>
        <w:rPr>
          <w:sz w:val="24"/>
          <w:szCs w:val="24"/>
          <w:shd w:fill="auto" w:val="clear"/>
        </w:rPr>
        <w:t xml:space="preserve"> и от 25.05.2010 </w:t>
      </w:r>
      <w:hyperlink r:id="rId5">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ind w:left="360" w:hanging="0"/>
        <w:jc w:val="center"/>
        <w:rPr>
          <w:highlight w:val="none"/>
          <w:shd w:fill="auto" w:val="clear"/>
        </w:rPr>
      </w:pPr>
      <w:r>
        <w:rPr>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true"/>
        <w:spacing w:before="0" w:after="120"/>
        <w:ind w:left="567" w:hanging="0"/>
        <w:jc w:val="both"/>
        <w:textAlignment w:val="baseline"/>
        <w:rPr>
          <w:highlight w:val="none"/>
          <w:shd w:fill="auto" w:val="clear"/>
        </w:rPr>
      </w:pPr>
      <w:bookmarkStart w:id="4" w:name="sub_1"/>
      <w:bookmarkEnd w:id="4"/>
      <w:r>
        <w:rPr>
          <w:b w:val="false"/>
          <w:sz w:val="24"/>
          <w:szCs w:val="24"/>
          <w:shd w:fill="auto" w:val="clear"/>
        </w:rPr>
        <w:t>- Приложение № 1 – Спецификация.</w:t>
      </w:r>
    </w:p>
    <w:p>
      <w:pPr>
        <w:pStyle w:val="Heading3"/>
        <w:keepNext w:val="false"/>
        <w:tabs>
          <w:tab w:val="clear" w:pos="0"/>
        </w:tabs>
        <w:overflowPunct w:val="true"/>
        <w:spacing w:before="0" w:after="120"/>
        <w:ind w:left="567" w:hanging="0"/>
        <w:jc w:val="both"/>
        <w:textAlignment w:val="baseline"/>
        <w:rPr>
          <w:highlight w:val="none"/>
          <w:shd w:fill="auto" w:val="clear"/>
        </w:rPr>
      </w:pPr>
      <w:r>
        <w:rPr>
          <w:b w:val="false"/>
          <w:sz w:val="24"/>
          <w:szCs w:val="24"/>
          <w:shd w:fill="auto" w:val="clear"/>
        </w:rPr>
        <w:t>- Приложение № 2 – Форма Заявки-Спецификации.</w:t>
      </w:r>
    </w:p>
    <w:p>
      <w:pPr>
        <w:pStyle w:val="Normal"/>
        <w:spacing w:before="0" w:after="120"/>
        <w:ind w:left="567" w:hanging="567"/>
        <w:rPr>
          <w:highlight w:val="none"/>
          <w:shd w:fill="auto" w:val="clear"/>
        </w:rPr>
      </w:pPr>
      <w:r>
        <w:rPr>
          <w:sz w:val="24"/>
          <w:szCs w:val="24"/>
          <w:shd w:fill="auto" w:val="clear"/>
        </w:rPr>
        <w:tab/>
        <w:t>- Приложение № 3 – Технические требования на поставку продукции.</w:t>
      </w:r>
    </w:p>
    <w:p>
      <w:pPr>
        <w:pStyle w:val="Normal"/>
        <w:spacing w:before="0" w:after="120"/>
        <w:ind w:left="567" w:hanging="567"/>
        <w:rPr>
          <w:highlight w:val="none"/>
          <w:shd w:fill="auto" w:val="clear"/>
        </w:rPr>
      </w:pPr>
      <w:r>
        <w:rPr>
          <w:sz w:val="24"/>
          <w:szCs w:val="24"/>
          <w:shd w:fill="auto" w:val="clear"/>
        </w:rPr>
        <w:tab/>
        <w:t xml:space="preserve">- Приложение № 4 – Финансовое обеспечение исполнения обязательств. </w:t>
      </w:r>
    </w:p>
    <w:p>
      <w:pPr>
        <w:pStyle w:val="Normal"/>
        <w:spacing w:before="0" w:after="120"/>
        <w:ind w:left="567" w:hanging="567"/>
        <w:rPr>
          <w:sz w:val="24"/>
          <w:szCs w:val="24"/>
          <w:highlight w:val="none"/>
          <w:shd w:fill="auto" w:val="clear"/>
        </w:rPr>
      </w:pPr>
      <w:r>
        <w:rPr>
          <w:sz w:val="24"/>
          <w:szCs w:val="24"/>
          <w:shd w:fill="auto"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7"/>
          <w:footerReference w:type="even" r:id="rId8"/>
          <w:footerReference w:type="default" r:id="rId9"/>
          <w:footerReference w:type="first" r:id="rId10"/>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48"/>
        <w:gridCol w:w="704"/>
        <w:gridCol w:w="708"/>
        <w:gridCol w:w="998"/>
        <w:gridCol w:w="1842"/>
        <w:gridCol w:w="1554"/>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 страна-изготовитель, наименование производителя</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99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99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879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879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w:t>
      </w:r>
      <w:r>
        <w:rPr>
          <w:sz w:val="20"/>
          <w:shd w:fill="auto"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auto" w:val="clear"/>
        </w:rPr>
        <w:t>.</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highlight w:val="none"/>
          <w:shd w:fill="auto" w:val="clear"/>
        </w:rPr>
      </w:pPr>
      <w:r>
        <w:rPr>
          <w:i/>
          <w:sz w:val="24"/>
          <w:szCs w:val="24"/>
          <w:shd w:fill="auto"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highlight w:val="none"/>
          <w:shd w:fill="auto" w:val="clear"/>
        </w:rPr>
      </w:pPr>
      <w:r>
        <w:rPr>
          <w:i/>
          <w:sz w:val="24"/>
          <w:szCs w:val="24"/>
          <w:shd w:fill="auto"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1"/>
          <w:headerReference w:type="first" r:id="rId12"/>
          <w:footerReference w:type="even" r:id="rId13"/>
          <w:footerReference w:type="default" r:id="rId14"/>
          <w:footerReference w:type="first" r:id="rId15"/>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u w:val="single"/>
          <w:shd w:fill="auto" w:val="clear"/>
        </w:rPr>
        <w:t>ФОРМА</w:t>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Заявки-спецификации</w:t>
      </w:r>
    </w:p>
    <w:p>
      <w:pPr>
        <w:pStyle w:val="Normal"/>
        <w:numPr>
          <w:ilvl w:val="0"/>
          <w:numId w:val="0"/>
        </w:numPr>
        <w:spacing w:before="0" w:after="120"/>
        <w:ind w:left="0" w:firstLine="567"/>
        <w:outlineLvl w:val="0"/>
        <w:rPr>
          <w:b/>
          <w:sz w:val="24"/>
          <w:szCs w:val="24"/>
          <w:highlight w:val="none"/>
          <w:shd w:fill="auto" w:val="clear"/>
        </w:rPr>
      </w:pPr>
      <w:r>
        <w:rPr>
          <w:b/>
          <w:sz w:val="24"/>
          <w:szCs w:val="24"/>
          <w:shd w:fill="auto" w:val="clear"/>
        </w:rPr>
        <mc:AlternateContent>
          <mc:Choice Requires="wps">
            <w:drawing>
              <wp:anchor behindDoc="0" distT="6350" distB="6350" distL="6985" distR="6985" simplePos="0" locked="0" layoutInCell="0" allowOverlap="1" relativeHeight="66"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rFonts w:ascii="Times New Roman" w:hAnsi="Times New Roman" w:eastAsia="Times New Roman" w:cs="Times New Roman"/>
                <w:kern w:val="0"/>
                <w:highlight w:val="none"/>
                <w:shd w:fill="auto" w:val="clear"/>
                <w:lang w:val="ru-RU" w:eastAsia="ru-RU" w:bidi="ar-SA"/>
              </w:rPr>
            </w:pPr>
            <w:r>
              <w:rPr>
                <w:rFonts w:eastAsia="Times New Roman" w:cs="Times New Roman"/>
                <w:b/>
                <w:kern w:val="0"/>
                <w:sz w:val="24"/>
                <w:szCs w:val="24"/>
                <w:shd w:fill="auto" w:val="clear"/>
                <w:lang w:val="ru-RU" w:eastAsia="ru-RU" w:bidi="ar-SA"/>
              </w:rPr>
              <w:t>Приложение № _____</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от «___» _________ ______ г.</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r>
    </w:tbl>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
        <w:gridCol w:w="1621"/>
        <w:gridCol w:w="2431"/>
        <w:gridCol w:w="673"/>
        <w:gridCol w:w="776"/>
        <w:gridCol w:w="1918"/>
        <w:gridCol w:w="1676"/>
      </w:tblGrid>
      <w:tr>
        <w:trPr>
          <w:trHeight w:val="507" w:hRule="atLeast"/>
        </w:trPr>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Cs/>
                <w:sz w:val="22"/>
                <w:szCs w:val="24"/>
                <w:shd w:fill="auto" w:val="clear"/>
              </w:rPr>
              <w:t>Характеристики продукции,</w:t>
            </w:r>
          </w:p>
          <w:p>
            <w:pPr>
              <w:pStyle w:val="Normal"/>
              <w:widowControl w:val="false"/>
              <w:jc w:val="center"/>
              <w:rPr>
                <w:highlight w:val="none"/>
                <w:shd w:fill="auto" w:val="clear"/>
              </w:rPr>
            </w:pPr>
            <w:r>
              <w:rPr>
                <w:bCs/>
                <w:sz w:val="22"/>
                <w:szCs w:val="24"/>
                <w:shd w:fill="auto" w:val="clear"/>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0" w:hRule="atLeast"/>
        </w:trPr>
        <w:tc>
          <w:tcPr>
            <w:tcW w:w="9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12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9"/>
        </w:numPr>
        <w:tabs>
          <w:tab w:val="left" w:pos="720" w:leader="none"/>
        </w:tabs>
        <w:spacing w:before="0" w:after="120"/>
        <w:jc w:val="both"/>
        <w:rPr>
          <w:highlight w:val="none"/>
          <w:shd w:fill="auto" w:val="clear"/>
        </w:rPr>
      </w:pPr>
      <w:r>
        <w:rPr>
          <w:bCs/>
          <w:sz w:val="24"/>
          <w:szCs w:val="24"/>
          <w:shd w:fill="auto" w:val="clear"/>
        </w:rPr>
        <w:t>Общая сумма Заявки-спецификации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i/>
          <w:sz w:val="24"/>
          <w:szCs w:val="24"/>
          <w:shd w:fill="auto" w:val="clear"/>
        </w:rPr>
        <w:t>.</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67"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3</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center"/>
        <w:rPr>
          <w:highlight w:val="none"/>
          <w:shd w:fill="auto" w:val="clear"/>
        </w:rPr>
      </w:pPr>
      <w:r>
        <w:rPr>
          <w:b/>
          <w:bCs/>
          <w:sz w:val="24"/>
          <w:szCs w:val="24"/>
          <w:shd w:fill="auto" w:val="clear"/>
        </w:rPr>
        <w:t>ТЕХНИЧЕСКИЕ ТРЕБОВАНИЯ</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4</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Heading1"/>
        <w:numPr>
          <w:ilvl w:val="0"/>
          <w:numId w:val="0"/>
        </w:numPr>
        <w:spacing w:before="0" w:after="0"/>
        <w:ind w:left="0" w:hanging="0"/>
        <w:jc w:val="center"/>
        <w:rPr>
          <w:rFonts w:ascii="Times New Roman" w:hAnsi="Times New Roman" w:cs="Times New Roman"/>
          <w:b/>
          <w:sz w:val="24"/>
          <w:szCs w:val="24"/>
        </w:rPr>
      </w:pPr>
      <w:r>
        <w:rPr>
          <w:rFonts w:cs="Times New Roman"/>
          <w:color w:val="000000"/>
          <w:sz w:val="24"/>
          <w:szCs w:val="24"/>
        </w:rPr>
        <w:t>Финансовое обеспечение договора</w:t>
      </w:r>
    </w:p>
    <w:p>
      <w:pPr>
        <w:pStyle w:val="Heading1"/>
        <w:numPr>
          <w:ilvl w:val="0"/>
          <w:numId w:val="0"/>
        </w:numPr>
        <w:spacing w:before="0" w:after="0"/>
        <w:ind w:left="0" w:hanging="0"/>
        <w:rPr>
          <w:rFonts w:ascii="Times New Roman" w:hAnsi="Times New Roman" w:cs="Times New Roman"/>
          <w:b/>
          <w:sz w:val="24"/>
          <w:szCs w:val="24"/>
        </w:rPr>
      </w:pPr>
      <w:r>
        <w:rPr>
          <w:rFonts w:cs="Times New Roman"/>
          <w:b/>
          <w:sz w:val="24"/>
          <w:szCs w:val="24"/>
        </w:rPr>
      </w:r>
    </w:p>
    <w:p>
      <w:pPr>
        <w:pStyle w:val="Heading1"/>
        <w:numPr>
          <w:ilvl w:val="0"/>
          <w:numId w:val="0"/>
        </w:numPr>
        <w:spacing w:before="0" w:after="0"/>
        <w:ind w:left="0" w:hanging="0"/>
        <w:rPr>
          <w:rFonts w:ascii="Times New Roman" w:hAnsi="Times New Roman" w:cs="Times New Roman"/>
          <w:b/>
          <w:sz w:val="24"/>
          <w:szCs w:val="24"/>
        </w:rPr>
      </w:pPr>
      <w:r>
        <w:rPr>
          <w:rFonts w:cs="Times New Roman"/>
          <w:color w:val="000000"/>
          <w:sz w:val="24"/>
          <w:szCs w:val="24"/>
        </w:rPr>
        <w:t>1. Критерии отбора Банков-гарантов</w:t>
      </w:r>
      <w:r>
        <w:rPr>
          <w:rStyle w:val="FootnoteReference"/>
          <w:rFonts w:cs="Times New Roman"/>
          <w:color w:val="000000"/>
          <w:sz w:val="24"/>
          <w:szCs w:val="24"/>
          <w:vertAlign w:val="superscript"/>
        </w:rPr>
        <w:footnoteReference w:id="2"/>
      </w:r>
    </w:p>
    <w:p>
      <w:pPr>
        <w:pStyle w:val="Normal"/>
        <w:spacing w:lineRule="auto" w:line="240" w:before="0" w:after="0"/>
        <w:ind w:left="709" w:hanging="0"/>
        <w:rPr>
          <w:rFonts w:ascii="Times New Roman" w:hAnsi="Times New Roman" w:cs="Times New Roman"/>
          <w:b/>
          <w:sz w:val="24"/>
          <w:szCs w:val="24"/>
        </w:rPr>
      </w:pPr>
      <w:r>
        <w:rPr>
          <w:rFonts w:cs="Times New Roman"/>
          <w:b/>
          <w:sz w:val="24"/>
          <w:szCs w:val="24"/>
        </w:rPr>
      </w:r>
    </w:p>
    <w:p>
      <w:pPr>
        <w:pStyle w:val="Normal"/>
        <w:tabs>
          <w:tab w:val="clear" w:pos="720"/>
          <w:tab w:val="left" w:pos="1134" w:leader="none"/>
        </w:tabs>
        <w:spacing w:lineRule="auto" w:line="240" w:before="0" w:after="0"/>
        <w:ind w:firstLine="709"/>
        <w:jc w:val="both"/>
        <w:rPr>
          <w:rFonts w:ascii="Times New Roman" w:hAnsi="Times New Roman" w:cs="Times New Roman"/>
          <w:b/>
          <w:sz w:val="24"/>
          <w:szCs w:val="24"/>
        </w:rPr>
      </w:pPr>
      <w:r>
        <w:rPr>
          <w:rFonts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3"/>
      </w:r>
      <w:r>
        <w:rPr>
          <w:rFonts w:cs="Times New Roman"/>
          <w:sz w:val="24"/>
          <w:szCs w:val="24"/>
        </w:rPr>
        <w:t>, а также соответствовать следующим критериям:</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4"/>
      </w:r>
      <w:r>
        <w:rPr>
          <w:rFonts w:cs="Times New Roman"/>
          <w:sz w:val="24"/>
          <w:szCs w:val="24"/>
        </w:rPr>
        <w:t xml:space="preserve">. </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5"/>
      </w:r>
      <w:r>
        <w:rPr>
          <w:rFonts w:cs="Times New Roman"/>
          <w:sz w:val="24"/>
          <w:szCs w:val="24"/>
        </w:rPr>
        <w:t>.</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Pr>
        <w:spacing w:lineRule="auto" w:line="240" w:before="0" w:after="0"/>
        <w:jc w:val="both"/>
        <w:rPr>
          <w:rFonts w:ascii="Times New Roman" w:hAnsi="Times New Roman" w:cs="Times New Roman"/>
          <w:sz w:val="24"/>
          <w:szCs w:val="24"/>
        </w:rPr>
      </w:pPr>
      <w:r>
        <w:rPr>
          <w:rFonts w:cs="Times New Roman"/>
          <w:sz w:val="24"/>
          <w:szCs w:val="24"/>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8.4. ВЭБ.РФ.</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720"/>
          <w:tab w:val="left" w:pos="1134" w:leader="none"/>
        </w:tabs>
        <w:spacing w:lineRule="auto" w:line="240" w:before="0" w:after="0"/>
        <w:ind w:firstLine="709"/>
        <w:jc w:val="center"/>
        <w:rPr>
          <w:rFonts w:ascii="Times New Roman" w:hAnsi="Times New Roman" w:cs="Times New Roman"/>
          <w:sz w:val="24"/>
          <w:szCs w:val="24"/>
        </w:rPr>
      </w:pPr>
      <w:r>
        <w:rPr>
          <w:rFonts w:cs="Times New Roman"/>
          <w:b/>
          <w:i/>
          <w:sz w:val="24"/>
          <w:szCs w:val="24"/>
        </w:rPr>
        <w:t>Lim</w:t>
      </w:r>
      <w:r>
        <w:rPr>
          <w:rFonts w:cs="Times New Roman"/>
          <w:b/>
          <w:i/>
          <w:sz w:val="24"/>
          <w:szCs w:val="24"/>
          <w:vertAlign w:val="subscript"/>
        </w:rPr>
        <w:t>Ai</w:t>
      </w:r>
      <w:r>
        <w:rPr>
          <w:rFonts w:cs="Times New Roman"/>
          <w:b/>
          <w:i/>
          <w:sz w:val="24"/>
          <w:szCs w:val="24"/>
        </w:rPr>
        <w:t xml:space="preserve"> = r</w:t>
      </w:r>
      <w:r>
        <w:rPr>
          <w:rFonts w:cs="Times New Roman"/>
          <w:b/>
          <w:i/>
          <w:sz w:val="24"/>
          <w:szCs w:val="24"/>
          <w:vertAlign w:val="subscript"/>
        </w:rPr>
        <w:t>i</w:t>
      </w:r>
      <w:r>
        <w:rPr>
          <w:rFonts w:cs="Times New Roman"/>
          <w:b/>
          <w:i/>
          <w:sz w:val="24"/>
          <w:szCs w:val="24"/>
        </w:rPr>
        <w:t xml:space="preserve"> × СK</w:t>
      </w:r>
      <w:r>
        <w:rPr>
          <w:rFonts w:cs="Times New Roman"/>
          <w:b/>
          <w:i/>
          <w:sz w:val="24"/>
          <w:szCs w:val="24"/>
          <w:vertAlign w:val="subscript"/>
        </w:rPr>
        <w:t>i</w:t>
      </w:r>
      <w:r>
        <w:rPr/>
        <w:t>, где</w:t>
      </w:r>
    </w:p>
    <w:tbl>
      <w:tblPr>
        <w:tblW w:w="9606" w:type="dxa"/>
        <w:jc w:val="left"/>
        <w:tblInd w:w="0"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Lim</w:t>
            </w:r>
            <w:r>
              <w:rPr>
                <w:rFonts w:cs="Times New Roman"/>
                <w:b/>
                <w:i/>
                <w:sz w:val="24"/>
                <w:szCs w:val="24"/>
                <w:vertAlign w:val="subscript"/>
                <w:lang w:val="en-US"/>
              </w:rPr>
              <w:t>Ai</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sz w:val="24"/>
                <w:szCs w:val="24"/>
              </w:rPr>
            </w:pPr>
            <w:r>
              <w:rPr>
                <w:rFonts w:cs="Times New Roman"/>
                <w:sz w:val="24"/>
                <w:szCs w:val="24"/>
              </w:rPr>
              <w:t>Лимит риска для i-ой кредитной организации</w:t>
            </w:r>
            <w:r>
              <w:rPr>
                <w:rStyle w:val="FootnoteReference"/>
                <w:rFonts w:cs="Times New Roman"/>
                <w:sz w:val="24"/>
                <w:szCs w:val="24"/>
                <w:vertAlign w:val="superscript"/>
              </w:rPr>
              <w:footnoteReference w:id="6"/>
            </w:r>
            <w:r>
              <w:rPr>
                <w:rFonts w:cs="Times New Roman"/>
                <w:sz w:val="24"/>
                <w:szCs w:val="24"/>
                <w:vertAlign w:val="superscript"/>
              </w:rPr>
              <w:t>.</w:t>
            </w:r>
          </w:p>
        </w:tc>
      </w:tr>
      <w:tr>
        <w:trPr>
          <w:trHeight w:val="280"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С</w:t>
            </w:r>
            <w:r>
              <w:rPr>
                <w:rFonts w:cs="Times New Roman"/>
                <w:b/>
                <w:i/>
                <w:sz w:val="24"/>
                <w:szCs w:val="24"/>
                <w:lang w:val="en-US"/>
              </w:rPr>
              <w:t>K</w:t>
            </w:r>
            <w:r>
              <w:rPr>
                <w:rFonts w:cs="Times New Roman"/>
                <w:b/>
                <w:i/>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b/>
                <w:i/>
                <w:i/>
                <w:sz w:val="24"/>
                <w:szCs w:val="24"/>
                <w:vertAlign w:val="subscript"/>
              </w:rPr>
            </w:pPr>
            <w:r>
              <w:rPr>
                <w:rFonts w:cs="Times New Roman"/>
                <w:b/>
                <w:i/>
                <w:sz w:val="24"/>
                <w:szCs w:val="24"/>
                <w:vertAlign w:val="subscript"/>
              </w:rPr>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pPr>
            <w:r>
              <w:rPr>
                <w:rFonts w:cs="Times New Roman"/>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r>
                <w:rPr>
                  <w:rStyle w:val="Hyperlink"/>
                  <w:rFonts w:cs="Times New Roman"/>
                  <w:sz w:val="24"/>
                  <w:szCs w:val="24"/>
                  <w:u w:val="single"/>
                </w:rPr>
                <w:t>www.cbr.ru</w:t>
              </w:r>
            </w:hyperlink>
            <w:r>
              <w:rPr>
                <w:rFonts w:cs="Times New Roman"/>
                <w:sz w:val="24"/>
                <w:szCs w:val="24"/>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r</w:t>
            </w:r>
            <w:r>
              <w:rPr>
                <w:rFonts w:cs="Times New Roman"/>
                <w:b/>
                <w:i/>
                <w:sz w:val="24"/>
                <w:szCs w:val="24"/>
                <w:vertAlign w:val="subscript"/>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tabs>
                <w:tab w:val="clear" w:pos="720"/>
                <w:tab w:val="left" w:pos="7130" w:leader="none"/>
              </w:tabs>
              <w:spacing w:lineRule="auto" w:line="240" w:before="0" w:after="0"/>
              <w:ind w:right="-108" w:hanging="0"/>
              <w:jc w:val="both"/>
              <w:rPr/>
            </w:pPr>
            <w:r>
              <w:rPr>
                <w:rFonts w:cs="Times New Roman"/>
                <w:sz w:val="24"/>
                <w:szCs w:val="24"/>
              </w:rPr>
              <w:t>рейтинговый коэффициент</w:t>
            </w:r>
            <w:r>
              <w:rPr>
                <w:rStyle w:val="FootnoteReference"/>
                <w:sz w:val="24"/>
                <w:szCs w:val="24"/>
              </w:rPr>
              <w:footnoteReference w:id="7"/>
            </w:r>
            <w:r>
              <w:rPr>
                <w:rFonts w:cs="Times New Roman"/>
                <w:sz w:val="24"/>
                <w:szCs w:val="24"/>
              </w:rPr>
              <w:t xml:space="preserve"> для i-ой кредитной организации, равный:</w:t>
            </w:r>
          </w:p>
          <w:p>
            <w:pPr>
              <w:pStyle w:val="Normal"/>
              <w:widowControl w:val="false"/>
              <w:spacing w:lineRule="auto" w:line="240" w:before="0" w:after="0"/>
              <w:ind w:firstLine="492"/>
              <w:jc w:val="both"/>
              <w:rPr/>
            </w:pPr>
            <w:r>
              <w:rPr>
                <w:rFonts w:cs="Times New Roman"/>
                <w:b/>
                <w:sz w:val="24"/>
                <w:szCs w:val="24"/>
              </w:rPr>
              <w:t>0,05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w:t>
            </w:r>
            <w:r>
              <w:rPr>
                <w:rFonts w:cs="Times New Roman"/>
                <w:b/>
                <w:sz w:val="24"/>
                <w:szCs w:val="24"/>
                <w:lang w:val="en-US"/>
              </w:rPr>
              <w:t>ru</w:t>
            </w:r>
            <w:r>
              <w:rPr>
                <w:rFonts w:cs="Times New Roman"/>
                <w:b/>
                <w:sz w:val="24"/>
                <w:szCs w:val="24"/>
              </w:rPr>
              <w:t>А</w:t>
            </w:r>
            <w:r>
              <w:rPr>
                <w:rFonts w:cs="Times New Roman"/>
                <w:b/>
                <w:sz w:val="24"/>
                <w:szCs w:val="24"/>
                <w:lang w:val="en-US"/>
              </w:rPr>
              <w:t>A</w:t>
            </w:r>
            <w:r>
              <w:rPr>
                <w:rFonts w:cs="Times New Roman"/>
                <w:b/>
                <w:sz w:val="24"/>
                <w:szCs w:val="24"/>
              </w:rPr>
              <w:t>-»</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pPr>
            <w:r>
              <w:rPr>
                <w:rFonts w:cs="Times New Roman"/>
                <w:b/>
                <w:sz w:val="24"/>
                <w:szCs w:val="24"/>
              </w:rPr>
              <w:t>0,025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«ruA-»</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pPr>
            <w:r>
              <w:rPr>
                <w:rFonts w:cs="Times New Roman"/>
                <w:b/>
                <w:sz w:val="24"/>
                <w:szCs w:val="24"/>
              </w:rPr>
              <w:t>0,015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w:t>
            </w:r>
            <w:r>
              <w:rPr>
                <w:rFonts w:cs="Times New Roman"/>
                <w:b/>
                <w:sz w:val="24"/>
                <w:szCs w:val="24"/>
                <w:lang w:val="en-US"/>
              </w:rPr>
              <w:t>BB</w:t>
            </w:r>
            <w:r>
              <w:rPr>
                <w:rFonts w:cs="Times New Roman"/>
                <w:b/>
                <w:sz w:val="24"/>
                <w:szCs w:val="24"/>
              </w:rPr>
              <w:t>В»</w:t>
            </w:r>
            <w:r>
              <w:rPr>
                <w:rFonts w:cs="Times New Roman"/>
                <w:sz w:val="24"/>
                <w:szCs w:val="24"/>
              </w:rPr>
              <w:t xml:space="preserve"> по классификации рейтингового агентства АКРА или не ниже уровня «</w:t>
            </w:r>
            <w:r>
              <w:rPr>
                <w:rFonts w:cs="Times New Roman"/>
                <w:sz w:val="24"/>
                <w:szCs w:val="24"/>
                <w:lang w:val="en-US"/>
              </w:rPr>
              <w:t>ruBB</w:t>
            </w:r>
            <w:r>
              <w:rPr>
                <w:rFonts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Style22"/>
        <w:spacing w:lineRule="auto" w:line="240" w:before="0" w:after="0"/>
        <w:ind w:left="0" w:hanging="0"/>
        <w:contextualSpacing/>
        <w:rPr>
          <w:rFonts w:ascii="Times New Roman" w:hAnsi="Times New Roman" w:cs="Times New Roman"/>
          <w:sz w:val="24"/>
          <w:szCs w:val="24"/>
        </w:rPr>
      </w:pPr>
      <w:r>
        <w:br w:type="page"/>
      </w:r>
      <w:r>
        <w:rPr>
          <w:rFonts w:cs="Times New Roman"/>
          <w:sz w:val="24"/>
          <w:szCs w:val="24"/>
        </w:rPr>
        <w:t xml:space="preserve">2. </w:t>
      </w:r>
      <w:r>
        <w:rPr>
          <w:rFonts w:cs="Times New Roman"/>
          <w:b/>
          <w:sz w:val="24"/>
          <w:szCs w:val="24"/>
        </w:rPr>
        <w:t>Условия банковской гарантии</w:t>
      </w:r>
      <w:r>
        <w:rPr>
          <w:rStyle w:val="FootnoteReference"/>
          <w:rFonts w:cs="Times New Roman"/>
          <w:sz w:val="24"/>
          <w:szCs w:val="24"/>
          <w:vertAlign w:val="superscript"/>
        </w:rPr>
        <w:footnoteReference w:id="8"/>
      </w:r>
    </w:p>
    <w:p>
      <w:pPr>
        <w:pStyle w:val="Normal"/>
        <w:tabs>
          <w:tab w:val="clear" w:pos="720"/>
          <w:tab w:val="left" w:pos="540" w:leader="none"/>
        </w:tabs>
        <w:spacing w:lineRule="auto" w:line="240" w:before="0" w:after="0"/>
        <w:ind w:firstLine="709"/>
        <w:jc w:val="both"/>
        <w:rPr>
          <w:rFonts w:ascii="Times New Roman" w:hAnsi="Times New Roman" w:cs="Times New Roman"/>
          <w:sz w:val="24"/>
          <w:szCs w:val="24"/>
        </w:rPr>
      </w:pPr>
      <w:r>
        <w:rPr>
          <w:rFonts w:cs="Times New Roman"/>
          <w:bCs/>
          <w:sz w:val="24"/>
          <w:szCs w:val="24"/>
        </w:rPr>
        <w:t>Под банковской гарантией понимается гарантия согласованного Генеральными подрядчиком Банка</w:t>
      </w:r>
      <w:r>
        <w:rPr>
          <w:rFonts w:cs="Times New Roman"/>
          <w:sz w:val="24"/>
          <w:szCs w:val="24"/>
        </w:rPr>
        <w:t xml:space="preserve">, </w:t>
      </w:r>
      <w:r>
        <w:rPr>
          <w:rFonts w:cs="Times New Roman"/>
          <w:bCs/>
          <w:sz w:val="24"/>
          <w:szCs w:val="24"/>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rFonts w:cs="Times New Roman"/>
          <w:sz w:val="24"/>
          <w:szCs w:val="24"/>
        </w:rPr>
        <w:t>:</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выражена в валюте расчетов по Договору;</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sz w:val="24"/>
          <w:szCs w:val="24"/>
        </w:rPr>
        <w:footnoteReference w:id="9"/>
      </w:r>
      <w:r>
        <w:rPr>
          <w:rFonts w:cs="Times New Roman"/>
          <w:sz w:val="24"/>
          <w:szCs w:val="24"/>
        </w:rPr>
        <w:t>.</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rFonts w:cs="Times New Roman"/>
          <w:sz w:val="24"/>
          <w:szCs w:val="24"/>
        </w:rPr>
        <w:t>:</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eastAsia="Times New Roman" w:cs="Times New Roman"/>
          <w:sz w:val="24"/>
          <w:szCs w:val="24"/>
        </w:rPr>
        <w:t xml:space="preserve"> </w:t>
      </w:r>
      <w:r>
        <w:rPr>
          <w:rFonts w:cs="Times New Roman"/>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sz w:val="24"/>
          <w:szCs w:val="24"/>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Платеж по банковской гарантии осуществляется Банком-гарантом в течение 10 (десяти) рабочих дней после обращения Бенефициара.</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rPr>
        <w:footnoteReference w:id="10"/>
      </w:r>
      <w:r>
        <w:rPr>
          <w:rFonts w:cs="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spacing w:lineRule="auto" w:line="240" w:before="0" w:after="0"/>
        <w:ind w:firstLine="709"/>
        <w:jc w:val="right"/>
        <w:rPr>
          <w:rFonts w:ascii="Times New Roman" w:hAnsi="Times New Roman" w:cs="Times New Roman"/>
          <w:sz w:val="24"/>
          <w:szCs w:val="24"/>
        </w:rPr>
      </w:pPr>
      <w:r>
        <w:rPr>
          <w:rFonts w:cs="Times New Roman"/>
          <w:sz w:val="24"/>
          <w:szCs w:val="24"/>
        </w:rPr>
      </w:r>
    </w:p>
    <w:p>
      <w:pPr>
        <w:pStyle w:val="Heading1"/>
        <w:numPr>
          <w:ilvl w:val="0"/>
          <w:numId w:val="0"/>
        </w:numPr>
        <w:spacing w:before="0" w:after="0"/>
        <w:ind w:left="0" w:hanging="0"/>
        <w:jc w:val="both"/>
        <w:rPr>
          <w:rFonts w:ascii="Times New Roman" w:hAnsi="Times New Roman" w:cs="Times New Roman"/>
          <w:sz w:val="24"/>
          <w:szCs w:val="24"/>
        </w:rPr>
      </w:pPr>
      <w:r>
        <w:rPr>
          <w:rFonts w:cs="Times New Roman"/>
          <w:color w:val="000000"/>
          <w:sz w:val="24"/>
          <w:szCs w:val="24"/>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Независимая гарантия не может быть отозвана выдавшим ее гарантом (далее – Гарант);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выражена в валюте расчетов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Выбор формы направления такого требования осуществляется Бенефициаром самостоятельно.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расчет суммы, включаемой в требование об уплате денежной суммы по Независимой гарантии;</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содержащий указание на нарушения Принципалом обязательств, предусмотренных Договором;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введения арбитражным судом процедуры несостоятельности (банкротства) в отношении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текст Независимой гарантии должен содержать перечень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rFonts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Pr>
          <w:rFonts w:cs="Times New Roman"/>
          <w:bCs/>
          <w:sz w:val="24"/>
          <w:szCs w:val="24"/>
          <w:vertAlign w:val="superscript"/>
        </w:rPr>
        <w:t>34</w:t>
      </w:r>
      <w:r>
        <w:rPr>
          <w:rFonts w:cs="Times New Roman"/>
          <w:bCs/>
          <w:sz w:val="24"/>
          <w:szCs w:val="24"/>
        </w:rPr>
        <w:t>;</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не должна содержать условия: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rFonts w:cs="Times New Roman"/>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rFonts w:cs="Times New Roman"/>
          <w:bCs/>
          <w:sz w:val="24"/>
          <w:szCs w:val="24"/>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Условия Независимых гарантий не должны противоречить:</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положениям извещения об осуществлении конкурентной закупки,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документации о конкурентной закупке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Единому Положению о закупке продукции для нужд Группы РусГидро,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требованиям к условиям Независимой гарантий, установленным Положением.</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rFonts w:cs="Times New Roman"/>
          <w:b w:val="false"/>
          <w:bCs w:val="false"/>
          <w:sz w:val="24"/>
          <w:szCs w:val="24"/>
        </w:rPr>
        <w:t>Бенефициаром.</w:t>
      </w:r>
    </w:p>
    <w:p>
      <w:pPr>
        <w:pStyle w:val="Normal"/>
        <w:spacing w:lineRule="auto" w:line="240" w:before="0" w:after="0"/>
        <w:ind w:firstLine="709"/>
        <w:jc w:val="both"/>
        <w:rPr>
          <w:rFonts w:ascii="Times New Roman" w:hAnsi="Times New Roman" w:cs="Times New Roman"/>
          <w:b w:val="false"/>
          <w:bCs w:val="false"/>
          <w:sz w:val="24"/>
          <w:szCs w:val="24"/>
        </w:rPr>
      </w:pPr>
      <w:r>
        <w:rPr>
          <w:rFonts w:cs="Times New Roman"/>
          <w:b w:val="false"/>
          <w:bCs w:val="false"/>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Normal"/>
        <w:widowControl w:val="false"/>
        <w:shd w:val="clear" w:color="auto" w:fill="FFFFFF"/>
        <w:tabs>
          <w:tab w:val="clear" w:pos="720"/>
          <w:tab w:val="left" w:pos="3054" w:leader="none"/>
        </w:tabs>
        <w:spacing w:before="0" w:after="120"/>
        <w:jc w:val="center"/>
        <w:rPr>
          <w:highlight w:val="none"/>
          <w:shd w:fill="auto"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rFonts w:cs="Times New Roman"/>
        </w:rPr>
        <w:t xml:space="preserve"> </w:t>
      </w:r>
      <w:r>
        <w:rPr>
          <w:rFonts w:cs="Times New Roman"/>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9"/>
        </w:rPr>
        <w:footnoteRef/>
      </w:r>
      <w:r>
        <w:rPr>
          <w:rFonts w:cs="Times New Roman"/>
        </w:rPr>
        <w:t xml:space="preserve"> </w:t>
      </w:r>
      <w:r>
        <w:rPr>
          <w:rFonts w:cs="Times New Roman"/>
        </w:rPr>
        <w:t>Актуальный Перечень Банков-Гарантов Группы РусГидро размещен на официальном сайте ПАО «РусГидро» http://zakupki.rushydro.ru/PublicContent/Section/6</w:t>
      </w:r>
    </w:p>
  </w:footnote>
  <w:footnote w:id="4">
    <w:p>
      <w:pPr>
        <w:pStyle w:val="FootnoteText"/>
        <w:jc w:val="both"/>
        <w:rPr/>
      </w:pPr>
      <w:r>
        <w:rPr>
          <w:rStyle w:val="Style9"/>
        </w:rPr>
        <w:footnoteRef/>
      </w:r>
      <w:r>
        <w:rPr>
          <w:rFonts w:cs="Times New Roman"/>
        </w:rPr>
        <w:t xml:space="preserve"> </w:t>
      </w:r>
      <w:r>
        <w:rPr>
          <w:rFonts w:cs="Times New Roman"/>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pPr>
        <w:pStyle w:val="FootnoteText"/>
        <w:jc w:val="both"/>
        <w:rPr/>
      </w:pPr>
      <w:r>
        <w:rPr>
          <w:rStyle w:val="Style9"/>
        </w:rPr>
        <w:footnoteRef/>
      </w:r>
      <w:r>
        <w:rPr>
          <w:rFonts w:cs="Times New Roman"/>
        </w:rPr>
        <w:t xml:space="preserve"> </w:t>
      </w:r>
      <w:r>
        <w:rPr>
          <w:rFonts w:cs="Times New Roman"/>
        </w:rPr>
        <w:t>Данное требование не применяется в отношении небанковских кредитных организаций.</w:t>
      </w:r>
    </w:p>
  </w:footnote>
  <w:footnote w:id="6">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pPr>
        <w:pStyle w:val="FootnoteText"/>
        <w:jc w:val="both"/>
        <w:rPr/>
      </w:pPr>
      <w:r>
        <w:rPr>
          <w:rStyle w:val="Style9"/>
        </w:rPr>
        <w:footnoteRef/>
      </w:r>
      <w:r>
        <w:rPr>
          <w:rFonts w:cs="Times New Roman"/>
        </w:rPr>
        <w:t xml:space="preserve"> </w:t>
      </w:r>
      <w:r>
        <w:rPr>
          <w:rFonts w:cs="Times New Roman"/>
        </w:rPr>
        <w:t>Условия подлежат обязательному включению в состав документации о закупке.</w:t>
      </w:r>
    </w:p>
  </w:footnote>
  <w:footnote w:id="9">
    <w:p>
      <w:pPr>
        <w:pStyle w:val="FootnoteText"/>
        <w:jc w:val="both"/>
        <w:rPr/>
      </w:pPr>
      <w:r>
        <w:rPr>
          <w:rStyle w:val="Style9"/>
        </w:rPr>
        <w:footnoteRef/>
      </w:r>
      <w:r>
        <w:rPr>
          <w:rFonts w:cs="Times New Roman"/>
        </w:rPr>
        <w:t xml:space="preserve"> </w:t>
      </w:r>
      <w:r>
        <w:rPr>
          <w:rFonts w:cs="Times New Roman"/>
        </w:rPr>
        <w:t>Если условиями Договора предусмотрена банковская гарантия надлежащего исполнения гарантийных обязательств.</w:t>
      </w:r>
    </w:p>
  </w:footnote>
  <w:footnote w:id="10">
    <w:p>
      <w:pPr>
        <w:pStyle w:val="FootnoteText"/>
        <w:jc w:val="both"/>
        <w:rPr/>
      </w:pPr>
      <w:r>
        <w:rPr>
          <w:rStyle w:val="Style9"/>
        </w:rPr>
        <w:footnoteRef/>
      </w:r>
      <w:r>
        <w:rPr>
          <w:rFonts w:cs="Times New Roman"/>
        </w:rPr>
        <w:t xml:space="preserve"> </w:t>
      </w:r>
      <w:r>
        <w:rPr>
          <w:rFonts w:cs="Times New Roman"/>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6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Абзац списка"/>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http://www.cbr.ru/"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934F-CC39-40CA-9E41-600D657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AlterOffice/3.4.0.9$Linux_X86_64 LibreOffice_project/b8daf9e823b1a5463a2f48435ddc2e8696e7d4fc</Application>
  <AppVersion>15.0000</AppVersion>
  <Pages>30</Pages>
  <Words>10013</Words>
  <Characters>71633</Characters>
  <CharactersWithSpaces>81047</CharactersWithSpaces>
  <Paragraphs>530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2026-01-27T10:41:53Z</dcterms:modified>
  <cp:revision>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