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header6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media/image8.jpeg" ContentType="image/jpeg"/>
  <Override PartName="/word/media/image12.png" ContentType="image/png"/>
  <Override PartName="/word/media/image7.png" ContentType="image/png"/>
  <Override PartName="/word/media/image13.png" ContentType="image/png"/>
  <Override PartName="/word/media/image10.jpeg" ContentType="image/jpeg"/>
  <Override PartName="/word/media/image11.jpeg" ContentType="image/jpeg"/>
  <Override PartName="/word/media/image15.png" ContentType="image/png"/>
  <Override PartName="/word/media/image23.png" ContentType="image/png"/>
  <Override PartName="/word/media/image6.jpeg" ContentType="image/jpeg"/>
  <Override PartName="/word/media/image4.png" ContentType="image/png"/>
  <Override PartName="/word/media/image5.jpeg" ContentType="image/jpeg"/>
  <Override PartName="/word/media/image3.png" ContentType="image/png"/>
  <Override PartName="/word/media/image2.png" ContentType="image/png"/>
  <Override PartName="/word/media/image26.png" ContentType="image/png"/>
  <Override PartName="/word/media/image22.jpeg" ContentType="image/jpeg"/>
  <Override PartName="/word/media/image17.jpeg" ContentType="image/jpeg"/>
  <Override PartName="/word/media/image21.jpeg" ContentType="image/jpeg"/>
  <Override PartName="/word/media/image25.png" ContentType="image/png"/>
  <Override PartName="/word/media/image20.jpeg" ContentType="image/jpeg"/>
  <Override PartName="/word/media/image19.jpeg" ContentType="image/jpeg"/>
  <Override PartName="/word/media/image16.jpeg" ContentType="image/jpeg"/>
  <Override PartName="/word/media/image24.jpeg" ContentType="image/jpeg"/>
  <Override PartName="/word/media/image14.png" ContentType="image/png"/>
  <Override PartName="/word/media/image1.jpeg" ContentType="image/jpeg"/>
  <Override PartName="/word/media/image9.png" ContentType="image/png"/>
  <Override PartName="/word/media/image18.jpeg" ContentType="image/jpeg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</w:r>
    </w:p>
    <w:p>
      <w:pPr>
        <w:sectPr>
          <w:headerReference w:type="default" r:id="rId2"/>
          <w:type w:val="nextPage"/>
          <w:pgSz w:w="11906" w:h="16838"/>
          <w:pgMar w:left="1134" w:right="851" w:gutter="0" w:header="680" w:top="1134" w:footer="0" w:bottom="992"/>
          <w:pgNumType w:fmt="decimal"/>
          <w:formProt w:val="false"/>
          <w:textDirection w:val="lrTb"/>
          <w:docGrid w:type="default" w:linePitch="381" w:charSpace="0"/>
        </w:sectPr>
        <w:pStyle w:val="Normal"/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ОКПД2 14.12.30.150</w:t>
      </w:r>
      <w:r>
        <w:rPr>
          <w:rFonts w:eastAsia="Calibri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Поставка средств индивидуальной защиты для нужд Жигулевского филиала АО «Гидроремонт-ВКК» в г.Жигулевск</w:t>
      </w:r>
    </w:p>
    <w:p>
      <w:pPr>
        <w:pStyle w:val="Heading4"/>
        <w:numPr>
          <w:ilvl w:val="0"/>
          <w:numId w:val="5"/>
        </w:numPr>
        <w:rPr>
          <w:sz w:val="24"/>
          <w:szCs w:val="24"/>
        </w:rPr>
      </w:pPr>
      <w:r>
        <w:rPr>
          <w:bCs/>
          <w:sz w:val="24"/>
          <w:szCs w:val="24"/>
        </w:rPr>
        <w:t>Общие сведения</w:t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  <w:lang w:eastAsia="x-none"/>
        </w:rPr>
        <w:t>1.1. Наименование закупаемой продукции:</w:t>
      </w:r>
    </w:p>
    <w:p>
      <w:pPr>
        <w:pStyle w:val="Normal"/>
        <w:rPr>
          <w:sz w:val="24"/>
          <w:szCs w:val="24"/>
        </w:rPr>
      </w:pPr>
      <w:r>
        <w:rPr>
          <w:rFonts w:eastAsia="Calibri"/>
          <w:iCs/>
          <w:sz w:val="24"/>
          <w:szCs w:val="24"/>
          <w:lang w:eastAsia="x-none"/>
        </w:rPr>
        <w:t>ОКПД2 14.12.30.150 Поставка средств индивидуальной защиты для нужд Жигулевского филиала АО «Гидроремонт-ВКК» в г.Жигулевск.</w:t>
      </w:r>
    </w:p>
    <w:p>
      <w:pPr>
        <w:pStyle w:val="Heading4"/>
        <w:suppressAutoHyphens w:val="false"/>
        <w:spacing w:before="240" w:after="60"/>
        <w:ind w:left="0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bookmarkStart w:id="0" w:name="_Toc46743507"/>
      <w:r>
        <w:rPr>
          <w:sz w:val="24"/>
          <w:szCs w:val="24"/>
        </w:rPr>
        <w:t xml:space="preserve">Цель </w:t>
      </w:r>
      <w:bookmarkEnd w:id="0"/>
      <w:r>
        <w:rPr>
          <w:sz w:val="24"/>
          <w:szCs w:val="24"/>
        </w:rPr>
        <w:t xml:space="preserve">использования закупаемой продукции </w:t>
      </w:r>
    </w:p>
    <w:p>
      <w:pPr>
        <w:pStyle w:val="Normal"/>
        <w:jc w:val="both"/>
        <w:rPr>
          <w:sz w:val="24"/>
          <w:szCs w:val="24"/>
        </w:rPr>
      </w:pPr>
      <w:r>
        <w:rPr>
          <w:bCs/>
          <w:sz w:val="24"/>
          <w:szCs w:val="24"/>
          <w:lang w:eastAsia="x-none"/>
        </w:rPr>
        <w:t>Обеспечение работников Жигулевского филиала АО «Гидроремонт-ВКК» в г.Жигулевск средствами индивидуальной защиты.</w:t>
      </w:r>
    </w:p>
    <w:p>
      <w:pPr>
        <w:pStyle w:val="Heading4"/>
        <w:rPr>
          <w:sz w:val="24"/>
          <w:szCs w:val="24"/>
        </w:rPr>
      </w:pPr>
      <w:bookmarkStart w:id="1" w:name="_Toc75446569"/>
      <w:r>
        <w:rPr>
          <w:bCs/>
          <w:sz w:val="24"/>
          <w:szCs w:val="24"/>
        </w:rPr>
        <w:t>2.</w:t>
      </w:r>
      <w:bookmarkEnd w:id="1"/>
      <w:r>
        <w:rPr>
          <w:bCs/>
          <w:sz w:val="24"/>
          <w:szCs w:val="24"/>
        </w:rPr>
        <w:t>Требование к продукции</w:t>
      </w:r>
    </w:p>
    <w:p>
      <w:pPr>
        <w:pStyle w:val="BodyText"/>
        <w:spacing w:before="0" w:after="0"/>
        <w:ind w:left="709" w:hanging="709"/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eastAsia="x-none"/>
        </w:rPr>
        <w:t xml:space="preserve"> </w:t>
      </w:r>
      <w:r>
        <w:rPr>
          <w:b/>
          <w:bCs/>
          <w:sz w:val="24"/>
          <w:szCs w:val="24"/>
          <w:lang w:eastAsia="x-none"/>
        </w:rPr>
        <w:t>2. Требования к объемам и срокам поставки</w:t>
      </w:r>
    </w:p>
    <w:p>
      <w:pPr>
        <w:pStyle w:val="BodyText"/>
        <w:spacing w:before="0" w:after="0"/>
        <w:ind w:left="709" w:hanging="709"/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eastAsia="x-none"/>
        </w:rPr>
        <w:t xml:space="preserve"> </w:t>
      </w:r>
      <w:r>
        <w:rPr>
          <w:b/>
          <w:bCs/>
          <w:sz w:val="24"/>
          <w:szCs w:val="24"/>
          <w:lang w:eastAsia="x-none"/>
        </w:rPr>
        <w:t>2.1.1. Перечень и объем закупаемой продукции.</w:t>
      </w:r>
    </w:p>
    <w:p>
      <w:pPr>
        <w:pStyle w:val="Normal"/>
        <w:jc w:val="both"/>
        <w:rPr>
          <w:b/>
          <w:bCs/>
          <w:sz w:val="24"/>
          <w:szCs w:val="24"/>
        </w:rPr>
      </w:pPr>
      <w:bookmarkStart w:id="2" w:name="_Toc75446576"/>
      <w:bookmarkStart w:id="3" w:name="_Toc51339695"/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Таблица 1. Перечень </w:t>
      </w:r>
      <w:bookmarkEnd w:id="3"/>
      <w:r>
        <w:rPr>
          <w:b/>
          <w:bCs/>
          <w:sz w:val="24"/>
          <w:szCs w:val="24"/>
        </w:rPr>
        <w:t>и объем закупаемой продукци</w:t>
      </w:r>
      <w:bookmarkEnd w:id="2"/>
      <w:r>
        <w:rPr>
          <w:b/>
          <w:bCs/>
          <w:sz w:val="24"/>
          <w:szCs w:val="24"/>
        </w:rPr>
        <w:t>и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1053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724"/>
        <w:gridCol w:w="5454"/>
        <w:gridCol w:w="1610"/>
        <w:gridCol w:w="1246"/>
        <w:gridCol w:w="1501"/>
      </w:tblGrid>
      <w:tr>
        <w:trPr>
          <w:tblHeader w:val="true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Наименование продукции</w:t>
            </w:r>
            <w:r>
              <w:rPr>
                <w:rStyle w:val="FootnoteReference"/>
                <w:sz w:val="24"/>
                <w:szCs w:val="24"/>
              </w:rPr>
              <w:footnoteReference w:id="2"/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ОКПД2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>
        <w:trPr/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/>
            </w:pPr>
            <w:r>
              <w:rPr/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Комбинезон для защиты от общих производственных загрязнений из нетканых материалов, плотность не менее 41г/м2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14.12.30.140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Комбинезон для защиты от общих производственных загрязнений из нетканых материалов, плотностью не менее 65г/м2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14.12.30.140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Комбинезон мужской для работы с пескоструйными аппаратами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14.12.30.140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Защитные наколенники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14.12.30.190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>
        <w:trPr/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Очки  защитные для электрогазосварщика с откидным стеклодержателем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32.50.42.120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>
        <w:trPr/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Вкладыши противошумные со шнурком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32.99.11.170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Противошумные наушники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32.99.11.170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>
        <w:trPr/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Противоаэрозольный респиратор с клапаном выдоха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32.99.11.120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1950</w:t>
            </w:r>
          </w:p>
        </w:tc>
      </w:tr>
      <w:tr>
        <w:trPr/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для защиты от повышенных температур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х/б с ПВХ белые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3600</w:t>
            </w:r>
          </w:p>
        </w:tc>
      </w:tr>
      <w:tr>
        <w:trPr/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для защиты от порезов, уровень C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  <w:t>Перчатки для зашиты от порезов, уровень D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  <w:t>Перчатки шерстяные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Перчатки кожаные с крагами из спилка 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>
        <w:trPr>
          <w:trHeight w:val="399" w:hRule="atLeast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с двойным латексным покрытием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Рукавицы брезентовые 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Перчатки спилковые 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Перчатки  с полным  полимерным покрытием 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нитриловые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защитные химически стойкие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с полимерным покрытием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для защиты от повышенных температур утепленные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Рукавицы утепленные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</w:tr>
      <w:tr>
        <w:trPr/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Рукавицы с покрытием из ПВХ с крошкой, с утепленным вкладышем, морозостойкие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14.12.30.150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>
        <w:trPr>
          <w:trHeight w:val="321" w:hRule="atLeast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Термобелье. Комплектация: фуфайка, кальсоны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14.14.1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Очки защитные от ультрафиолетового излучения, слепящей яркости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32.50.42.120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/>
            </w:pPr>
            <w:r>
              <w:rPr/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Щиток защитный лицевой сварщика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32.99.11.160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>
      <w:pPr>
        <w:pStyle w:val="Normal"/>
        <w:rPr>
          <w:i/>
          <w:i/>
          <w:sz w:val="24"/>
          <w:szCs w:val="24"/>
          <w:lang w:eastAsia="x-none"/>
        </w:rPr>
      </w:pPr>
      <w:r>
        <w:rPr>
          <w:i/>
          <w:sz w:val="24"/>
          <w:szCs w:val="24"/>
          <w:lang w:eastAsia="x-none"/>
        </w:rPr>
      </w:r>
    </w:p>
    <w:p>
      <w:pPr>
        <w:pStyle w:val="Normal"/>
        <w:rPr>
          <w:sz w:val="24"/>
          <w:szCs w:val="24"/>
        </w:rPr>
      </w:pPr>
      <w:r>
        <w:rPr>
          <w:i/>
          <w:sz w:val="24"/>
          <w:szCs w:val="24"/>
          <w:lang w:eastAsia="x-none"/>
        </w:rPr>
        <w:t xml:space="preserve"> </w:t>
      </w:r>
      <w:r>
        <w:rPr>
          <w:rFonts w:eastAsia="Calibri"/>
          <w:b/>
          <w:bCs/>
          <w:sz w:val="24"/>
          <w:szCs w:val="24"/>
          <w:lang w:eastAsia="x-none"/>
        </w:rPr>
        <w:t xml:space="preserve">2.1.2 </w:t>
      </w:r>
      <w:bookmarkStart w:id="4" w:name="_Toc75446578"/>
      <w:bookmarkStart w:id="5" w:name="_Toc51339696"/>
      <w:r>
        <w:rPr>
          <w:rFonts w:eastAsia="Calibri"/>
          <w:b/>
          <w:bCs/>
          <w:sz w:val="24"/>
          <w:szCs w:val="24"/>
          <w:lang w:eastAsia="x-none"/>
        </w:rPr>
        <w:t xml:space="preserve">Требования </w:t>
      </w:r>
      <w:bookmarkEnd w:id="5"/>
      <w:r>
        <w:rPr>
          <w:rFonts w:eastAsia="Calibri"/>
          <w:b/>
          <w:bCs/>
          <w:sz w:val="24"/>
          <w:szCs w:val="24"/>
          <w:lang w:eastAsia="x-none"/>
        </w:rPr>
        <w:t xml:space="preserve">к срокам поставки продукции </w:t>
      </w:r>
      <w:bookmarkEnd w:id="4"/>
    </w:p>
    <w:p>
      <w:pPr>
        <w:pStyle w:val="Normal"/>
        <w:rPr>
          <w:sz w:val="24"/>
          <w:szCs w:val="24"/>
        </w:rPr>
      </w:pPr>
      <w:bookmarkStart w:id="6" w:name="_Toc75446579"/>
      <w:bookmarkStart w:id="7" w:name="_Toc51339697"/>
      <w:bookmarkStart w:id="8" w:name="_Toc50125127"/>
      <w:r>
        <w:rPr>
          <w:rFonts w:eastAsia="Calibri"/>
          <w:b/>
          <w:bCs/>
          <w:sz w:val="24"/>
          <w:szCs w:val="24"/>
          <w:lang w:eastAsia="x-none"/>
        </w:rPr>
        <w:t xml:space="preserve">Таблица 2. </w:t>
      </w:r>
      <w:bookmarkStart w:id="9" w:name="_Hlk50465284"/>
      <w:r>
        <w:rPr>
          <w:rFonts w:eastAsia="Calibri"/>
          <w:b/>
          <w:bCs/>
          <w:sz w:val="24"/>
          <w:szCs w:val="24"/>
          <w:lang w:eastAsia="x-none"/>
        </w:rPr>
        <w:t xml:space="preserve">Требования по срокам </w:t>
      </w:r>
      <w:bookmarkEnd w:id="7"/>
      <w:bookmarkEnd w:id="8"/>
      <w:bookmarkEnd w:id="9"/>
      <w:r>
        <w:rPr>
          <w:rFonts w:eastAsia="Calibri"/>
          <w:b/>
          <w:bCs/>
          <w:sz w:val="24"/>
          <w:szCs w:val="24"/>
          <w:lang w:eastAsia="x-none"/>
        </w:rPr>
        <w:t>поставки продукции</w:t>
      </w:r>
      <w:bookmarkEnd w:id="6"/>
      <w:r>
        <w:rPr>
          <w:rFonts w:eastAsia="Calibri"/>
          <w:b/>
          <w:bCs/>
          <w:sz w:val="24"/>
          <w:szCs w:val="24"/>
          <w:lang w:eastAsia="x-none"/>
        </w:rPr>
        <w:t xml:space="preserve"> </w:t>
      </w:r>
    </w:p>
    <w:tbl>
      <w:tblPr>
        <w:tblW w:w="103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717"/>
        <w:gridCol w:w="4041"/>
        <w:gridCol w:w="2390"/>
        <w:gridCol w:w="3216"/>
      </w:tblGrid>
      <w:tr>
        <w:trPr/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 / партии продукции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началу срока поставки продукции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поставки продукции</w:t>
            </w:r>
          </w:p>
        </w:tc>
      </w:tr>
      <w:tr>
        <w:trPr/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eastAsia="x-none"/>
              </w:rPr>
              <w:t>ОКПД2 14.12.30.150 Поставка средств индивидуальной защиты для нужд Жигулевского филиала АО «Гидроремонт-ВКК» в г.Жигулевск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даты подписания договора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Не позднее 26.12.2027</w:t>
            </w:r>
            <w:r>
              <w:rPr>
                <w:bCs/>
                <w:sz w:val="24"/>
                <w:szCs w:val="24"/>
                <w:lang w:val="en-US" w:eastAsia="x-none"/>
              </w:rPr>
              <w:t>*</w:t>
            </w:r>
          </w:p>
        </w:tc>
      </w:tr>
    </w:tbl>
    <w:p>
      <w:pPr>
        <w:pStyle w:val="Normal"/>
        <w:jc w:val="both"/>
        <w:rPr>
          <w:bCs/>
          <w:sz w:val="24"/>
          <w:szCs w:val="24"/>
          <w:lang w:eastAsia="x-none"/>
        </w:rPr>
      </w:pPr>
      <w:r>
        <w:rPr>
          <w:bCs/>
          <w:sz w:val="24"/>
          <w:szCs w:val="24"/>
          <w:lang w:eastAsia="x-none"/>
        </w:rPr>
        <w:t>* Средства индивидуальной защиты выдаются работникам, согласно утвержденным нормам, в течение года по заявкам.</w:t>
      </w:r>
    </w:p>
    <w:p>
      <w:pPr>
        <w:pStyle w:val="Normal"/>
        <w:widowControl w:val="false"/>
        <w:numPr>
          <w:ilvl w:val="0"/>
          <w:numId w:val="0"/>
        </w:numPr>
        <w:ind w:left="0" w:hanging="0"/>
        <w:jc w:val="both"/>
        <w:outlineLvl w:val="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Поставка осуществляется по заявкам, объем продукции является ориентировочным. Покупатель не несет ответственности за неполную выборку продукции на общую сумму договора.</w:t>
      </w:r>
    </w:p>
    <w:p>
      <w:pPr>
        <w:pStyle w:val="Normal"/>
        <w:jc w:val="both"/>
        <w:rPr>
          <w:highlight w:val="none"/>
          <w:shd w:fill="auto" w:val="clear"/>
        </w:rPr>
      </w:pPr>
      <w:r>
        <w:rPr>
          <w:rFonts w:eastAsia="Calibri"/>
          <w:bCs/>
          <w:sz w:val="24"/>
          <w:szCs w:val="24"/>
          <w:shd w:fill="auto" w:val="clear"/>
          <w:lang w:eastAsia="x-none"/>
        </w:rPr>
        <w:t>Заявка на соответствующую партию Продукции направляется по факсу/электронной почте/нарочно Поставщику в срок не менее 7 (семи) календарных дней до даты поставки. После получения Заявки Поставщик обязан подписать её и направить Покупателю по факсу / электронной почте/нарочно. В случае неполучения подписанной Заявки Покупателем, Заявка считается согласованной с момента её отправки Поставщиком по факсу/электронной почте/нарочно.</w:t>
      </w:r>
    </w:p>
    <w:p>
      <w:pPr>
        <w:pStyle w:val="Normal"/>
        <w:jc w:val="both"/>
        <w:rPr>
          <w:highlight w:val="none"/>
          <w:shd w:fill="auto" w:val="clear"/>
        </w:rPr>
      </w:pPr>
      <w:r>
        <w:rPr>
          <w:rFonts w:eastAsia="Calibri"/>
          <w:sz w:val="24"/>
          <w:szCs w:val="24"/>
          <w:shd w:fill="auto" w:val="clear"/>
        </w:rPr>
        <w:t>Срок поставки по каждой Заявке указывается в Заявке Покупателя, конечный срок поставки - не позднее 26.12.2027 г.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Cs/>
          <w:sz w:val="20"/>
          <w:szCs w:val="24"/>
          <w:lang w:eastAsia="x-none"/>
        </w:rPr>
      </w:pPr>
      <w:r>
        <w:rPr>
          <w:bCs/>
          <w:sz w:val="20"/>
          <w:szCs w:val="24"/>
          <w:lang w:eastAsia="x-none"/>
        </w:rPr>
      </w:r>
    </w:p>
    <w:p>
      <w:pPr>
        <w:pStyle w:val="Normal"/>
        <w:ind w:right="-2" w:hanging="0"/>
        <w:rPr>
          <w:sz w:val="24"/>
          <w:szCs w:val="24"/>
        </w:rPr>
      </w:pPr>
      <w:r>
        <w:rPr>
          <w:b/>
          <w:bCs/>
          <w:sz w:val="24"/>
          <w:szCs w:val="24"/>
        </w:rPr>
        <w:t>2.2. Требования к качеству продукции:</w:t>
      </w:r>
    </w:p>
    <w:p>
      <w:pPr>
        <w:pStyle w:val="Normal"/>
        <w:ind w:right="-2" w:hanging="0"/>
        <w:rPr>
          <w:sz w:val="24"/>
          <w:szCs w:val="24"/>
        </w:rPr>
      </w:pPr>
      <w:r>
        <w:rPr>
          <w:b/>
          <w:bCs/>
          <w:iCs/>
          <w:sz w:val="24"/>
          <w:szCs w:val="24"/>
          <w:lang w:eastAsia="ar-SA"/>
        </w:rPr>
        <w:t>Таблица 3. Требования к продукции.</w:t>
      </w:r>
      <w:bookmarkStart w:id="10" w:name="_Toc54785622_Копия_1"/>
      <w:bookmarkEnd w:id="10"/>
    </w:p>
    <w:p>
      <w:pPr>
        <w:sectPr>
          <w:headerReference w:type="default" r:id="rId3"/>
          <w:headerReference w:type="first" r:id="rId4"/>
          <w:footerReference w:type="default" r:id="rId5"/>
          <w:footnotePr>
            <w:numFmt w:val="decimal"/>
          </w:footnotePr>
          <w:type w:val="nextPage"/>
          <w:pgSz w:w="11906" w:h="16838"/>
          <w:pgMar w:left="1134" w:right="567" w:gutter="0" w:header="680" w:top="994" w:footer="0" w:bottom="709"/>
          <w:pgNumType w:fmt="decimal"/>
          <w:formProt w:val="false"/>
          <w:textDirection w:val="lrTb"/>
          <w:docGrid w:type="default" w:linePitch="100" w:charSpace="0"/>
        </w:sectPr>
        <w:pStyle w:val="Normal"/>
        <w:jc w:val="both"/>
        <w:rPr/>
      </w:pPr>
      <w:r>
        <w:rPr>
          <w:iCs/>
          <w:sz w:val="24"/>
          <w:szCs w:val="24"/>
          <w:lang w:eastAsia="ar-SA"/>
        </w:rPr>
        <w:t xml:space="preserve">Наименование продукции: В соответствии с </w:t>
      </w:r>
      <w:bookmarkStart w:id="11" w:name="_Toc51339695_Копия_1_Копия_1"/>
      <w:r>
        <w:rPr>
          <w:iCs/>
          <w:sz w:val="24"/>
          <w:szCs w:val="24"/>
        </w:rPr>
        <w:t>Таблиц</w:t>
      </w:r>
      <w:bookmarkEnd w:id="11"/>
      <w:r>
        <w:rPr>
          <w:iCs/>
          <w:sz w:val="24"/>
          <w:szCs w:val="24"/>
        </w:rPr>
        <w:t>ей 1. Перечень и объем закупаемой продукции.</w:t>
      </w:r>
      <w:r>
        <w:br w:type="page"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noHBand="0" w:noVBand="0" w:firstColumn="0" w:lastRow="0" w:lastColumn="0" w:firstRow="0"/>
      </w:tblPr>
      <w:tblGrid>
        <w:gridCol w:w="687"/>
        <w:gridCol w:w="2547"/>
        <w:gridCol w:w="4595"/>
        <w:gridCol w:w="3123"/>
        <w:gridCol w:w="2034"/>
        <w:gridCol w:w="1583"/>
      </w:tblGrid>
      <w:tr>
        <w:trPr>
          <w:tblHeader w:val="true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pageBreakBefore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Наименование параметра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Требование заказчика</w:t>
            </w:r>
          </w:p>
        </w:tc>
        <w:tc>
          <w:tcPr>
            <w:tcW w:w="5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Способ подтверждения участником соответствия требованиям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Предложение участника по характеристикам и параметрам</w:t>
            </w:r>
          </w:p>
        </w:tc>
      </w:tr>
      <w:tr>
        <w:trPr>
          <w:tblHeader w:val="true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rPr/>
            </w:pPr>
            <w:r>
              <w:rPr/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Согласие с требованием/ 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Предоставле</w:t>
              <w:softHyphen/>
              <w:t>ние подтвер</w:t>
              <w:softHyphen/>
              <w:t xml:space="preserve">ждающего 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</w:t>
              <w:softHyphen/>
              <w:t>кумента или иной способ подт-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вержде</w:t>
              <w:softHyphen/>
              <w:t>ния</w:t>
            </w:r>
          </w:p>
        </w:tc>
        <w:tc>
          <w:tcPr>
            <w:tcW w:w="15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/>
            </w:pPr>
            <w:r>
              <w:rPr/>
              <w:t>1.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Комбинезон для защиты от общих производственных загрязнений из нетканных материалов</w:t>
            </w: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 xml:space="preserve">Нетканый материал из термоскрепленных волокон полиэтилена поверхностной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681" w:hRule="atLeast"/>
        </w:trPr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  <w:lang w:eastAsia="x-none"/>
              </w:rPr>
              <w:t>плотность не менее 41г/м</w:t>
            </w:r>
            <w:r>
              <w:rPr>
                <w:sz w:val="22"/>
                <w:szCs w:val="22"/>
                <w:shd w:fill="FFFFFF" w:val="clear"/>
                <w:vertAlign w:val="superscript"/>
                <w:lang w:eastAsia="x-none"/>
              </w:rPr>
              <w:t>2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Указание</w:t>
            </w:r>
          </w:p>
          <w:p>
            <w:pPr>
              <w:pStyle w:val="Normal"/>
              <w:widowControl w:val="false"/>
              <w:suppressAutoHyphens w:val="false"/>
              <w:rPr>
                <w:color w:val="000000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Комбинезон с капюшоном на молнии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Комбинезон для защиты от общих производственных загрязнений из нетканных материалов</w:t>
            </w: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Материал : Мембрана, Спанбонд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  <w:lang w:eastAsia="x-none"/>
              </w:rPr>
              <w:t>плотность не менее 65г/м</w:t>
            </w:r>
            <w:r>
              <w:rPr>
                <w:sz w:val="22"/>
                <w:szCs w:val="22"/>
                <w:shd w:fill="FFFFFF" w:val="clear"/>
                <w:vertAlign w:val="superscript"/>
                <w:lang w:eastAsia="x-none"/>
              </w:rPr>
              <w:t>2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Указание</w:t>
            </w:r>
          </w:p>
          <w:p>
            <w:pPr>
              <w:pStyle w:val="Normal"/>
              <w:widowControl w:val="false"/>
              <w:suppressAutoHyphens w:val="false"/>
              <w:rPr>
                <w:color w:val="000000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Комбинезон с капюшоном на молнии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Проклеенные швы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Комбинезон мужской для работы с пескоструйными аппаратами</w:t>
            </w: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Комбинезон пескоструйщика предназначен для защиты оператора от прямого попадания или рикошета абразивного материала при дробеструйных и пескоструйных работах. Для защиты от общих производственных загрязнений и механических воздействий.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position w:val="0"/>
                <w:sz w:val="22"/>
                <w:sz w:val="22"/>
                <w:szCs w:val="22"/>
                <w:vertAlign w:val="baseline"/>
              </w:rPr>
              <w:t>Состав основной таки:100% хлопок, плотность 310 г/кв.м., переплетение – усиленная саржа 2×1.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position w:val="0"/>
                <w:sz w:val="22"/>
                <w:sz w:val="22"/>
                <w:szCs w:val="22"/>
                <w:vertAlign w:val="baseline"/>
              </w:rPr>
              <w:t>Спилок: высококачественный шлифованный, толщина 0,8–1,1 мм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Указание</w:t>
            </w:r>
          </w:p>
          <w:p>
            <w:pPr>
              <w:pStyle w:val="Normal"/>
              <w:widowControl w:val="false"/>
              <w:suppressAutoHyphens w:val="false"/>
              <w:rPr>
                <w:color w:val="000000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Защитные наколенники</w:t>
            </w: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Наколенники защитные профессиональные из материалов, не поддерживающих горение - предназначены для защиты коленных суставов от механических воздействий (в т.ч. от ударов и порезов, истирания, общих производственных загрязнений), а также от контакта с нагретыми поверхностями, искр, окалины и т.п.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Внешний слой: брезент серого цвета с огнестойкой пропиткой плотность 520 г/м².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hd w:fill="FFFFFF" w:val="clear"/>
              </w:rPr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Внутренний слой: хлопчатобумажная ткань с огнестойкой пропиткой и двойная амортизирующая вставка из вспененного ПУ.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защитной чашки: износостойкий, не поддерживающий горение ПВХ.</w:t>
            </w:r>
          </w:p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Четырехточечное крепление наколенника широкими эластичными противоскользящими лентами с силиконовыми дорожками и термостойкими застежками велькро (липучка).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Очки  защитные для электрогазосварщика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откидным стеклодержателем</w:t>
            </w: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Очки закрытого типа  защиты глаз  от ионизирующего излучения, брызг расплавленного металла и горючих частиц, а также механических воздействий. Использование с корригирующими очками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Материал: Силикатное стекло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вентиляции: Непрямой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 фильтра: Бесцветный/черный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Степень затемнения: 5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Вкладыши противошумные со шнурком</w:t>
            </w: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Одноразовые вкладыши с н</w:t>
            </w:r>
            <w:r>
              <w:rPr>
                <w:color w:val="000000"/>
                <w:sz w:val="22"/>
                <w:szCs w:val="22"/>
              </w:rPr>
              <w:t>ейлоновым соединительным шнурком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927" w:hRule="atLeast"/>
        </w:trPr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Акустическая эффективность: Не менее 35 дБ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 xml:space="preserve">Указание </w:t>
            </w:r>
          </w:p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Материал: Полиуретан вспененный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Противошумные наушники </w:t>
            </w: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</w:t>
            </w:r>
          </w:p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оголовья: Пластик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Тип оголовья: С креплением на каску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Наполнитель звукоизоляторов: Вспененный полиуретан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  <w:lang w:eastAsia="x-none"/>
              </w:rPr>
              <w:t xml:space="preserve">Акустическая эффективность: </w:t>
            </w:r>
            <w:r>
              <w:rPr>
                <w:rFonts w:eastAsia="Calibri"/>
                <w:bCs/>
                <w:sz w:val="22"/>
                <w:szCs w:val="22"/>
              </w:rPr>
              <w:t>Не менее 27 дБ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 xml:space="preserve">Указание </w:t>
            </w:r>
          </w:p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b w:val="false"/>
                <w:bCs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Противоаэрозольный респиратор с клапаном выдоха</w:t>
            </w:r>
            <w:r>
              <w:rPr>
                <w:rStyle w:val="Style8"/>
                <w:rFonts w:eastAsia="Calibri"/>
                <w:b w:val="false"/>
                <w:bCs/>
                <w:i w:val="false"/>
                <w:color w:val="000000"/>
                <w:sz w:val="24"/>
                <w:szCs w:val="24"/>
                <w:shd w:fill="auto" w:val="clear"/>
                <w:lang w:eastAsia="x-none"/>
              </w:rPr>
              <w:t>*</w:t>
            </w:r>
          </w:p>
          <w:p>
            <w:pPr>
              <w:pStyle w:val="Normal"/>
              <w:widowControl w:val="false"/>
              <w:rPr>
                <w:bCs/>
                <w:color w:val="000000"/>
                <w:sz w:val="22"/>
                <w:szCs w:val="22"/>
                <w:lang w:eastAsia="x-none"/>
              </w:rPr>
            </w:pPr>
            <w:r>
              <w:rPr>
                <w:bCs/>
                <w:color w:val="000000"/>
                <w:sz w:val="22"/>
                <w:szCs w:val="22"/>
                <w:lang w:eastAsia="x-none"/>
              </w:rPr>
            </w:r>
          </w:p>
          <w:p>
            <w:pPr>
              <w:pStyle w:val="Normal"/>
              <w:widowControl w:val="false"/>
              <w:rPr>
                <w:bCs/>
                <w:color w:val="000000"/>
                <w:sz w:val="22"/>
                <w:szCs w:val="22"/>
                <w:lang w:eastAsia="x-none"/>
              </w:rPr>
            </w:pPr>
            <w:r>
              <w:rPr>
                <w:bCs/>
                <w:color w:val="000000"/>
                <w:sz w:val="22"/>
                <w:szCs w:val="22"/>
                <w:lang w:eastAsia="x-none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Полумаска чашеобразной формы для защиты органов дыхания от аэрозолей (пыль, дым, туман)  с алюминиевым носовым зажимом и клапаном выдоха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Степень защиты: FFP2 (до 12 ПДК)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для защиты от повышенных температур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Краги сварщика, пятипалые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Для защиты от механических воздействий и повышенных температур от (искр, брызг расплавленного металла, окалин).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основы: Спилок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Толщина спилка 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- 1,3 - 1,5 мм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Материал подкладки: 100% полиэстер в ладонной части, 100% хлопок в области краги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краг: Не менее 350 мм.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Перчатки х/б с ПВХ</w:t>
            </w:r>
            <w:r>
              <w:rPr>
                <w:rStyle w:val="Style8"/>
                <w:rFonts w:eastAsia="Calibri"/>
                <w:b w:val="false"/>
                <w:bCs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Перчатки кругловязаные хлопчатобумажные с точечным ПВХ-покрытием наладонника.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Состав ткани: 70% хлопок, 30% полиэфир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Класс вязки: 13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Цвет: белый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Style w:val="Style8"/>
                <w:rFonts w:eastAsia="Calibri"/>
                <w:b w:val="false"/>
                <w:bCs/>
                <w:i w:val="false"/>
                <w:color w:val="000000"/>
                <w:sz w:val="22"/>
                <w:szCs w:val="22"/>
                <w:shd w:fill="auto" w:val="clear"/>
                <w:lang w:eastAsia="en-US"/>
              </w:rPr>
              <w:t>Перчатки для защиты от порезов уровень С</w:t>
            </w:r>
            <w:r>
              <w:rPr>
                <w:rStyle w:val="Style8"/>
                <w:rFonts w:eastAsia="Calibri"/>
                <w:b w:val="false"/>
                <w:bCs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*</w:t>
            </w:r>
          </w:p>
          <w:p>
            <w:pPr>
              <w:pStyle w:val="Normal"/>
              <w:widowControl w:val="false"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rFonts w:eastAsia="Calibri"/>
                <w:bCs/>
                <w:color w:val="000000"/>
                <w:lang w:eastAsia="en-US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Перчатки для защиты от порезов </w:t>
            </w:r>
            <w:r>
              <w:rPr>
                <w:rFonts w:eastAsia="Calibri" w:ascii="Source Sans Pro;sans-serif" w:hAnsi="Source Sans Pro;sans-serif"/>
                <w:bCs/>
                <w:color w:val="000000"/>
                <w:sz w:val="22"/>
                <w:szCs w:val="22"/>
              </w:rPr>
              <w:t>(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уровень С) и работ в сухих и слегка замасленных условиях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Конструкция: Вязанные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Покрытие : Полиуретан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покрытия: Ладонная часть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Манжета: Трикотажная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Длина, мм: Не менее 210-270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35"/>
              <w:widowControl w:val="false"/>
              <w:rPr>
                <w:color w:val="000000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Класс вязки: не менее 13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Защитные свойства по</w:t>
            </w:r>
          </w:p>
          <w:p>
            <w:pPr>
              <w:pStyle w:val="Style35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rFonts w:ascii="Source Sans Pro;sans-serif" w:hAnsi="Source Sans Pro;sans-serif"/>
                <w:color w:val="000000"/>
                <w:sz w:val="20"/>
                <w:szCs w:val="22"/>
              </w:rPr>
              <w:t xml:space="preserve">ТР ТС 019/2011: </w:t>
            </w:r>
            <w:r>
              <w:rPr>
                <w:color w:val="000000"/>
                <w:sz w:val="22"/>
                <w:szCs w:val="22"/>
              </w:rPr>
              <w:t>3 Ми Мп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для защиты от порезов, уровень D*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Перчатки для защиты от порезов </w:t>
            </w:r>
            <w:r>
              <w:rPr>
                <w:rFonts w:eastAsia="Calibri" w:ascii="Source Sans Pro;sans-serif" w:hAnsi="Source Sans Pro;sans-serif"/>
                <w:bCs/>
                <w:color w:val="000000"/>
                <w:sz w:val="22"/>
                <w:szCs w:val="22"/>
              </w:rPr>
              <w:t>(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уровень D) и для работ с листовым металлом, металлоконструкциями, стеклом, пластмассовыми изделиями и другими предметами с острыми краями в замасленных средах.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Конструкция: Вязанные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Покрытие : Нитрил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покрытия: Ладонная часть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Манжета: Трикотажная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Длина, мм: Не менее 230-270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Класс вязки: не менее 13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Защитные свойства по</w:t>
            </w:r>
          </w:p>
          <w:p>
            <w:pPr>
              <w:pStyle w:val="Style35"/>
              <w:widowControl w:val="false"/>
              <w:rPr>
                <w:rFonts w:ascii="Times New Roman" w:hAnsi="Times New Roman"/>
              </w:rPr>
            </w:pPr>
            <w:r>
              <w:rPr>
                <w:color w:val="000000"/>
                <w:sz w:val="20"/>
                <w:szCs w:val="22"/>
              </w:rPr>
              <w:t xml:space="preserve">ТР ТС 019/2011: </w:t>
            </w:r>
            <w:r>
              <w:rPr>
                <w:color w:val="000000"/>
                <w:sz w:val="22"/>
                <w:szCs w:val="22"/>
              </w:rPr>
              <w:t>3 Ми Мп Нм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шерстяные*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предназначены для защиты рук от общепроизводственных загрязнений и механических воздействий при работе в условиях пониженных температур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Полушерстяные  перчатки на утепленной подкладке с наладонниками усиленными спилковыми накладками.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Материал: 50 % шерсть,50% ПАН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Подкладка: флисовая ткань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плотность  не менее 130 гр/м2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Наладонник: Спилок 0,6-0,8 мм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кожаные с крагами из спилка 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 xml:space="preserve">Перчатки сшитые из тонкой козьей кожи с крагой из спилка для защиты от повышенных температур (кратковременного воздействия открытого пламени, теплового излучения, конвективной теплоты, искр, брызг расплавленного металла, контакта с нагретыми поверхностями), общих производственных загрязнений механических воздействий (истрания, порезов, проколов).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Конструкция: сшитые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Назначение: - аргонной сварки</w:t>
            </w:r>
          </w:p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- шлифовки, обработки металлов</w:t>
            </w:r>
          </w:p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- технического обслуживания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Тип манжеты: притачная крага.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Толщина: 0,9 ±0,2 мм.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Длина перчаток: 320-360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Материал: козья кожа, спилок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Перчатки с двойным латексным покрытием на ладонной части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Перчатки защитные от механических воздействий  с </w:t>
            </w:r>
            <w:r>
              <w:rPr>
                <w:color w:val="000000"/>
                <w:sz w:val="22"/>
                <w:szCs w:val="22"/>
              </w:rPr>
              <w:t>двойным латексным покрытием на ладонной части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ладонная часть усилена двойным латексным покрытием.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Материал основы: хлопок -100%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покрытия: Латекс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покрытия: Частичное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1.16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Рукавицы брезентовые*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Рукавицы для защиты от механических повреждений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Материал: Брезент ОП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Плотность, г/м</w:t>
            </w:r>
            <w:r>
              <w:rPr>
                <w:rFonts w:eastAsia="Calibri"/>
                <w:bCs/>
                <w:sz w:val="22"/>
                <w:szCs w:val="22"/>
                <w:vertAlign w:val="superscript"/>
              </w:rPr>
              <w:t xml:space="preserve">2:  </w:t>
            </w:r>
            <w:r>
              <w:rPr>
                <w:rFonts w:eastAsia="Calibri"/>
                <w:bCs/>
                <w:sz w:val="22"/>
                <w:szCs w:val="22"/>
              </w:rPr>
              <w:t xml:space="preserve">Не менее 480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спилковые*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для защиты от общих производственных загрязнений и механического воздействия (истирания, про- колов, порезов)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Перчатки с усиленной накладкой на ладонной части, большом и указательном пальцах.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Материал: воловий спилок, ткань-хлопок 100%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7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Материал подкладки: 100% полиэстер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Стойкость к истиранию: 4 (8000 циклов)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Стойкость к порезам -2 (2,5 показатель)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Сопротивление раздиру: 3 (50 Ньютонов)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7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Сопротивление проколу: 4 (150 Ньютонов)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7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Стойкость к порезам (EN ISO 13997): В (5 Ньютонов)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Перчатки   с полным  полимерным покрытием*</w:t>
            </w:r>
          </w:p>
          <w:p>
            <w:pPr>
              <w:pStyle w:val="Normal"/>
              <w:widowControl w:val="false"/>
              <w:rPr>
                <w:rFonts w:eastAsia="Calibri"/>
                <w:color w:val="000000"/>
                <w:sz w:val="22"/>
                <w:szCs w:val="22"/>
                <w:lang w:eastAsia="x-none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x-none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Для защиты рук от механических воздействий, от нефти и нефтепродуктов.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Перчатки с полным полимерным покрытием.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Материал: Джерси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покрытия: Полное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Покрытие: Нитрил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Длина, мм: 240-280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</w:p>
          <w:p>
            <w:pPr>
              <w:pStyle w:val="Normal"/>
              <w:widowControl w:val="false"/>
              <w:suppressAutoHyphens w:val="false"/>
              <w:rPr>
                <w:highlight w:val="yellow"/>
                <w:shd w:fill="FFFFFF" w:val="clear"/>
              </w:rPr>
            </w:pPr>
            <w:r>
              <w:rPr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Манжет: Крага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нитриловые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Защита рук от механического воздействия, кислот, щелочей, спиртов, растворителей, нефти и нефтепродуктов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Материал: Нитрил. 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Хлопковое напыление внутри перчатки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Степень защиты: кислоты до 80%, щёлочи до 50 %, нефть и нефтепродукты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Длина: Не менее 300 мм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манжеты: Прямая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1.20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защитные химически стойкие</w:t>
            </w:r>
            <w:r>
              <w:rPr>
                <w:color w:val="000000"/>
                <w:sz w:val="22"/>
                <w:szCs w:val="22"/>
              </w:rPr>
              <w:t>*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Защита рук от механического воздействия, кислот, щелочей, спиртов, растворителей, нефти и нефтепродуктов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Материал: Латекс с добавлением неопрена (95%латекса и 5% неопрена).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Хлопковое покрытие внутри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Длина, мм: Не менее 300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манжеты: Прямая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Перчатки с полимерным покрытием*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Для защиты рук от механических воздействий, от нефти и нефтепродуктов.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Материал</w:t>
            </w:r>
          </w:p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покрытия: Нитрил, покрытие на ¾ длины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Материал основы: Интерлок (хлопок 100%0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Тип манжеты: Трикотажная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Длина, мм: Не менее 270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1.22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Style w:val="Style8"/>
                <w:rFonts w:eastAsia="Calibri"/>
                <w:b w:val="false"/>
                <w:i w:val="false"/>
                <w:color w:val="000000"/>
                <w:sz w:val="22"/>
                <w:szCs w:val="22"/>
                <w:shd w:fill="auto" w:val="clear"/>
                <w:lang w:eastAsia="x-none"/>
              </w:rPr>
              <w:t>Перчатки для защиты от повышенных температур (утепленные)*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2880" w:leader="none"/>
              </w:tabs>
              <w:ind w:left="0" w:hanging="0"/>
              <w:outlineLvl w:val="1"/>
              <w:rPr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Для защиты рук от искр, брызг расплавленного металла, повышенных температур</w:t>
            </w:r>
            <w:r>
              <w:rPr>
                <w:rFonts w:eastAsia="Calibri" w:ascii="Montserrat;sans-serif" w:hAnsi="Montserrat;sans-serif"/>
                <w:bCs/>
                <w:color w:val="000000"/>
                <w:sz w:val="21"/>
                <w:szCs w:val="22"/>
              </w:rPr>
              <w:t> 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при работе в условиях пониженных температур.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Краги спилковые, пятипалые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Материал: Спилок (толщина  1,1-1,3 мм)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Подкладка: Искуственный мех или флис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Манжета: крага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Длина, мм: Не менее 350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Рукавицы утепленные</w:t>
            </w:r>
            <w:r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  <w:shd w:fill="auto" w:val="clear"/>
              </w:rPr>
              <w:t>Материал: Ткань диагональ гладкокрашеная  плотность не менее 220 г/м² или брезент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Утеплитель: Ватин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color w:val="101010"/>
                <w:sz w:val="22"/>
                <w:szCs w:val="22"/>
              </w:rPr>
              <w:t xml:space="preserve">Плотность: Не менее </w:t>
            </w:r>
            <w:r>
              <w:rPr>
                <w:rFonts w:eastAsia="Calibri"/>
                <w:bCs/>
                <w:sz w:val="22"/>
                <w:szCs w:val="22"/>
              </w:rPr>
              <w:t>300 г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/м²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1.24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Рукавицы с покрытием из ПВХ с крошкой, с утепленным вкладышем, морозостойкие*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  <w:shd w:fill="auto" w:val="clear"/>
              </w:rPr>
              <w:t>Материал: Ткань диагональ гладкокрашеная  плотность не менее 220 г/м² или брезент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Указание 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Утеплитель: Ватин 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rFonts w:eastAsia="Calibri"/>
                <w:bCs/>
                <w:color w:val="101010"/>
                <w:sz w:val="22"/>
                <w:szCs w:val="22"/>
              </w:rPr>
              <w:t xml:space="preserve">Плотность: Не менее </w:t>
            </w:r>
            <w:r>
              <w:rPr>
                <w:rFonts w:eastAsia="Calibri"/>
                <w:bCs/>
                <w:sz w:val="22"/>
                <w:szCs w:val="22"/>
              </w:rPr>
              <w:t>300 г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/м²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Термобелье</w:t>
            </w:r>
            <w:r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Комплектация: Фуфайка, кальсоны (мужское)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Состав: Внутренний слой - хлопок 100 %, </w:t>
            </w:r>
          </w:p>
          <w:p>
            <w:pPr>
              <w:pStyle w:val="Normal"/>
              <w:widowControl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Внешний слой -шерсть 60%, акрил 40%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Плотность: Не менее 230г/м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Очки защитные от ультрафиолетового излучения, слепящей яркости*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Защита глаз от ультрафиолетового излучения, слепящей яркости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линзы: Поликорбанат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Цвет: Серый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Покрытие: Защита от запотевания (с внутренней стороны) и Защита от царапин с внешней стороны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Оптический класс: 1 (не дает искажений)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Согласие 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1.27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Щиток защитный лицевой сварщика*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Четыре датчика-индикатора сварочной дуги: светофильтр затемняется независимо от положения, в котором проводит работу сварщик. Регулировка сварочного щитка снаружи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hd w:fill="FFFFFF" w:val="clear"/>
              </w:rPr>
            </w:pPr>
            <w:r>
              <w:rPr>
                <w:shd w:fill="FFFFFF" w:val="clear"/>
              </w:rPr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Автоматически затемняющийся светофильтр: есть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Степени затемнения: 9—13 DIN, в светлом состоянии — 4 DIN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 затемнения: 0,04 мс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 высветления: 100—1000 мс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зрения светофильтра: 95 x 62 мм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Уровни светочувствительности: плавная регулировка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датчиков-индикаторов дуги: 4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Режим шлифовки (Grind): есть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Возможность использования с фильтрующей полумаской: есть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Источник питания: сменные элементы питания, солнечная батарея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Комплектация: щиток, сменные покрывные стёкла, батарейка, инструкция по эксплуатации.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Указание </w:t>
            </w:r>
            <w:r>
              <w:rPr>
                <w:color w:val="000000"/>
                <w:sz w:val="22"/>
                <w:szCs w:val="22"/>
              </w:rPr>
              <w:t>характеристик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безопасности продукции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Средства  индивидуальной защиты </w:t>
            </w:r>
            <w:r>
              <w:rPr>
                <w:bCs/>
                <w:sz w:val="22"/>
                <w:szCs w:val="22"/>
              </w:rPr>
              <w:t>не должны оказывать вредного воздействия на здоровье пользователя, либо уровни их воздействия не должны превышать установленные  нормы при эксплуатации в условиях, предусмотренных изготовителем.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конструкции, изготовлению и материалам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материалам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Материалы, используемые для изготовления </w:t>
            </w:r>
            <w:r>
              <w:rPr>
                <w:rFonts w:eastAsia="Calibri"/>
                <w:bCs/>
                <w:sz w:val="22"/>
                <w:szCs w:val="22"/>
              </w:rPr>
              <w:t>средств индивидуальной защиты</w:t>
            </w:r>
            <w:r>
              <w:rPr>
                <w:bCs/>
                <w:sz w:val="22"/>
                <w:szCs w:val="22"/>
              </w:rPr>
              <w:t xml:space="preserve"> и вещества, которые могут выделяться при их эксплуатации, не должны вызывать у пользователя заболевание и (или) травму.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доставке, маркировке, упаковке, транс</w:t>
              <w:softHyphen/>
              <w:t>портировке, перемещению, условиям хранения, приемке и испытаниям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4.1.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Место поставки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РФ, 445350, Самарская область, г. Жигулевск, территория Жигулевская ГЭС.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Приемка продукции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432" w:leader="none"/>
                <w:tab w:val="left" w:pos="459" w:leader="none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Только в рабочие дни с 9-00 до 11-00 и с 14-00 до 16-00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Информация о транспорте, на котором осуществляется до</w:t>
              <w:softHyphen/>
              <w:t>ставка, для оформления допуска на территорию предостав</w:t>
              <w:softHyphen/>
              <w:t>ляется не позднее предыдущего рабочего дня до прибытия транспорта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25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Условия поставки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67" w:leader="none"/>
              </w:tabs>
              <w:spacing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eastAsia="Calibri"/>
                <w:sz w:val="22"/>
                <w:szCs w:val="22"/>
                <w:shd w:fill="auto" w:val="clear"/>
              </w:rPr>
              <w:t>За счет средств поставщика</w:t>
            </w:r>
          </w:p>
        </w:tc>
        <w:tc>
          <w:tcPr>
            <w:tcW w:w="312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67" w:leader="none"/>
              </w:tabs>
              <w:spacing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На упаковках (ящиках) должно быть указано наименование и количество продукции.</w:t>
            </w:r>
          </w:p>
        </w:tc>
        <w:tc>
          <w:tcPr>
            <w:tcW w:w="312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3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34" w:leader="none"/>
                <w:tab w:val="left" w:pos="1276" w:leader="none"/>
              </w:tabs>
              <w:spacing w:lineRule="atLeast" w:line="0"/>
              <w:jc w:val="both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  <w:lang w:eastAsia="x-none"/>
              </w:rPr>
              <w:t>Продукция должна быть новой, не бывшей в употреблении, пригодной для пользования по своему назначению</w:t>
            </w:r>
          </w:p>
        </w:tc>
        <w:tc>
          <w:tcPr>
            <w:tcW w:w="312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3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Потребительская упаковка должна обеспечивать сохранность продукции в течение срока годности.</w:t>
            </w:r>
          </w:p>
        </w:tc>
        <w:tc>
          <w:tcPr>
            <w:tcW w:w="312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3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4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67" w:leader="none"/>
              </w:tabs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Продукция должна поставляться в пригодной для транспортировки упаковке, которая может защитить его от воздействия внешних условий, таких как вода, пыль и т.п. Упаковка должна обеспечивать полную сохранность продукции на весь срок его транспортировки с учетом перегрузок и длительного хранения.</w:t>
            </w:r>
          </w:p>
        </w:tc>
        <w:tc>
          <w:tcPr>
            <w:tcW w:w="312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3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244" w:hRule="atLeast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40" w:after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Требования к эксплуатации, обеспечению и утилизации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4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5.1 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Требования к маркировке, наносимой непосредственно на изделие или на трудноудаляемую этикетку, прикрепленную к изделию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наименование изделия (при наличии – наименование модели, кода, артикула);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наименование изготовителя и (или) его товарный знак (при наличии);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защитные свойства;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размер (при наличии);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обозначение ТР ТС 019/2011, требованиям которого должно соответствовать СИЗ;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единый знак обращения продукции на рынке государств – членов Таможенного союза;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дату (месяц, год) изготовления или дату окончания</w:t>
            </w:r>
            <w:r>
              <w:rPr>
                <w:sz w:val="22"/>
                <w:szCs w:val="22"/>
                <w:shd w:fill="auto" w:val="clear"/>
              </w:rPr>
              <w:t xml:space="preserve"> срока годности, если она установлена;</w:t>
            </w:r>
          </w:p>
          <w:p>
            <w:pPr>
              <w:pStyle w:val="Normal"/>
              <w:widowControl w:val="false"/>
              <w:jc w:val="both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- сведения о классе защиты и климатическом поясе, определяемом в соответствии с таблицей 3 приложения № 3 к ТР ТС 019/2011 и в котором могут применяться СИЗ (при необходимости);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сведения о способах ухода и требованиях к утилизации СИЗ;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сведения о документе, в соответствии с которым изготовлено СИЗ;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другую информацию в соответствии с документацией изготовителя.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Требования к маркировке наносимой на упаковку изделия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наименование изделия (при наличии – наименование модели, кода, артикула);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наименование страны-изготовителя;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наименование, юридический адрес и торговую марку (при наличии) изготовителя;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обозначение ТР ТС 019/2011, требованиям которого должно соответствовать СИЗ;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размер (при наличии);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защитные свойства изделия;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способы ухода за изделием (при необходимости);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дату изготовления, и (или) дату окончания - срока годности, если установлены;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срок хранения для СИЗ, теряющих защитные свойства в процессе хранения;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единый знак обращения продукции на рынке государств – членов Таможенного союза;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сведения о классе защиты и климатическом поясе, определяемом в соответствии с таблицей 3 приложения № 3 к ТР ТС 019/2011, и в котором могут применяться СИЗ (при необходимости);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сведения о документе, в соответствии с которым изготовлено СИЗ;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другую информацию в соответствии с документацией изготовителя.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Требования к гарантиям, гарантийному и послегаран</w:t>
              <w:softHyphen/>
              <w:t>тийному обслуживанию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Сроки гарантии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highlight w:val="none"/>
                <w:shd w:fill="auto" w:val="clear"/>
              </w:rPr>
            </w:pPr>
            <w:r>
              <w:rPr>
                <w:sz w:val="22"/>
                <w:szCs w:val="22"/>
                <w:shd w:fill="auto" w:val="clear"/>
              </w:rPr>
              <w:t>На продукцию устанавливается гарантийный срок, равный сроку, установленному заводом - изготовителем и исчисляемый с даты подписания Сторонами товарной накладной по форме ТОРГ-12</w:t>
            </w:r>
            <w:r>
              <w:rPr>
                <w:sz w:val="22"/>
                <w:szCs w:val="22"/>
                <w:shd w:fill="auto" w:val="clear"/>
                <w:lang w:eastAsia="x-none"/>
              </w:rPr>
              <w:t xml:space="preserve"> или Универсального передаточного документа (УПД).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b/>
                <w:sz w:val="22"/>
                <w:szCs w:val="22"/>
              </w:rPr>
              <w:t>Требования к комплектации и документам, поставляе</w:t>
              <w:softHyphen/>
              <w:t>мым вместе с продукцией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Документы, передавае</w:t>
              <w:softHyphen/>
              <w:t>мые вместе с продукцией</w:t>
            </w:r>
          </w:p>
        </w:tc>
        <w:tc>
          <w:tcPr>
            <w:tcW w:w="45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Поставщик обязан одновременно с передачей продукции передать По</w:t>
              <w:softHyphen/>
              <w:t>купателю относящиеся к нему доку</w:t>
              <w:softHyphen/>
              <w:t>менты, оформленные надлежащим образом: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сертификаты соответствия, или де</w:t>
              <w:softHyphen/>
              <w:t>кларации о соответствии ТР ТС 019/2011,  гигиенические сертифика</w:t>
              <w:softHyphen/>
              <w:t xml:space="preserve">ты, санитарно-эпидемиологические заключения; </w:t>
            </w:r>
            <w:r>
              <w:rPr>
                <w:sz w:val="22"/>
                <w:szCs w:val="22"/>
                <w:lang w:eastAsia="x-none"/>
              </w:rPr>
              <w:t>руководства по эксплуатации; товарную накладную унифициро</w:t>
              <w:softHyphen/>
              <w:t>ванной формы ТОРГ-12(УПД) в 2 экз.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1229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Прочие дополнительные требования 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</w:t>
            </w:r>
          </w:p>
        </w:tc>
        <w:tc>
          <w:tcPr>
            <w:tcW w:w="7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в заявках-спецификациях указывает необходимые размеры продукции (СИЗ) при наличии размерности.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bCs/>
          <w:position w:val="5"/>
          <w:sz w:val="20"/>
          <w:szCs w:val="20"/>
          <w:lang w:eastAsia="ar-SA"/>
        </w:rPr>
        <w:t>*Внешний вид изделий (СИЗ) указаны в приложении 1 к ТТ</w:t>
      </w:r>
    </w:p>
    <w:p>
      <w:pPr>
        <w:pStyle w:val="ListParagraph"/>
        <w:rPr>
          <w:highlight w:val="none"/>
          <w:shd w:fill="auto" w:val="clear"/>
        </w:rPr>
      </w:pPr>
      <w:r>
        <w:rPr>
          <w:b/>
          <w:bCs/>
          <w:sz w:val="28"/>
          <w:shd w:fill="auto" w:val="clear"/>
          <w:lang w:eastAsia="x-none"/>
        </w:rPr>
        <w:t xml:space="preserve"> </w:t>
      </w:r>
      <w:r>
        <w:rPr>
          <w:b/>
          <w:bCs/>
          <w:sz w:val="28"/>
          <w:shd w:fill="auto" w:val="clear"/>
          <w:lang w:eastAsia="x-none"/>
        </w:rPr>
        <w:t>3. Требования к документации по ценообразованию на этапе закупки</w:t>
      </w:r>
    </w:p>
    <w:p>
      <w:pPr>
        <w:pStyle w:val="ListParagraph"/>
        <w:ind w:left="360" w:hanging="0"/>
        <w:rPr>
          <w:b/>
          <w:bCs/>
          <w:highlight w:val="none"/>
          <w:shd w:fill="auto" w:val="clear"/>
          <w:lang w:eastAsia="x-none"/>
        </w:rPr>
      </w:pPr>
      <w:r>
        <w:rPr>
          <w:b/>
          <w:bCs/>
          <w:shd w:fill="auto" w:val="clear"/>
          <w:lang w:eastAsia="x-none"/>
        </w:rPr>
      </w:r>
    </w:p>
    <w:p>
      <w:pPr>
        <w:pStyle w:val="Normal"/>
        <w:jc w:val="both"/>
        <w:rPr>
          <w:highlight w:val="none"/>
          <w:shd w:fill="auto" w:val="clear"/>
        </w:rPr>
      </w:pPr>
      <w:r>
        <w:rPr>
          <w:sz w:val="24"/>
          <w:szCs w:val="24"/>
          <w:shd w:fill="auto" w:val="clear"/>
          <w:lang w:eastAsia="x-none"/>
        </w:rPr>
        <w:t xml:space="preserve"> </w:t>
      </w:r>
      <w:r>
        <w:rPr>
          <w:sz w:val="24"/>
          <w:szCs w:val="24"/>
          <w:shd w:fill="auto" w:val="clear"/>
          <w:lang w:eastAsia="x-none"/>
        </w:rPr>
        <w:t>3.1 В обоснование стоимости своей заявки, Участник предоставляет Коммерческое предложение по форме (с учетом прилагаемой к ней инструкции по заполнению), приведенной в Документации о закупке.</w:t>
      </w:r>
    </w:p>
    <w:p>
      <w:pPr>
        <w:pStyle w:val="Normal"/>
        <w:jc w:val="both"/>
        <w:rPr>
          <w:sz w:val="24"/>
          <w:szCs w:val="24"/>
          <w:highlight w:val="none"/>
          <w:shd w:fill="auto" w:val="clear"/>
          <w:lang w:eastAsia="x-none"/>
        </w:rPr>
      </w:pPr>
      <w:r>
        <w:rPr>
          <w:sz w:val="24"/>
          <w:szCs w:val="24"/>
          <w:shd w:fill="auto" w:val="clear"/>
          <w:lang w:eastAsia="x-none"/>
        </w:rPr>
      </w:r>
    </w:p>
    <w:p>
      <w:pPr>
        <w:pStyle w:val="Normal"/>
        <w:jc w:val="both"/>
        <w:rPr>
          <w:highlight w:val="none"/>
          <w:shd w:fill="auto" w:val="clear"/>
        </w:rPr>
      </w:pPr>
      <w:r>
        <w:rPr>
          <w:sz w:val="24"/>
          <w:szCs w:val="24"/>
          <w:shd w:fill="auto" w:val="clear"/>
        </w:rPr>
        <w:t>3.2 Дополнительные документы по ценообразованию в состав заявки не включаются.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-57" w:hanging="0"/>
        <w:jc w:val="both"/>
        <w:rPr>
          <w:sz w:val="24"/>
          <w:szCs w:val="24"/>
        </w:rPr>
      </w:pPr>
      <w:r>
        <w:rPr>
          <w:sz w:val="24"/>
          <w:szCs w:val="24"/>
          <w:lang w:eastAsia="x-none"/>
        </w:rPr>
        <w:t xml:space="preserve"> </w:t>
      </w:r>
      <w:r>
        <w:rPr>
          <w:b/>
          <w:sz w:val="24"/>
          <w:szCs w:val="24"/>
          <w:lang w:eastAsia="x-none"/>
        </w:rPr>
        <w:t xml:space="preserve">                             </w:t>
      </w:r>
      <w:r>
        <w:rPr>
          <w:b/>
          <w:sz w:val="24"/>
          <w:szCs w:val="24"/>
          <w:lang w:eastAsia="x-none"/>
        </w:rPr>
        <w:t xml:space="preserve">4. Приложения           </w:t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>
          <w:sz w:val="24"/>
          <w:szCs w:val="24"/>
        </w:rPr>
        <w:t>4.1. Приложение №1 Внешний вид изделий (СИЗ)</w:t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footnotePr>
            <w:numFmt w:val="decimal"/>
          </w:footnotePr>
          <w:type w:val="nextPage"/>
          <w:pgSz w:orient="landscape" w:w="16838" w:h="11906"/>
          <w:pgMar w:left="1134" w:right="1134" w:gutter="0" w:header="0" w:top="1134" w:footer="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20"/>
          <w:tab w:val="left" w:pos="2320" w:leader="none"/>
        </w:tabs>
        <w:rPr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2320" w:leader="none"/>
        </w:tabs>
        <w:rPr/>
      </w:pPr>
      <w:r>
        <w:rPr/>
      </w:r>
    </w:p>
    <w:tbl>
      <w:tblPr>
        <w:tblW w:w="99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6525"/>
        <w:gridCol w:w="2650"/>
      </w:tblGrid>
      <w:tr>
        <w:trPr>
          <w:tblHeader w:val="true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Наименование продукции</w:t>
            </w:r>
            <w:r>
              <w:rPr>
                <w:rStyle w:val="FootnoteReference"/>
                <w:sz w:val="24"/>
                <w:szCs w:val="24"/>
              </w:rPr>
              <w:footnoteReference w:id="3"/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 исполнения</w:t>
            </w:r>
          </w:p>
        </w:tc>
      </w:tr>
      <w:tr>
        <w:trPr/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Комбинезон для защиты от общих производственных загрязнений из нетканых материалов, плотность не менее 41г/м2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84455</wp:posOffset>
                  </wp:positionV>
                  <wp:extent cx="533400" cy="66675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Комбинезон для защиты от общих производственных загрязнений из нетканых материалов, </w:t>
            </w:r>
            <w:r>
              <w:rPr>
                <w:color w:val="000000"/>
                <w:sz w:val="24"/>
                <w:szCs w:val="24"/>
              </w:rPr>
              <w:t>плотностью не менее 65г/м2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15035" cy="927735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Комбинезон мужской для работы с пескоструйными аппаратами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91820" cy="929640"/>
                  <wp:effectExtent l="0" t="0" r="0" b="0"/>
                  <wp:wrapSquare wrapText="largest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Защитные наколенники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8520" cy="930275"/>
                  <wp:effectExtent l="0" t="0" r="0" b="0"/>
                  <wp:wrapSquare wrapText="largest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Очки  защитные для электрогазосварщика с откидным стеклодержателем </w:t>
            </w:r>
          </w:p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84455</wp:posOffset>
                  </wp:positionV>
                  <wp:extent cx="971550" cy="874395"/>
                  <wp:effectExtent l="0" t="0" r="0" b="0"/>
                  <wp:wrapSquare wrapText="largest"/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Вкладыши противошумные со шнурком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95250</wp:posOffset>
                  </wp:positionV>
                  <wp:extent cx="571500" cy="619125"/>
                  <wp:effectExtent l="0" t="0" r="0" b="0"/>
                  <wp:wrapSquare wrapText="largest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Противошумные наушники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147955</wp:posOffset>
                  </wp:positionV>
                  <wp:extent cx="681990" cy="806450"/>
                  <wp:effectExtent l="0" t="0" r="0" b="0"/>
                  <wp:wrapSquare wrapText="largest"/>
                  <wp:docPr id="7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Противоаэрозольный респиратор с клапаном выдоха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121285</wp:posOffset>
                  </wp:positionV>
                  <wp:extent cx="850265" cy="850265"/>
                  <wp:effectExtent l="0" t="0" r="0" b="0"/>
                  <wp:wrapSquare wrapText="largest"/>
                  <wp:docPr id="8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для защиты от повышенных температур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63500</wp:posOffset>
                  </wp:positionV>
                  <wp:extent cx="734695" cy="795655"/>
                  <wp:effectExtent l="0" t="0" r="0" b="0"/>
                  <wp:wrapSquare wrapText="largest"/>
                  <wp:docPr id="9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х/б с ПВХ белые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116205</wp:posOffset>
                  </wp:positionV>
                  <wp:extent cx="594995" cy="763270"/>
                  <wp:effectExtent l="0" t="0" r="0" b="0"/>
                  <wp:wrapSquare wrapText="largest"/>
                  <wp:docPr id="10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rStyle w:val="Style8"/>
                <w:rFonts w:eastAsia="Calibri"/>
                <w:b w:val="false"/>
                <w:bCs/>
                <w:i w:val="false"/>
                <w:color w:val="000000"/>
                <w:sz w:val="22"/>
                <w:szCs w:val="22"/>
                <w:shd w:fill="auto" w:val="clear"/>
                <w:lang w:eastAsia="en-US"/>
              </w:rPr>
              <w:t>Перчатки для защиты от порезов, уровень С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80645</wp:posOffset>
                  </wp:positionV>
                  <wp:extent cx="571500" cy="619125"/>
                  <wp:effectExtent l="0" t="0" r="0" b="0"/>
                  <wp:wrapSquare wrapText="largest"/>
                  <wp:docPr id="11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rStyle w:val="Style8"/>
                <w:rFonts w:eastAsia="Calibri"/>
                <w:b w:val="false"/>
                <w:bCs/>
                <w:i w:val="false"/>
                <w:color w:val="000000"/>
                <w:sz w:val="22"/>
                <w:szCs w:val="22"/>
                <w:shd w:fill="auto" w:val="clear"/>
                <w:lang w:eastAsia="en-US"/>
              </w:rPr>
              <w:t>Перчатки для защиты от порезов</w:t>
            </w:r>
            <w:r>
              <w:rPr>
                <w:color w:val="000000"/>
                <w:sz w:val="24"/>
                <w:szCs w:val="24"/>
                <w:shd w:fill="auto" w:val="clear"/>
              </w:rPr>
              <w:t>, уровень D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80010</wp:posOffset>
                  </wp:positionV>
                  <wp:extent cx="550545" cy="864235"/>
                  <wp:effectExtent l="0" t="0" r="0" b="0"/>
                  <wp:wrapSquare wrapText="largest"/>
                  <wp:docPr id="12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  <w:t>Перчатки шерстяные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46355</wp:posOffset>
                  </wp:positionV>
                  <wp:extent cx="788670" cy="782955"/>
                  <wp:effectExtent l="0" t="0" r="0" b="0"/>
                  <wp:wrapSquare wrapText="largest"/>
                  <wp:docPr id="13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Перчатки кожаные с крагами из спилка 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12065</wp:posOffset>
                  </wp:positionV>
                  <wp:extent cx="730250" cy="791210"/>
                  <wp:effectExtent l="0" t="0" r="0" b="0"/>
                  <wp:wrapSquare wrapText="largest"/>
                  <wp:docPr id="14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99" w:hRule="atLeast"/>
        </w:trPr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с двойным латексным покрытием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57785</wp:posOffset>
                  </wp:positionV>
                  <wp:extent cx="784860" cy="523240"/>
                  <wp:effectExtent l="0" t="0" r="0" b="0"/>
                  <wp:wrapSquare wrapText="largest"/>
                  <wp:docPr id="15" name="Изображение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Рукавицы брезентовые 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80645</wp:posOffset>
                  </wp:positionV>
                  <wp:extent cx="910590" cy="910590"/>
                  <wp:effectExtent l="0" t="0" r="0" b="0"/>
                  <wp:wrapSquare wrapText="largest"/>
                  <wp:docPr id="16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Перчатки спилковые 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91440</wp:posOffset>
                  </wp:positionV>
                  <wp:extent cx="709295" cy="709295"/>
                  <wp:effectExtent l="0" t="0" r="0" b="0"/>
                  <wp:wrapSquare wrapText="largest"/>
                  <wp:docPr id="17" name="Изображение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Перчатки  с полным  полимерным покрытием 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160655</wp:posOffset>
                  </wp:positionV>
                  <wp:extent cx="1069340" cy="962025"/>
                  <wp:effectExtent l="0" t="0" r="0" b="0"/>
                  <wp:wrapSquare wrapText="largest"/>
                  <wp:docPr id="18" name="Изображение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нитриловые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103505</wp:posOffset>
                  </wp:positionV>
                  <wp:extent cx="762000" cy="660400"/>
                  <wp:effectExtent l="0" t="0" r="0" b="0"/>
                  <wp:wrapSquare wrapText="largest"/>
                  <wp:docPr id="19" name="Изображение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защитные химически стойкие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158750</wp:posOffset>
                  </wp:positionV>
                  <wp:extent cx="629920" cy="709295"/>
                  <wp:effectExtent l="0" t="0" r="0" b="0"/>
                  <wp:wrapSquare wrapText="largest"/>
                  <wp:docPr id="20" name="Изображение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с полимерным покрытием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84455</wp:posOffset>
                  </wp:positionV>
                  <wp:extent cx="735965" cy="873760"/>
                  <wp:effectExtent l="0" t="0" r="0" b="0"/>
                  <wp:wrapSquare wrapText="largest"/>
                  <wp:docPr id="21" name="Изображение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Перчатки для защиты от повышенных температур утепленные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147955</wp:posOffset>
                  </wp:positionV>
                  <wp:extent cx="909955" cy="909955"/>
                  <wp:effectExtent l="0" t="0" r="0" b="0"/>
                  <wp:wrapSquare wrapText="largest"/>
                  <wp:docPr id="22" name="Изображение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Рукавицы утепленные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Рукавицы с покрытием из ПВХ с крошкой, с утепленным вкладышем, морозостойкие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3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107315</wp:posOffset>
                      </wp:positionV>
                      <wp:extent cx="629920" cy="734695"/>
                      <wp:effectExtent l="0" t="635" r="0" b="0"/>
                      <wp:wrapNone/>
                      <wp:docPr id="23" name="Изображение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000" cy="73476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32"/>
                                <a:stretch>
                                  <a:fillRect/>
                                </a:stretch>
                              </a:blip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outline w:val="false"/>
                                      <w:shadow w:val="false"/>
                                      <w:vertAlign w:val="baseline"/>
                                      <w:position w:val="0"/>
                                      <w:szCs w:val="24"/>
                                      <w:bCs w:val="false"/>
                                      <w:iCs w:val="false"/>
                                      <w:rFonts w:ascii="Times New Roman" w:hAnsi="Times New Roman" w:cs="Times New Roman"/>
                                      <w:color w:val="auto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lIns="0" rIns="0" tIns="0" bIns="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1" stroked="f" o:allowincell="f" style="position:absolute;margin-left:33.5pt;margin-top:8.45pt;width:49.55pt;height:57.8pt;mso-wrap-style:square;v-text-anchor:middle">
                      <v:textbox>
                        <w:txbxContent>
                          <w:p>
                            <w:pPr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szCs w:val="24"/>
                                <w:bCs w:val="false"/>
                                <w:iCs w:val="false"/>
                                <w:rFonts w:ascii="Times New Roman" w:hAnsi="Times New Roman" w:cs="Times New Roman"/>
                                <w:color w:val="auto"/>
                              </w:rPr>
                              <w:t>-</w:t>
                            </w:r>
                          </w:p>
                        </w:txbxContent>
                      </v:textbox>
                      <v:imagedata r:id="rId33" o:detectmouseclick="t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21" w:hRule="atLeast"/>
        </w:trPr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Термобелье. Комплектация: фуфайка, кальсоны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4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114935</wp:posOffset>
                  </wp:positionV>
                  <wp:extent cx="749300" cy="855345"/>
                  <wp:effectExtent l="0" t="0" r="0" b="0"/>
                  <wp:wrapSquare wrapText="largest"/>
                  <wp:docPr id="24" name="Изображение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21" w:hRule="atLeast"/>
        </w:trPr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Очки защитные от ультрафиолетового излучения, слепящей яркости</w:t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7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46990</wp:posOffset>
                  </wp:positionV>
                  <wp:extent cx="571500" cy="619125"/>
                  <wp:effectExtent l="0" t="0" r="0" b="0"/>
                  <wp:wrapSquare wrapText="largest"/>
                  <wp:docPr id="25" name="Изображение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21" w:hRule="atLeast"/>
        </w:trPr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right="-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Щиток защитный лицевой сварщика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91590" cy="1380490"/>
                  <wp:effectExtent l="0" t="0" r="0" b="0"/>
                  <wp:wrapSquare wrapText="largest"/>
                  <wp:docPr id="26" name="Изображение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37"/>
      <w:headerReference w:type="first" r:id="rId38"/>
      <w:footerReference w:type="default" r:id="rId39"/>
      <w:footerReference w:type="first" r:id="rId40"/>
      <w:footnotePr>
        <w:numFmt w:val="decimal"/>
      </w:footnotePr>
      <w:type w:val="nextPage"/>
      <w:pgSz w:w="11906" w:h="16838"/>
      <w:pgMar w:left="1134" w:right="851" w:gutter="0" w:header="680" w:top="1134" w:footer="0" w:bottom="992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Arial Unicode MS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Source Sans Pro">
    <w:altName w:val="sans-serif"/>
    <w:charset w:val="01"/>
    <w:family w:val="roman"/>
    <w:pitch w:val="variable"/>
  </w:font>
  <w:font w:name="Montserrat">
    <w:altName w:val="sans-serif"/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both"/>
      <w:rPr>
        <w:sz w:val="20"/>
        <w:szCs w:val="20"/>
      </w:rPr>
    </w:pPr>
    <w:r>
      <w:rPr>
        <w:sz w:val="20"/>
        <w:szCs w:val="20"/>
      </w:rPr>
    </w:r>
  </w:p>
  <w:p>
    <w:pPr>
      <w:pStyle w:val="Normal"/>
      <w:jc w:val="both"/>
      <w:rPr>
        <w:sz w:val="20"/>
        <w:szCs w:val="20"/>
      </w:rPr>
    </w:pPr>
    <w:r>
      <w:rPr>
        <w:sz w:val="20"/>
        <w:szCs w:val="20"/>
      </w:rPr>
    </w:r>
  </w:p>
  <w:p>
    <w:pPr>
      <w:pStyle w:val="ListParagraph"/>
      <w:ind w:left="0" w:hanging="0"/>
      <w:jc w:val="both"/>
      <w:rPr>
        <w:i/>
        <w:i/>
        <w:szCs w:val="20"/>
      </w:rPr>
    </w:pPr>
    <w:r>
      <w:rPr>
        <w:i/>
        <w:szCs w:val="20"/>
      </w:rPr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jc w:val="both"/>
        <w:rPr>
          <w:sz w:val="20"/>
          <w:szCs w:val="20"/>
        </w:rPr>
      </w:pPr>
      <w:r>
        <w:rPr>
          <w:rStyle w:val="Style"/>
        </w:rPr>
        <w:footnoteRef/>
      </w:r>
      <w:r>
        <w:rPr/>
        <w:t xml:space="preserve"> </w:t>
      </w:r>
      <w:r>
        <w:rPr>
          <w:bCs/>
          <w:position w:val="5"/>
          <w:sz w:val="20"/>
          <w:szCs w:val="20"/>
          <w:lang w:eastAsia="ar-SA"/>
        </w:rPr>
        <w:t>Внешний вид изделий (СИЗ) указаны в приложении 1 к ТТ</w:t>
      </w:r>
    </w:p>
    <w:p>
      <w:pPr>
        <w:pStyle w:val="FootnoteText"/>
        <w:widowControl w:val="false"/>
        <w:rPr/>
      </w:pPr>
      <w:r>
        <w:rPr/>
      </w:r>
    </w:p>
  </w:footnote>
  <w:footnote w:id="3">
    <w:p>
      <w:pPr>
        <w:pStyle w:val="Normal"/>
        <w:widowControl w:val="false"/>
        <w:jc w:val="both"/>
        <w:rPr/>
      </w:pPr>
      <w:r>
        <w:rPr>
          <w:rStyle w:val="Style"/>
        </w:rPr>
        <w:footnoteRef/>
      </w: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hanging="0"/>
      </w:pPr>
      <w:rPr/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hanging="0"/>
      </w:pPr>
      <w:rPr/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hanging="0"/>
      </w:pPr>
      <w:rPr/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hanging="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hanging="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russianLower"/>
      <w:lvlText w:val="(%4)"/>
      <w:lvlJc w:val="left"/>
      <w:pPr>
        <w:tabs>
          <w:tab w:val="num" w:pos="0"/>
        </w:tabs>
        <w:ind w:left="1985" w:hanging="567"/>
      </w:pPr>
      <w:rPr/>
    </w:lvl>
    <w:lvl w:ilvl="4">
      <w:start w:val="1"/>
      <w:numFmt w:val="bullet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34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701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134" w:hanging="0"/>
      </w:pPr>
      <w:rPr/>
    </w:lvl>
  </w:abstractNum>
  <w:abstractNum w:abstractNumId="4">
    <w:lvl w:ilvl="0">
      <w:start w:val="1"/>
      <w:numFmt w:val="decimal"/>
      <w:lvlText w:val="1.%1"/>
      <w:lvlJc w:val="left"/>
      <w:pPr>
        <w:tabs>
          <w:tab w:val="num" w:pos="0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3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3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13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3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3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673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3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3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5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1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7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4" w:hanging="18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83"/>
  <w:revisionView w:insDel="0" w:formatting="0"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Heading1">
    <w:name w:val="Heading 1"/>
    <w:basedOn w:val="Heading3"/>
    <w:next w:val="Normal"/>
    <w:link w:val="1"/>
    <w:qFormat/>
    <w:pPr>
      <w:outlineLvl w:val="0"/>
    </w:pPr>
    <w:rPr/>
  </w:style>
  <w:style w:type="paragraph" w:styleId="Heading2">
    <w:name w:val="Heading 2"/>
    <w:basedOn w:val="Heading4"/>
    <w:next w:val="Normal"/>
    <w:link w:val="2"/>
    <w:qFormat/>
    <w:pPr>
      <w:outlineLvl w:val="1"/>
    </w:pPr>
    <w:rPr/>
  </w:style>
  <w:style w:type="paragraph" w:styleId="Heading3">
    <w:name w:val="Heading 3"/>
    <w:basedOn w:val="Normal"/>
    <w:next w:val="Normal"/>
    <w:link w:val="3"/>
    <w:autoRedefine/>
    <w:qFormat/>
    <w:pPr>
      <w:keepNext w:val="true"/>
      <w:spacing w:before="120" w:after="60"/>
      <w:outlineLvl w:val="2"/>
    </w:pPr>
    <w:rPr>
      <w:rFonts w:eastAsia="Calibri"/>
      <w:b/>
      <w:bCs/>
      <w:lang w:eastAsia="x-none"/>
    </w:rPr>
  </w:style>
  <w:style w:type="paragraph" w:styleId="Heading4">
    <w:name w:val="Heading 4"/>
    <w:basedOn w:val="Heading3"/>
    <w:next w:val="Normal"/>
    <w:link w:val="4"/>
    <w:qFormat/>
    <w:pPr>
      <w:ind w:left="284" w:firstLine="709"/>
      <w:outlineLvl w:val="3"/>
    </w:pPr>
    <w:rPr>
      <w:bCs w:val="false"/>
    </w:rPr>
  </w:style>
  <w:style w:type="paragraph" w:styleId="Heading5">
    <w:name w:val="Heading 5"/>
    <w:basedOn w:val="Normal"/>
    <w:next w:val="Normal"/>
    <w:link w:val="5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6"/>
    <w:qFormat/>
    <w:pPr>
      <w:keepNext w:val="true"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7"/>
    <w:qFormat/>
    <w:pPr>
      <w:keepNext w:val="true"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8"/>
    <w:qFormat/>
    <w:pPr>
      <w:keepNext w:val="true"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9"/>
    <w:qFormat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" w:customStyle="1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Pagenumber">
    <w:name w:val="page number"/>
    <w:basedOn w:val="DefaultParagraphFont"/>
    <w:qFormat/>
    <w:rPr/>
  </w:style>
  <w:style w:type="character" w:styleId="Hyperlink">
    <w:name w:val="Hyperlink"/>
    <w:rPr>
      <w:color w:val="0000FF"/>
      <w:u w:val="single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Strong">
    <w:name w:val="Strong"/>
    <w:qFormat/>
    <w:rPr>
      <w:b/>
      <w:bCs/>
    </w:rPr>
  </w:style>
  <w:style w:type="character" w:styleId="6" w:customStyle="1">
    <w:name w:val="Заголовок 6 Знак"/>
    <w:qFormat/>
    <w:rPr>
      <w:rFonts w:ascii="Cambria" w:hAnsi="Cambria"/>
      <w:i/>
      <w:iCs/>
      <w:color w:val="243F60"/>
      <w:lang w:val="x-none" w:eastAsia="x-none"/>
    </w:rPr>
  </w:style>
  <w:style w:type="character" w:styleId="7" w:customStyle="1">
    <w:name w:val="Заголовок 7 Знак"/>
    <w:qFormat/>
    <w:rPr>
      <w:rFonts w:ascii="Cambria" w:hAnsi="Cambria"/>
      <w:i/>
      <w:iCs/>
      <w:color w:val="404040"/>
      <w:lang w:val="x-none" w:eastAsia="x-none"/>
    </w:rPr>
  </w:style>
  <w:style w:type="character" w:styleId="8" w:customStyle="1">
    <w:name w:val="Заголовок 8 Знак"/>
    <w:qFormat/>
    <w:rPr>
      <w:rFonts w:ascii="Cambria" w:hAnsi="Cambria"/>
      <w:color w:val="4F81BD"/>
      <w:lang w:val="x-none" w:eastAsia="x-none"/>
    </w:rPr>
  </w:style>
  <w:style w:type="character" w:styleId="1" w:customStyle="1">
    <w:name w:val="Заголовок 1 Знак"/>
    <w:qFormat/>
    <w:rPr>
      <w:rFonts w:eastAsia="Calibri"/>
      <w:b/>
      <w:sz w:val="28"/>
      <w:szCs w:val="28"/>
      <w:lang w:val="x-none" w:eastAsia="x-none"/>
    </w:rPr>
  </w:style>
  <w:style w:type="character" w:styleId="2" w:customStyle="1">
    <w:name w:val="Заголовок 2 Знак"/>
    <w:qFormat/>
    <w:rPr>
      <w:rFonts w:eastAsia="Calibri"/>
      <w:b/>
      <w:bCs/>
      <w:sz w:val="24"/>
      <w:szCs w:val="24"/>
      <w:lang w:val="x-none" w:eastAsia="x-none"/>
    </w:rPr>
  </w:style>
  <w:style w:type="character" w:styleId="3" w:customStyle="1">
    <w:name w:val="Заголовок 3 Знак"/>
    <w:qFormat/>
    <w:rPr>
      <w:rFonts w:eastAsia="Calibri"/>
      <w:bCs/>
      <w:i/>
      <w:sz w:val="24"/>
      <w:szCs w:val="24"/>
      <w:lang w:eastAsia="x-none"/>
    </w:rPr>
  </w:style>
  <w:style w:type="character" w:styleId="4" w:customStyle="1">
    <w:name w:val="Заголовок 4 Знак"/>
    <w:qFormat/>
    <w:rPr>
      <w:rFonts w:eastAsia="Calibri"/>
      <w:b/>
      <w:bCs/>
      <w:sz w:val="24"/>
      <w:szCs w:val="24"/>
      <w:lang w:val="x-none" w:eastAsia="x-none"/>
    </w:rPr>
  </w:style>
  <w:style w:type="character" w:styleId="5" w:customStyle="1">
    <w:name w:val="Заголовок 5 Знак"/>
    <w:qFormat/>
    <w:rPr>
      <w:b/>
      <w:bCs/>
      <w:i/>
      <w:iCs/>
      <w:sz w:val="26"/>
      <w:szCs w:val="26"/>
    </w:rPr>
  </w:style>
  <w:style w:type="character" w:styleId="9" w:customStyle="1">
    <w:name w:val="Заголовок 9 Знак"/>
    <w:qFormat/>
    <w:rPr>
      <w:rFonts w:ascii="Arial" w:hAnsi="Arial" w:cs="Arial"/>
      <w:sz w:val="22"/>
      <w:szCs w:val="22"/>
    </w:rPr>
  </w:style>
  <w:style w:type="character" w:styleId="Style1" w:customStyle="1">
    <w:name w:val="Название Знак"/>
    <w:link w:val="15"/>
    <w:qFormat/>
    <w:rPr>
      <w:sz w:val="28"/>
    </w:rPr>
  </w:style>
  <w:style w:type="character" w:styleId="Style2" w:customStyle="1">
    <w:name w:val="Подзаголовок Знак"/>
    <w:qFormat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Emphasis">
    <w:name w:val="Emphasis"/>
    <w:qFormat/>
    <w:rPr>
      <w:i/>
      <w:iCs/>
    </w:rPr>
  </w:style>
  <w:style w:type="character" w:styleId="21" w:customStyle="1">
    <w:name w:val="Цитата 2 Знак"/>
    <w:link w:val="Quote"/>
    <w:qFormat/>
    <w:rPr>
      <w:rFonts w:ascii="Calibri" w:hAnsi="Calibri" w:eastAsia="Calibri"/>
      <w:i/>
      <w:iCs/>
      <w:color w:val="000000"/>
      <w:lang w:val="x-none" w:eastAsia="x-none"/>
    </w:rPr>
  </w:style>
  <w:style w:type="character" w:styleId="Style3" w:customStyle="1">
    <w:name w:val="Выделенная цитата Знак"/>
    <w:link w:val="IntenseQuote"/>
    <w:qFormat/>
    <w:rPr>
      <w:rFonts w:ascii="Calibri" w:hAnsi="Calibri" w:eastAsia="Calibri"/>
      <w:b/>
      <w:bCs/>
      <w:i/>
      <w:iCs/>
      <w:color w:val="4F81BD"/>
      <w:lang w:val="x-none" w:eastAsia="x-none"/>
    </w:rPr>
  </w:style>
  <w:style w:type="character" w:styleId="SubtleEmphasis">
    <w:name w:val="Subtle Emphasis"/>
    <w:qFormat/>
    <w:rPr>
      <w:i/>
      <w:iCs/>
      <w:color w:val="808080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styleId="Style4" w:customStyle="1">
    <w:name w:val="Электронная подпись Знак"/>
    <w:link w:val="E-mailSignature"/>
    <w:qFormat/>
    <w:rPr>
      <w:rFonts w:eastAsia="Calibri"/>
      <w:sz w:val="24"/>
      <w:szCs w:val="24"/>
    </w:rPr>
  </w:style>
  <w:style w:type="character" w:styleId="11" w:customStyle="1">
    <w:name w:val="Подпункт Знак1"/>
    <w:link w:val="Style22"/>
    <w:qFormat/>
    <w:rPr>
      <w:sz w:val="28"/>
    </w:rPr>
  </w:style>
  <w:style w:type="character" w:styleId="Style5" w:customStyle="1">
    <w:name w:val="Текст сноски Знак"/>
    <w:qFormat/>
    <w:rPr/>
  </w:style>
  <w:style w:type="character" w:styleId="Style6" w:customStyle="1">
    <w:name w:val="Основной текст Знак"/>
    <w:qFormat/>
    <w:rPr>
      <w:sz w:val="28"/>
      <w:szCs w:val="28"/>
    </w:rPr>
  </w:style>
  <w:style w:type="character" w:styleId="Blk" w:customStyle="1">
    <w:name w:val="blk"/>
    <w:qFormat/>
    <w:rPr/>
  </w:style>
  <w:style w:type="character" w:styleId="Style7" w:customStyle="1">
    <w:name w:val="Абзац списка Знак"/>
    <w:link w:val="ListParagraph"/>
    <w:qFormat/>
    <w:rPr>
      <w:rFonts w:eastAsia="Calibri"/>
      <w:sz w:val="24"/>
      <w:szCs w:val="24"/>
    </w:rPr>
  </w:style>
  <w:style w:type="character" w:styleId="Style8" w:customStyle="1">
    <w:name w:val="комментарий"/>
    <w:qFormat/>
    <w:rPr>
      <w:b/>
      <w:i/>
      <w:shd w:fill="FFFF99" w:val="clear"/>
    </w:rPr>
  </w:style>
  <w:style w:type="character" w:styleId="Style9" w:customStyle="1">
    <w:name w:val="Подподпункт Знак"/>
    <w:link w:val="Style30"/>
    <w:qFormat/>
    <w:rPr>
      <w:sz w:val="26"/>
      <w:szCs w:val="26"/>
    </w:rPr>
  </w:style>
  <w:style w:type="character" w:styleId="31" w:customStyle="1">
    <w:name w:val="УРОВЕНЬ_Абзац_тип3 Знак"/>
    <w:link w:val="36"/>
    <w:qFormat/>
    <w:rPr>
      <w:rFonts w:eastAsia="Calibri"/>
      <w:sz w:val="26"/>
      <w:szCs w:val="28"/>
      <w:lang w:eastAsia="en-US"/>
    </w:rPr>
  </w:style>
  <w:style w:type="character" w:styleId="Style10" w:customStyle="1">
    <w:name w:val="Верхний колонтитул Знак"/>
    <w:qFormat/>
    <w:rPr>
      <w:sz w:val="24"/>
      <w:szCs w:val="24"/>
    </w:rPr>
  </w:style>
  <w:style w:type="character" w:styleId="Style11" w:customStyle="1">
    <w:name w:val="Текст примечания Знак"/>
    <w:link w:val="Annotationtext"/>
    <w:qFormat/>
    <w:rPr/>
  </w:style>
  <w:style w:type="character" w:styleId="Style12" w:customStyle="1">
    <w:name w:val="Текст концевой сноски Знак"/>
    <w:basedOn w:val="DefaultParagraphFont"/>
    <w:qFormat/>
    <w:rPr/>
  </w:style>
  <w:style w:type="character" w:styleId="Style13" w:customStyle="1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 w:customStyle="1">
    <w:name w:val="Endnote Characters"/>
    <w:basedOn w:val="DefaultParagraphFont"/>
    <w:qFormat/>
    <w:rPr>
      <w:vertAlign w:val="superscript"/>
    </w:rPr>
  </w:style>
  <w:style w:type="character" w:styleId="22" w:customStyle="1">
    <w:name w:val="Пункт2 Знак"/>
    <w:link w:val="24"/>
    <w:qFormat/>
    <w:rPr>
      <w:b/>
      <w:sz w:val="28"/>
    </w:rPr>
  </w:style>
  <w:style w:type="character" w:styleId="12" w:customStyle="1">
    <w:name w:val="УРОВЕНЬ_1. Знак"/>
    <w:link w:val="19"/>
    <w:qFormat/>
    <w:rPr>
      <w:rFonts w:eastAsia="Calibri"/>
      <w:caps/>
      <w:sz w:val="28"/>
      <w:szCs w:val="28"/>
      <w:lang w:eastAsia="en-US"/>
    </w:rPr>
  </w:style>
  <w:style w:type="character" w:styleId="13" w:customStyle="1">
    <w:name w:val="Неразрешенное упоминание1"/>
    <w:basedOn w:val="DefaultParagraphFont"/>
    <w:qFormat/>
    <w:rPr>
      <w:color w:val="605E5C"/>
      <w:shd w:fill="E1DFDD" w:val="clear"/>
    </w:rPr>
  </w:style>
  <w:style w:type="character" w:styleId="32" w:customStyle="1">
    <w:name w:val="Основной текст с отступом 3 Знак"/>
    <w:link w:val="BodyTextIndent3"/>
    <w:qFormat/>
    <w:rPr>
      <w:sz w:val="16"/>
      <w:szCs w:val="16"/>
    </w:rPr>
  </w:style>
  <w:style w:type="character" w:styleId="Name" w:customStyle="1">
    <w:name w:val="name"/>
    <w:basedOn w:val="DefaultParagraphFont"/>
    <w:qFormat/>
    <w:rPr/>
  </w:style>
  <w:style w:type="character" w:styleId="Zyvcpr" w:customStyle="1">
    <w:name w:val="zyvcpr"/>
    <w:basedOn w:val="DefaultParagraphFont"/>
    <w:qFormat/>
    <w:rPr/>
  </w:style>
  <w:style w:type="character" w:styleId="Value" w:customStyle="1">
    <w:name w:val="value"/>
    <w:qFormat/>
    <w:rPr/>
  </w:style>
  <w:style w:type="character" w:styleId="Tipsy-tooltip" w:customStyle="1">
    <w:name w:val="tipsy-tooltip"/>
    <w:basedOn w:val="DefaultParagraphFont"/>
    <w:qFormat/>
    <w:rPr/>
  </w:style>
  <w:style w:type="character" w:styleId="Text-gray" w:customStyle="1">
    <w:name w:val="text-gray"/>
    <w:basedOn w:val="DefaultParagraphFont"/>
    <w:qFormat/>
    <w:rPr/>
  </w:style>
  <w:style w:type="character" w:styleId="Style14" w:customStyle="1">
    <w:name w:val="Символ нумерации"/>
    <w:qFormat/>
    <w:rPr/>
  </w:style>
  <w:style w:type="character" w:styleId="Style15" w:customStyle="1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BodyText">
    <w:name w:val="Body Text"/>
    <w:basedOn w:val="Normal"/>
    <w:link w:val="Style6"/>
    <w:pPr>
      <w:spacing w:before="0" w:after="12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heading11" w:customStyle="1">
    <w:name w:val="index heading11"/>
    <w:basedOn w:val="Title"/>
    <w:qFormat/>
    <w:pPr/>
    <w:rPr/>
  </w:style>
  <w:style w:type="paragraph" w:styleId="Caption111" w:customStyle="1">
    <w:name w:val="caption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" w:customStyle="1">
    <w:name w:val="index heading111"/>
    <w:basedOn w:val="Title"/>
    <w:qFormat/>
    <w:pPr/>
    <w:rPr/>
  </w:style>
  <w:style w:type="paragraph" w:styleId="Caption1111" w:customStyle="1">
    <w:name w:val="caption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" w:customStyle="1">
    <w:name w:val="index heading1111"/>
    <w:basedOn w:val="Title"/>
    <w:qFormat/>
    <w:pPr/>
    <w:rPr/>
  </w:style>
  <w:style w:type="paragraph" w:styleId="Caption11111" w:customStyle="1">
    <w:name w:val="caption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" w:customStyle="1">
    <w:name w:val="index heading11111"/>
    <w:basedOn w:val="Title"/>
    <w:qFormat/>
    <w:pPr/>
    <w:rPr/>
  </w:style>
  <w:style w:type="paragraph" w:styleId="Caption111111" w:customStyle="1">
    <w:name w:val="caption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" w:customStyle="1">
    <w:name w:val="index heading111111"/>
    <w:basedOn w:val="Title"/>
    <w:qFormat/>
    <w:pPr/>
    <w:rPr/>
  </w:style>
  <w:style w:type="paragraph" w:styleId="Caption1111111" w:customStyle="1">
    <w:name w:val="caption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" w:customStyle="1">
    <w:name w:val="index heading1111111"/>
    <w:basedOn w:val="Title"/>
    <w:qFormat/>
    <w:pPr/>
    <w:rPr/>
  </w:style>
  <w:style w:type="paragraph" w:styleId="Caption11111111" w:customStyle="1">
    <w:name w:val="caption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" w:customStyle="1">
    <w:name w:val="index heading11111111"/>
    <w:basedOn w:val="Title"/>
    <w:qFormat/>
    <w:pPr/>
    <w:rPr/>
  </w:style>
  <w:style w:type="paragraph" w:styleId="Caption111111111" w:customStyle="1">
    <w:name w:val="caption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" w:customStyle="1">
    <w:name w:val="index heading111111111"/>
    <w:basedOn w:val="Title"/>
    <w:qFormat/>
    <w:pPr/>
    <w:rPr/>
  </w:style>
  <w:style w:type="paragraph" w:styleId="Caption1111111111" w:customStyle="1">
    <w:name w:val="caption1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1" w:customStyle="1">
    <w:name w:val="index heading1111111111"/>
    <w:basedOn w:val="Title"/>
    <w:qFormat/>
    <w:pPr/>
    <w:rPr/>
  </w:style>
  <w:style w:type="paragraph" w:styleId="Caption11111111111" w:customStyle="1">
    <w:name w:val="caption11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11" w:customStyle="1">
    <w:name w:val="index heading11111111111"/>
    <w:basedOn w:val="Title"/>
    <w:qFormat/>
    <w:pPr/>
    <w:rPr/>
  </w:style>
  <w:style w:type="paragraph" w:styleId="Caption111111111111" w:customStyle="1">
    <w:name w:val="caption111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111" w:customStyle="1">
    <w:name w:val="index heading111111111111"/>
    <w:basedOn w:val="Title"/>
    <w:qFormat/>
    <w:pPr/>
    <w:rPr/>
  </w:style>
  <w:style w:type="paragraph" w:styleId="Caption1111111111111" w:customStyle="1">
    <w:name w:val="caption1111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1111" w:customStyle="1">
    <w:name w:val="index heading1111111111111"/>
    <w:basedOn w:val="Title"/>
    <w:qFormat/>
    <w:pPr/>
    <w:rPr/>
  </w:style>
  <w:style w:type="paragraph" w:styleId="Caption11111111111111" w:customStyle="1">
    <w:name w:val="caption11111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11111" w:customStyle="1">
    <w:name w:val="index heading11111111111111"/>
    <w:basedOn w:val="Title"/>
    <w:qFormat/>
    <w:pPr/>
    <w:rPr/>
  </w:style>
  <w:style w:type="paragraph" w:styleId="Caption111111111111111" w:customStyle="1">
    <w:name w:val="caption111111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111111" w:customStyle="1">
    <w:name w:val="index heading111111111111111"/>
    <w:basedOn w:val="Title"/>
    <w:qFormat/>
    <w:pPr/>
    <w:rPr/>
  </w:style>
  <w:style w:type="paragraph" w:styleId="Caption1111111111111111" w:customStyle="1">
    <w:name w:val="caption111111111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111111111" w:customStyle="1">
    <w:name w:val="index heading1111111111111111"/>
    <w:basedOn w:val="Title"/>
    <w:qFormat/>
    <w:pPr/>
    <w:rPr/>
  </w:style>
  <w:style w:type="paragraph" w:styleId="Style18" w:customStyle="1">
    <w:name w:val="Название раздела инструкции"/>
    <w:basedOn w:val="Normal"/>
    <w:autoRedefine/>
    <w:qFormat/>
    <w:pPr>
      <w:jc w:val="center"/>
    </w:pPr>
    <w:rPr>
      <w:b/>
    </w:rPr>
  </w:style>
  <w:style w:type="paragraph" w:styleId="Style19" w:customStyle="1">
    <w:name w:val="Раздел положения"/>
    <w:basedOn w:val="Normal"/>
    <w:autoRedefine/>
    <w:qFormat/>
    <w:pPr>
      <w:numPr>
        <w:ilvl w:val="0"/>
        <w:numId w:val="1"/>
      </w:numPr>
      <w:spacing w:before="80" w:after="80"/>
      <w:jc w:val="center"/>
    </w:pPr>
    <w:rPr>
      <w:b/>
      <w:sz w:val="32"/>
      <w:szCs w:val="32"/>
    </w:rPr>
  </w:style>
  <w:style w:type="paragraph" w:styleId="Style20" w:customStyle="1">
    <w:name w:val="Подраздел раздела положения"/>
    <w:basedOn w:val="Normal"/>
    <w:autoRedefine/>
    <w:qFormat/>
    <w:pPr>
      <w:numPr>
        <w:ilvl w:val="1"/>
        <w:numId w:val="1"/>
      </w:numPr>
      <w:spacing w:before="80" w:after="80"/>
      <w:jc w:val="both"/>
    </w:pPr>
    <w:rPr/>
  </w:style>
  <w:style w:type="paragraph" w:styleId="FootnoteText">
    <w:name w:val="Footnote Text"/>
    <w:basedOn w:val="Normal"/>
    <w:link w:val="Style5"/>
    <w:pPr/>
    <w:rPr>
      <w:sz w:val="20"/>
      <w:szCs w:val="20"/>
    </w:rPr>
  </w:style>
  <w:style w:type="paragraph" w:styleId="14" w:customStyle="1">
    <w:name w:val="Шапка 1"/>
    <w:basedOn w:val="Normal"/>
    <w:qFormat/>
    <w:pPr>
      <w:pBdr>
        <w:bottom w:val="thickThinSmallGap" w:sz="24" w:space="1" w:color="000000"/>
      </w:pBdr>
      <w:spacing w:before="0" w:after="240"/>
      <w:jc w:val="center"/>
    </w:pPr>
    <w:rPr>
      <w:sz w:val="22"/>
      <w:szCs w:val="22"/>
    </w:rPr>
  </w:style>
  <w:style w:type="paragraph" w:styleId="23" w:customStyle="1">
    <w:name w:val="Шапка 2"/>
    <w:basedOn w:val="Normal"/>
    <w:qFormat/>
    <w:pPr>
      <w:pBdr>
        <w:bottom w:val="thickThinSmallGap" w:sz="24" w:space="1" w:color="000000"/>
      </w:pBdr>
      <w:spacing w:before="0" w:after="120"/>
      <w:jc w:val="center"/>
    </w:pPr>
    <w:rPr>
      <w:b/>
      <w:sz w:val="22"/>
      <w:szCs w:val="22"/>
    </w:rPr>
  </w:style>
  <w:style w:type="paragraph" w:styleId="33" w:customStyle="1">
    <w:name w:val="Шапка 3"/>
    <w:basedOn w:val="Normal"/>
    <w:qFormat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styleId="15" w:customStyle="1">
    <w:name w:val="Название1"/>
    <w:basedOn w:val="Normal"/>
    <w:link w:val="Style1"/>
    <w:qFormat/>
    <w:pPr>
      <w:jc w:val="center"/>
    </w:pPr>
    <w:rPr>
      <w:szCs w:val="20"/>
      <w:lang w:val="x-none" w:eastAsia="x-none"/>
    </w:rPr>
  </w:style>
  <w:style w:type="paragraph" w:styleId="Style21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pPr>
      <w:tabs>
        <w:tab w:val="clear" w:pos="720"/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BodyTextIndent">
    <w:name w:val="Body Text Indent"/>
    <w:basedOn w:val="Normal"/>
    <w:pPr>
      <w:ind w:left="360" w:hanging="0"/>
    </w:pPr>
    <w:rPr>
      <w:sz w:val="24"/>
      <w:szCs w:val="24"/>
    </w:rPr>
  </w:style>
  <w:style w:type="paragraph" w:styleId="Footer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32"/>
    <w:qFormat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BlockText">
    <w:name w:val="Block Text"/>
    <w:basedOn w:val="Normal"/>
    <w:qFormat/>
    <w:pPr>
      <w:ind w:left="-567" w:right="-766" w:hanging="0"/>
      <w:jc w:val="center"/>
    </w:pPr>
    <w:rPr>
      <w:b/>
      <w:bCs/>
      <w:sz w:val="24"/>
      <w:szCs w:val="20"/>
    </w:rPr>
  </w:style>
  <w:style w:type="paragraph" w:styleId="Style22" w:customStyle="1">
    <w:name w:val="Подпункт"/>
    <w:basedOn w:val="Normal"/>
    <w:link w:val="11"/>
    <w:qFormat/>
    <w:pPr>
      <w:tabs>
        <w:tab w:val="clear" w:pos="720"/>
        <w:tab w:val="left" w:pos="1134" w:leader="none"/>
      </w:tabs>
      <w:snapToGrid w:val="false"/>
      <w:spacing w:lineRule="auto" w:line="360"/>
      <w:ind w:left="1134" w:hanging="1134"/>
      <w:jc w:val="both"/>
    </w:pPr>
    <w:rPr>
      <w:szCs w:val="20"/>
      <w:lang w:val="x-none" w:eastAsia="x-none"/>
    </w:rPr>
  </w:style>
  <w:style w:type="paragraph" w:styleId="24" w:customStyle="1">
    <w:name w:val="Пункт2"/>
    <w:basedOn w:val="Normal"/>
    <w:link w:val="22"/>
    <w:qFormat/>
    <w:pPr>
      <w:keepNext w:val="true"/>
      <w:tabs>
        <w:tab w:val="clear" w:pos="720"/>
        <w:tab w:val="left" w:pos="1134" w:leader="none"/>
      </w:tabs>
      <w:snapToGrid w:val="false"/>
      <w:spacing w:before="240" w:after="120"/>
      <w:ind w:left="1134" w:hanging="1134"/>
      <w:outlineLvl w:val="2"/>
    </w:pPr>
    <w:rPr>
      <w:b/>
      <w:szCs w:val="20"/>
    </w:rPr>
  </w:style>
  <w:style w:type="paragraph" w:styleId="TOC1">
    <w:name w:val="TOC 1"/>
    <w:basedOn w:val="Normal"/>
    <w:next w:val="Normal"/>
    <w:autoRedefine/>
    <w:pPr>
      <w:spacing w:before="120" w:after="0"/>
    </w:pPr>
    <w:rPr>
      <w:rFonts w:cs="Calibri Light (Заголовки)"/>
      <w:b/>
      <w:bCs/>
      <w:sz w:val="24"/>
      <w:szCs w:val="24"/>
    </w:rPr>
  </w:style>
  <w:style w:type="paragraph" w:styleId="TOC3">
    <w:name w:val="TOC 3"/>
    <w:basedOn w:val="Normal"/>
    <w:next w:val="Normal"/>
    <w:autoRedefine/>
    <w:pPr>
      <w:tabs>
        <w:tab w:val="clear" w:pos="720"/>
        <w:tab w:val="left" w:pos="1120" w:leader="none"/>
        <w:tab w:val="right" w:pos="9911" w:leader="dot"/>
      </w:tabs>
      <w:ind w:left="280" w:firstLine="287"/>
    </w:pPr>
    <w:rPr>
      <w:rFonts w:cs="Calibri"/>
      <w:sz w:val="20"/>
      <w:szCs w:val="20"/>
    </w:rPr>
  </w:style>
  <w:style w:type="paragraph" w:styleId="Style23" w:customStyle="1">
    <w:name w:val="Раздел регламента"/>
    <w:basedOn w:val="Normal"/>
    <w:qFormat/>
    <w:pPr/>
    <w:rPr/>
  </w:style>
  <w:style w:type="paragraph" w:styleId="Style24" w:customStyle="1">
    <w:name w:val="Приложение к регламенту"/>
    <w:basedOn w:val="Normal"/>
    <w:qFormat/>
    <w:pPr>
      <w:jc w:val="right"/>
    </w:pPr>
    <w:rPr/>
  </w:style>
  <w:style w:type="paragraph" w:styleId="TOC2">
    <w:name w:val="TOC 2"/>
    <w:basedOn w:val="Normal"/>
    <w:next w:val="Normal"/>
    <w:autoRedefine/>
    <w:pPr>
      <w:spacing w:before="240" w:after="0"/>
    </w:pPr>
    <w:rPr>
      <w:rFonts w:cs="Calibri"/>
      <w:b/>
      <w:bCs/>
      <w:sz w:val="20"/>
      <w:szCs w:val="20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Style11"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/>
    <w:pPr/>
    <w:rPr>
      <w:b/>
      <w:bCs/>
    </w:rPr>
  </w:style>
  <w:style w:type="paragraph" w:styleId="16" w:customStyle="1">
    <w:name w:val="Обычный (веб)1"/>
    <w:basedOn w:val="Normal"/>
    <w:qFormat/>
    <w:pPr>
      <w:spacing w:before="280" w:after="280"/>
    </w:pPr>
    <w:rPr>
      <w:rFonts w:ascii="Arial Unicode MS" w:hAnsi="Arial Unicode MS" w:eastAsia="Arial Unicode MS" w:cs="Arial Unicode MS"/>
      <w:sz w:val="24"/>
      <w:szCs w:val="24"/>
    </w:rPr>
  </w:style>
  <w:style w:type="paragraph" w:styleId="TOC9">
    <w:name w:val="TOC 9"/>
    <w:basedOn w:val="Normal"/>
    <w:next w:val="Normal"/>
    <w:autoRedefine/>
    <w:pPr>
      <w:ind w:left="1960" w:hanging="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pPr>
      <w:ind w:left="840" w:hanging="0"/>
    </w:pPr>
    <w:rPr>
      <w:rFonts w:ascii="Calibri" w:hAnsi="Calibri" w:cs="Calibri"/>
      <w:sz w:val="20"/>
      <w:szCs w:val="20"/>
    </w:rPr>
  </w:style>
  <w:style w:type="paragraph" w:styleId="TOC4">
    <w:name w:val="TOC 4"/>
    <w:basedOn w:val="Normal"/>
    <w:next w:val="Normal"/>
    <w:autoRedefine/>
    <w:pPr>
      <w:ind w:left="560" w:hanging="0"/>
    </w:pPr>
    <w:rPr>
      <w:rFonts w:cs="Calibri"/>
      <w:sz w:val="20"/>
      <w:szCs w:val="20"/>
    </w:rPr>
  </w:style>
  <w:style w:type="paragraph" w:styleId="25" w:customStyle="1">
    <w:name w:val="Раздел положения 2"/>
    <w:basedOn w:val="Normal"/>
    <w:qFormat/>
    <w:pPr>
      <w:pageBreakBefore/>
      <w:jc w:val="both"/>
      <w:outlineLvl w:val="0"/>
    </w:pPr>
    <w:rPr>
      <w:b/>
    </w:rPr>
  </w:style>
  <w:style w:type="paragraph" w:styleId="Style25" w:customStyle="1">
    <w:name w:val="Знак Знак Знак Знак Знак Знак Знак Знак Знак"/>
    <w:basedOn w:val="Normal"/>
    <w:qFormat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NoSpacing">
    <w:name w:val="No Spacing"/>
    <w:basedOn w:val="Normal"/>
    <w:qFormat/>
    <w:pPr>
      <w:spacing w:lineRule="auto" w:line="360"/>
    </w:pPr>
    <w:rPr>
      <w:rFonts w:eastAsia="Calibri"/>
      <w:sz w:val="24"/>
      <w:szCs w:val="24"/>
    </w:rPr>
  </w:style>
  <w:style w:type="paragraph" w:styleId="Caption11111111111111111" w:customStyle="1">
    <w:name w:val="caption11111111111111111"/>
    <w:basedOn w:val="Normal"/>
    <w:next w:val="Normal"/>
    <w:qFormat/>
    <w:pPr/>
    <w:rPr>
      <w:rFonts w:eastAsia="Calibri"/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tyle2"/>
    <w:qFormat/>
    <w:p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ListParagraph">
    <w:name w:val="List Paragraph"/>
    <w:basedOn w:val="Normal"/>
    <w:link w:val="Style7"/>
    <w:qFormat/>
    <w:pPr>
      <w:spacing w:before="0" w:after="0"/>
      <w:ind w:left="720" w:hanging="0"/>
      <w:contextualSpacing/>
    </w:pPr>
    <w:rPr>
      <w:rFonts w:eastAsia="Calibri"/>
      <w:sz w:val="24"/>
      <w:szCs w:val="24"/>
    </w:rPr>
  </w:style>
  <w:style w:type="paragraph" w:styleId="Quote">
    <w:name w:val="Quote"/>
    <w:basedOn w:val="Normal"/>
    <w:next w:val="Normal"/>
    <w:link w:val="21"/>
    <w:qFormat/>
    <w:pPr/>
    <w:rPr>
      <w:rFonts w:ascii="Calibri" w:hAnsi="Calibri" w:eastAsia="Calibri"/>
      <w:i/>
      <w:iCs/>
      <w:color w:val="000000"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Style3"/>
    <w:qFormat/>
    <w:pPr>
      <w:pBdr>
        <w:bottom w:val="single" w:sz="4" w:space="4" w:color="4F81BD"/>
      </w:pBdr>
      <w:spacing w:before="200" w:after="280"/>
      <w:ind w:left="936" w:right="936" w:hanging="0"/>
    </w:pPr>
    <w:rPr>
      <w:rFonts w:ascii="Calibri" w:hAnsi="Calibri" w:eastAsia="Calibri"/>
      <w:b/>
      <w:bCs/>
      <w:i/>
      <w:iCs/>
      <w:color w:val="4F81BD"/>
      <w:sz w:val="20"/>
      <w:szCs w:val="20"/>
      <w:lang w:val="x-none" w:eastAsia="x-none"/>
    </w:rPr>
  </w:style>
  <w:style w:type="paragraph" w:styleId="IndexHeading">
    <w:name w:val="Index Heading"/>
    <w:basedOn w:val="Style16"/>
    <w:pPr/>
    <w:rPr/>
  </w:style>
  <w:style w:type="paragraph" w:styleId="TOCHeading">
    <w:name w:val="TOC Heading"/>
    <w:basedOn w:val="Heading1"/>
    <w:next w:val="Normal"/>
    <w:qFormat/>
    <w:pPr>
      <w:keepLines/>
      <w:spacing w:before="480" w:after="60"/>
      <w:outlineLvl w:val="9"/>
    </w:pPr>
    <w:rPr>
      <w:rFonts w:ascii="Cambria" w:hAnsi="Cambria"/>
      <w:bCs w:val="false"/>
      <w:color w:val="365F91"/>
    </w:rPr>
  </w:style>
  <w:style w:type="paragraph" w:styleId="E-mailSignature">
    <w:name w:val="E-mail Signature"/>
    <w:basedOn w:val="Normal"/>
    <w:link w:val="Style4"/>
    <w:qFormat/>
    <w:pPr/>
    <w:rPr>
      <w:rFonts w:eastAsia="Calibri"/>
      <w:sz w:val="24"/>
      <w:szCs w:val="24"/>
      <w:lang w:val="x-none" w:eastAsia="x-none"/>
    </w:rPr>
  </w:style>
  <w:style w:type="paragraph" w:styleId="Style26" w:customStyle="1">
    <w:name w:val="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34" w:customStyle="1">
    <w:name w:val="Нумерованный список ур3"/>
    <w:basedOn w:val="Normal"/>
    <w:qFormat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styleId="41" w:customStyle="1">
    <w:name w:val="Маркированный список 41"/>
    <w:basedOn w:val="Normal"/>
    <w:qFormat/>
    <w:pPr>
      <w:numPr>
        <w:ilvl w:val="0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26" w:customStyle="1">
    <w:name w:val="Нумерованный список ур2"/>
    <w:basedOn w:val="Normal"/>
    <w:qFormat/>
    <w:pPr>
      <w:numPr>
        <w:ilvl w:val="1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Revision">
    <w:name w:val="Revision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" w:customStyle="1">
    <w:name w:val="ConsPlus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35" w:customStyle="1">
    <w:name w:val="Знак Знак3 Знак Знак"/>
    <w:basedOn w:val="Normal"/>
    <w:qFormat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Style27" w:customStyle="1">
    <w:name w:val="Пункт"/>
    <w:basedOn w:val="Normal"/>
    <w:qFormat/>
    <w:pPr>
      <w:widowControl w:val="false"/>
      <w:tabs>
        <w:tab w:val="clear" w:pos="720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Cs w:val="20"/>
    </w:rPr>
  </w:style>
  <w:style w:type="paragraph" w:styleId="17" w:customStyle="1">
    <w:name w:val="Абзац списка1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Style28" w:customStyle="1">
    <w:name w:val="Таблица"/>
    <w:basedOn w:val="Normal"/>
    <w:qFormat/>
    <w:pPr>
      <w:keepNext w:val="true"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styleId="Style29" w:customStyle="1">
    <w:name w:val="Таблица шапка"/>
    <w:basedOn w:val="Normal"/>
    <w:qFormat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Style30" w:customStyle="1">
    <w:name w:val="Подподпункт"/>
    <w:basedOn w:val="Style22"/>
    <w:link w:val="Style9"/>
    <w:qFormat/>
    <w:pPr>
      <w:tabs>
        <w:tab w:val="clear" w:pos="1134"/>
        <w:tab w:val="left" w:pos="5104" w:leader="none"/>
      </w:tabs>
      <w:snapToGrid w:val="true"/>
      <w:spacing w:lineRule="auto" w:line="240" w:before="120" w:after="0"/>
      <w:ind w:left="5104" w:hanging="567"/>
    </w:pPr>
    <w:rPr>
      <w:sz w:val="26"/>
      <w:szCs w:val="26"/>
      <w:lang w:val="ru-RU" w:eastAsia="ru-RU"/>
    </w:rPr>
  </w:style>
  <w:style w:type="paragraph" w:styleId="Style31" w:customStyle="1">
    <w:name w:val="УРОВЕНЬ_(а)"/>
    <w:basedOn w:val="ListParagraph"/>
    <w:qFormat/>
    <w:pPr>
      <w:numPr>
        <w:ilvl w:val="3"/>
        <w:numId w:val="3"/>
      </w:numPr>
      <w:spacing w:lineRule="exact" w:line="360" w:before="120" w:after="0"/>
      <w:contextualSpacing w:val="false"/>
      <w:jc w:val="both"/>
      <w:outlineLvl w:val="3"/>
    </w:pPr>
    <w:rPr>
      <w:sz w:val="26"/>
      <w:szCs w:val="28"/>
      <w:lang w:eastAsia="en-US"/>
    </w:rPr>
  </w:style>
  <w:style w:type="paragraph" w:styleId="-" w:customStyle="1">
    <w:name w:val="УРОВЕНЬ_-"/>
    <w:basedOn w:val="ListParagraph"/>
    <w:qFormat/>
    <w:pPr>
      <w:numPr>
        <w:ilvl w:val="4"/>
        <w:numId w:val="3"/>
      </w:numPr>
      <w:spacing w:lineRule="exact" w:line="360" w:before="120" w:after="0"/>
      <w:contextualSpacing w:val="false"/>
      <w:jc w:val="both"/>
      <w:outlineLvl w:val="4"/>
    </w:pPr>
    <w:rPr>
      <w:sz w:val="26"/>
      <w:szCs w:val="28"/>
      <w:lang w:eastAsia="en-US"/>
    </w:rPr>
  </w:style>
  <w:style w:type="paragraph" w:styleId="27" w:customStyle="1">
    <w:name w:val="УРОВЕНЬ_Абзац_тип2"/>
    <w:basedOn w:val="ListParagraph"/>
    <w:qFormat/>
    <w:pPr>
      <w:numPr>
        <w:ilvl w:val="6"/>
        <w:numId w:val="3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36" w:customStyle="1">
    <w:name w:val="УРОВЕНЬ_Абзац_тип3"/>
    <w:basedOn w:val="ListParagraph"/>
    <w:link w:val="31"/>
    <w:qFormat/>
    <w:pPr>
      <w:numPr>
        <w:ilvl w:val="7"/>
        <w:numId w:val="3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Style32" w:customStyle="1">
    <w:name w:val="УРОВЕНЬ_Подпись"/>
    <w:basedOn w:val="ListParagraph"/>
    <w:qFormat/>
    <w:pPr>
      <w:keepNext w:val="true"/>
      <w:numPr>
        <w:ilvl w:val="5"/>
        <w:numId w:val="3"/>
      </w:numPr>
      <w:spacing w:lineRule="exact" w:line="360" w:before="120" w:after="120"/>
      <w:contextualSpacing w:val="false"/>
      <w:jc w:val="right"/>
      <w:outlineLvl w:val="3"/>
    </w:pPr>
    <w:rPr>
      <w:sz w:val="26"/>
      <w:szCs w:val="28"/>
      <w:lang w:eastAsia="en-US"/>
    </w:rPr>
  </w:style>
  <w:style w:type="paragraph" w:styleId="18" w:customStyle="1">
    <w:name w:val="Стиль Заголовок 1 + по ширине"/>
    <w:basedOn w:val="Heading1"/>
    <w:qFormat/>
    <w:pPr>
      <w:keepLines/>
      <w:tabs>
        <w:tab w:val="clear" w:pos="720"/>
        <w:tab w:val="left" w:pos="567" w:leader="none"/>
      </w:tabs>
      <w:spacing w:before="480" w:after="240"/>
      <w:ind w:left="567" w:hanging="567"/>
      <w:jc w:val="both"/>
    </w:pPr>
    <w:rPr>
      <w:rFonts w:ascii="Arial" w:hAnsi="Arial" w:eastAsia="Times New Roman"/>
      <w:bCs w:val="false"/>
      <w:kern w:val="2"/>
      <w:sz w:val="40"/>
      <w:szCs w:val="20"/>
      <w:lang w:eastAsia="ru-RU"/>
    </w:rPr>
  </w:style>
  <w:style w:type="paragraph" w:styleId="EndnoteText">
    <w:name w:val="Endnote Text"/>
    <w:basedOn w:val="Normal"/>
    <w:link w:val="Style12"/>
    <w:pPr/>
    <w:rPr>
      <w:sz w:val="20"/>
      <w:szCs w:val="20"/>
    </w:rPr>
  </w:style>
  <w:style w:type="paragraph" w:styleId="28" w:customStyle="1">
    <w:name w:val="Заголовок 2 КВВ"/>
    <w:basedOn w:val="Normal"/>
    <w:qFormat/>
    <w:pPr>
      <w:keepNext w:val="true"/>
      <w:numPr>
        <w:ilvl w:val="0"/>
        <w:numId w:val="4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styleId="Style33" w:customStyle="1">
    <w:name w:val="Таблица текст"/>
    <w:basedOn w:val="Normal"/>
    <w:qFormat/>
    <w:pPr>
      <w:spacing w:before="40" w:after="40"/>
      <w:ind w:left="57" w:right="57" w:hanging="0"/>
    </w:pPr>
    <w:rPr>
      <w:sz w:val="24"/>
      <w:szCs w:val="26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  <w:szCs w:val="24"/>
    </w:rPr>
  </w:style>
  <w:style w:type="paragraph" w:styleId="19" w:customStyle="1">
    <w:name w:val="УРОВЕНЬ_1."/>
    <w:basedOn w:val="ListParagraph"/>
    <w:link w:val="12"/>
    <w:qFormat/>
    <w:pPr>
      <w:keepNext w:val="true"/>
      <w:keepLines/>
      <w:spacing w:lineRule="auto" w:line="276" w:before="240" w:after="120"/>
      <w:ind w:left="0" w:hanging="0"/>
      <w:contextualSpacing w:val="false"/>
      <w:jc w:val="both"/>
      <w:outlineLvl w:val="0"/>
    </w:pPr>
    <w:rPr>
      <w:caps/>
      <w:sz w:val="28"/>
      <w:szCs w:val="28"/>
      <w:lang w:eastAsia="en-US"/>
    </w:rPr>
  </w:style>
  <w:style w:type="paragraph" w:styleId="TOC6">
    <w:name w:val="TOC 6"/>
    <w:basedOn w:val="Normal"/>
    <w:next w:val="Normal"/>
    <w:autoRedefine/>
    <w:pPr>
      <w:ind w:left="1120" w:hanging="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pPr>
      <w:ind w:left="1400" w:hanging="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pPr>
      <w:ind w:left="1680" w:hanging="0"/>
    </w:pPr>
    <w:rPr>
      <w:rFonts w:ascii="Calibri" w:hAnsi="Calibri" w:cs="Calibri"/>
      <w:sz w:val="20"/>
      <w:szCs w:val="20"/>
    </w:rPr>
  </w:style>
  <w:style w:type="paragraph" w:styleId="Style34" w:customStyle="1">
    <w:name w:val="Содержимое врезки"/>
    <w:basedOn w:val="Normal"/>
    <w:qFormat/>
    <w:pPr/>
    <w:rPr/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Calibri" w:cs="Times New Roman"/>
      <w:color w:val="auto"/>
      <w:kern w:val="2"/>
      <w:sz w:val="22"/>
      <w:szCs w:val="22"/>
      <w:lang w:val="ru-RU" w:eastAsia="zh-CN" w:bidi="ar-SA"/>
    </w:rPr>
  </w:style>
  <w:style w:type="paragraph" w:styleId="Style35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36" w:customStyle="1">
    <w:name w:val="Заголовок таблицы"/>
    <w:basedOn w:val="Style35"/>
    <w:qFormat/>
    <w:pPr>
      <w:jc w:val="center"/>
    </w:pPr>
    <w:rPr>
      <w:b/>
      <w:bCs/>
    </w:rPr>
  </w:style>
  <w:style w:type="paragraph" w:styleId="Style37" w:customStyle="1">
    <w:name w:val="основной для подзаголовков"/>
    <w:basedOn w:val="Heading2"/>
    <w:qFormat/>
    <w:pPr>
      <w:spacing w:before="120" w:after="120"/>
      <w:ind w:left="0" w:hanging="0"/>
    </w:pPr>
    <w:rPr>
      <w:rFonts w:ascii="Calibri" w:hAnsi="Calibri"/>
      <w:kern w:val="2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numbering" w:styleId="110" w:customStyle="1">
    <w:name w:val="Стиль1"/>
    <w:qFormat/>
  </w:style>
  <w:style w:type="numbering" w:styleId="29" w:customStyle="1">
    <w:name w:val="Стиль2"/>
    <w:qFormat/>
  </w:style>
  <w:style w:type="table" w:default="1" w:styleId="a5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png"/><Relationship Id="rId33" Type="http://schemas.openxmlformats.org/officeDocument/2006/relationships/image" Target="media/image23.png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header" Target="header6.xml"/><Relationship Id="rId38" Type="http://schemas.openxmlformats.org/officeDocument/2006/relationships/header" Target="header7.xml"/><Relationship Id="rId39" Type="http://schemas.openxmlformats.org/officeDocument/2006/relationships/footer" Target="footer4.xml"/><Relationship Id="rId40" Type="http://schemas.openxmlformats.org/officeDocument/2006/relationships/footer" Target="footer5.xml"/><Relationship Id="rId41" Type="http://schemas.openxmlformats.org/officeDocument/2006/relationships/footnotes" Target="footnotes.xm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<Relationship Id="rId4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33D76-DCEF-4257-888B-45C2A5AC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Application>AlterOffice/3.4.0.9$Linux_X86_64 LibreOffice_project/b8daf9e823b1a5463a2f48435ddc2e8696e7d4fc</Application>
  <AppVersion>15.0000</AppVersion>
  <Pages>24</Pages>
  <Words>3073</Words>
  <Characters>19885</Characters>
  <CharactersWithSpaces>22367</CharactersWithSpaces>
  <Paragraphs>795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2025-05-05T12:36:00Z</dcterms:created>
  <dc:creator>Быстров Олег Геннадьевич</dc:creator>
  <dc:description/>
  <dc:language>ru-RU</dc:language>
  <cp:lastModifiedBy>repevaey@corp.gidroogk.com</cp:lastModifiedBy>
  <cp:lastPrinted>2026-06-24T13:45:26Z</cp:lastPrinted>
  <dcterms:modified xsi:type="dcterms:W3CDTF">2026-06-24T14:35:59Z</dcterms:modified>
  <cp:revision>32</cp:revision>
  <dc:subject/>
  <dc:title>Российское открытое акционерное общество энергетики и электрификации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