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____________________.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Платеж в размере 70 % (семидесяти процентов) от стоимости поставленной Продукции, согласно Спецификации </w:t>
      </w:r>
      <w:bookmarkStart w:id="0" w:name="_GoBack"/>
      <w:bookmarkEnd w:id="0"/>
      <w:r>
        <w:rPr>
          <w:sz w:val="24"/>
          <w:szCs w:val="24"/>
        </w:rPr>
        <w:t>(Приложение № 1), производится Покупателем</w:t>
      </w:r>
      <w:r>
        <w:rPr>
          <w:sz w:val="24"/>
          <w:szCs w:val="24"/>
          <w:shd w:fill="auto" w:val="clear"/>
        </w:rPr>
        <w:t xml:space="preserve"> 7 (семи) рабочих дней с даты подписания Товарной накладной по форме ТОРГ-12 и</w:t>
      </w:r>
      <w:r>
        <w:rPr>
          <w:sz w:val="24"/>
          <w:szCs w:val="24"/>
        </w:rPr>
        <w:t xml:space="preserve">ли Универсального передаточного документа (УПД) на Продукцию, при условии получении счета, выставленного Поставщиком с учетом п. 2.6 Договора.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обязан представить Покупателю счета-фактуры </w:t>
      </w:r>
      <w:r>
        <w:rPr>
          <w:sz w:val="24"/>
          <w:szCs w:val="24"/>
          <w:shd w:fill="auto" w:val="clear"/>
        </w:rPr>
        <w:t>(УПД)</w:t>
      </w:r>
      <w:r>
        <w:rPr>
          <w:sz w:val="24"/>
          <w:szCs w:val="24"/>
          <w:shd w:fill="auto" w:val="clear"/>
        </w:rPr>
        <w:t xml:space="preserve">,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w:t>
      </w:r>
      <w:r>
        <w:rPr>
          <w:sz w:val="24"/>
          <w:szCs w:val="24"/>
          <w:shd w:fill="auto" w:val="clear"/>
        </w:rPr>
        <w:t>(УПД)</w:t>
      </w:r>
      <w:r>
        <w:rPr>
          <w:sz w:val="24"/>
          <w:szCs w:val="24"/>
          <w:shd w:fill="auto" w:val="clear"/>
        </w:rPr>
        <w:t xml:space="preserve">, он обязан произвести замену счета-фактуры </w:t>
      </w:r>
      <w:r>
        <w:rPr>
          <w:sz w:val="24"/>
          <w:szCs w:val="24"/>
          <w:shd w:fill="auto" w:val="clear"/>
        </w:rPr>
        <w:t>(УПД)</w:t>
      </w:r>
      <w:r>
        <w:rPr>
          <w:sz w:val="24"/>
          <w:szCs w:val="24"/>
          <w:shd w:fill="auto" w:val="clear"/>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w:t>
      </w:r>
      <w:r>
        <w:rPr>
          <w:sz w:val="24"/>
          <w:szCs w:val="24"/>
          <w:shd w:fill="auto" w:val="clear"/>
        </w:rPr>
        <w:t>(УПД)</w:t>
      </w:r>
      <w:r>
        <w:rPr>
          <w:sz w:val="24"/>
          <w:szCs w:val="24"/>
          <w:shd w:fill="auto" w:val="clear"/>
        </w:rPr>
        <w:t>, подтвержда</w:t>
      </w:r>
      <w:r>
        <w:rPr>
          <w:sz w:val="24"/>
          <w:szCs w:val="24"/>
        </w:rPr>
        <w:t>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rFonts w:cs="Times New Roman"/>
          <w:color w:val="000000"/>
          <w:sz w:val="24"/>
          <w:szCs w:val="24"/>
          <w:shd w:fill="auto" w:val="clear"/>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w:t>
      </w:r>
      <w:r>
        <w:rPr>
          <w:sz w:val="24"/>
          <w:szCs w:val="24"/>
          <w:shd w:fill="auto" w:val="clear"/>
        </w:rPr>
        <w:t xml:space="preserve"> </w:t>
      </w:r>
      <w:r>
        <w:rPr>
          <w:rFonts w:cs="Times New Roman"/>
          <w:sz w:val="24"/>
          <w:szCs w:val="24"/>
          <w:shd w:fill="auto" w:val="clear"/>
        </w:rPr>
        <w:t>(</w:t>
      </w:r>
      <w:r>
        <w:rPr>
          <w:rFonts w:cs="Times New Roman"/>
          <w:color w:val="000000"/>
          <w:sz w:val="24"/>
          <w:szCs w:val="24"/>
          <w:shd w:fill="auto" w:val="clear"/>
        </w:rPr>
        <w:t xml:space="preserve">в ред. </w:t>
      </w:r>
      <w:hyperlink r:id="rId2">
        <w:r>
          <w:rPr>
            <w:rStyle w:val="Hyperlink"/>
            <w:rFonts w:cs="Times New Roman"/>
            <w:color w:val="000000"/>
            <w:sz w:val="24"/>
            <w:szCs w:val="24"/>
            <w:u w:val="none"/>
            <w:shd w:fill="auto" w:val="clear"/>
          </w:rPr>
          <w:t>Постановления Правительства РФ от 21.12.2020 № 2200</w:t>
        </w:r>
      </w:hyperlink>
      <w:r>
        <w:rPr>
          <w:rFonts w:cs="Times New Roman"/>
          <w:sz w:val="24"/>
          <w:szCs w:val="24"/>
          <w:shd w:fill="auto" w:val="clear"/>
        </w:rPr>
        <w:t>)</w:t>
      </w:r>
      <w:r>
        <w:rPr>
          <w:sz w:val="24"/>
          <w:szCs w:val="24"/>
          <w:shd w:fill="auto" w:val="clear"/>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shd w:fill="auto" w:val="clear"/>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shd w:fill="auto" w:val="clear"/>
        </w:rPr>
        <w:t xml:space="preserve">товарно-транспортную накладную формы №1-Т </w:t>
      </w:r>
      <w:r>
        <w:rPr>
          <w:color w:val="000000"/>
          <w:sz w:val="24"/>
          <w:szCs w:val="24"/>
          <w:shd w:fill="auto"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auto" w:val="clear"/>
        </w:rPr>
        <w:t xml:space="preserve">(в ред. </w:t>
      </w:r>
      <w:hyperlink r:id="rId3">
        <w:r>
          <w:rPr>
            <w:rStyle w:val="Hyperlink"/>
            <w:rFonts w:cs="Times New Roman"/>
            <w:color w:val="000000"/>
            <w:sz w:val="24"/>
            <w:szCs w:val="24"/>
            <w:u w:val="none"/>
            <w:shd w:fill="auto" w:val="clear"/>
          </w:rPr>
          <w:t>Постановления Правительства РФ от 21.12.2020 № 2200</w:t>
        </w:r>
      </w:hyperlink>
      <w:r>
        <w:rPr>
          <w:rStyle w:val="Hyperlink"/>
          <w:rFonts w:cs="Times New Roman"/>
          <w:color w:val="000000"/>
          <w:sz w:val="24"/>
          <w:szCs w:val="24"/>
          <w:u w:val="none"/>
          <w:shd w:fill="auto" w:val="clear"/>
        </w:rPr>
        <w:t>)</w:t>
      </w:r>
      <w:r>
        <w:rPr>
          <w:rFonts w:cs="Times New Roman"/>
          <w:color w:val="000000"/>
          <w:sz w:val="24"/>
          <w:szCs w:val="24"/>
          <w:shd w:fill="auto"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При некомплектности, недо</w:t>
      </w:r>
      <w:r>
        <w:rPr>
          <w:sz w:val="24"/>
          <w:szCs w:val="24"/>
        </w:rPr>
        <w:t>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auto" w:val="clear"/>
        </w:rPr>
        <w:t>(</w:t>
      </w:r>
      <w:r>
        <w:rPr>
          <w:rFonts w:cs="Times New Roman"/>
          <w:color w:val="000000"/>
          <w:sz w:val="24"/>
          <w:szCs w:val="24"/>
          <w:shd w:fill="auto" w:val="clear"/>
        </w:rPr>
        <w:t xml:space="preserve">в ред. </w:t>
      </w:r>
      <w:hyperlink r:id="rId4">
        <w:r>
          <w:rPr>
            <w:rStyle w:val="Hyperlink"/>
            <w:rFonts w:cs="Times New Roman"/>
            <w:color w:val="000000"/>
            <w:sz w:val="24"/>
            <w:szCs w:val="24"/>
            <w:u w:val="none"/>
            <w:shd w:fill="auto" w:val="clear"/>
          </w:rPr>
          <w:t>Постановления Правительства РФ от 21.12.2020 № 2200</w:t>
        </w:r>
      </w:hyperlink>
      <w:r>
        <w:rPr>
          <w:rFonts w:cs="Times New Roman"/>
          <w:sz w:val="24"/>
          <w:szCs w:val="24"/>
          <w:shd w:fill="auto" w:val="clear"/>
        </w:rPr>
        <w:t>)</w:t>
      </w:r>
      <w:r>
        <w:rPr>
          <w:sz w:val="24"/>
          <w:szCs w:val="24"/>
          <w:shd w:fill="auto" w:val="clear"/>
        </w:rPr>
        <w:t>. В случае отсутствия з</w:t>
      </w:r>
      <w:r>
        <w:rPr>
          <w:sz w:val="24"/>
          <w:szCs w:val="24"/>
        </w:rPr>
        <w:t xml:space="preserve">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________ (__________________)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w:t>
      </w:r>
      <w:r>
        <w:rPr>
          <w:sz w:val="28"/>
          <w:szCs w:val="28"/>
          <w:shd w:fill="auto" w:val="clear"/>
        </w:rPr>
        <w:t xml:space="preserve"> </w:t>
      </w:r>
      <w:r>
        <w:rPr>
          <w:sz w:val="24"/>
          <w:szCs w:val="24"/>
          <w:shd w:fill="auto" w:val="clear"/>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bookmarkStart w:id="3" w:name="_Hlk130023773"/>
      <w:r>
        <w:rPr>
          <w:sz w:val="24"/>
          <w:szCs w:val="24"/>
          <w:shd w:fill="auto" w:val="clear"/>
        </w:rPr>
        <w:t xml:space="preserve">В случае </w:t>
      </w:r>
      <w:bookmarkStart w:id="4" w:name="_Hlk130023740"/>
      <w:r>
        <w:rPr>
          <w:sz w:val="24"/>
          <w:szCs w:val="24"/>
          <w:shd w:fill="auto" w:val="clear"/>
        </w:rPr>
        <w:t xml:space="preserve">нарушения </w:t>
      </w:r>
      <w:bookmarkEnd w:id="4"/>
      <w:r>
        <w:rPr>
          <w:sz w:val="24"/>
          <w:szCs w:val="24"/>
          <w:shd w:fill="auto" w:val="clear"/>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shd w:fill="auto" w:val="clear"/>
        </w:rPr>
        <w:t xml:space="preserve">. </w:t>
      </w:r>
    </w:p>
    <w:p>
      <w:pPr>
        <w:pStyle w:val="Normal"/>
        <w:tabs>
          <w:tab w:val="clear" w:pos="720"/>
          <w:tab w:val="left" w:pos="1701" w:leader="none"/>
        </w:tabs>
        <w:jc w:val="both"/>
        <w:rPr>
          <w:highlight w:val="none"/>
          <w:shd w:fill="auto" w:val="clear"/>
        </w:rPr>
      </w:pPr>
      <w:r>
        <w:rPr>
          <w:sz w:val="24"/>
          <w:szCs w:val="24"/>
          <w:shd w:fill="auto" w:val="clear"/>
        </w:rPr>
        <w:tab/>
      </w:r>
      <w:bookmarkStart w:id="5" w:name="_Hlk130023812"/>
      <w:r>
        <w:rPr>
          <w:sz w:val="24"/>
          <w:szCs w:val="24"/>
          <w:shd w:fill="auto" w:val="clear"/>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стоимости некачественной </w:t>
      </w:r>
      <w:r>
        <w:rPr>
          <w:sz w:val="24"/>
          <w:szCs w:val="24"/>
          <w:shd w:fill="auto" w:val="clear"/>
        </w:rPr>
        <w:t>Продукции</w:t>
      </w:r>
      <w:r>
        <w:rPr>
          <w:rFonts w:eastAsia="Calibri"/>
          <w:bCs/>
          <w:sz w:val="24"/>
          <w:szCs w:val="24"/>
          <w:shd w:fill="auto" w:val="clear"/>
        </w:rPr>
        <w:t xml:space="preserve">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не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bookmarkEnd w:id="5"/>
      <w:r>
        <w:rPr>
          <w:rFonts w:eastAsia="Calibri"/>
          <w:bCs/>
          <w:sz w:val="24"/>
          <w:szCs w:val="24"/>
          <w:shd w:fill="auto" w:val="clear"/>
        </w:rPr>
        <w:t>.</w:t>
      </w:r>
      <w:r>
        <w:rPr>
          <w:sz w:val="24"/>
          <w:szCs w:val="24"/>
          <w:shd w:fill="auto" w:val="clear"/>
        </w:rPr>
        <w:t xml:space="preserve"> </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w:t>
      </w:r>
      <w:r>
        <w:rPr>
          <w:sz w:val="24"/>
          <w:szCs w:val="24"/>
        </w:rPr>
        <w:t>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w:t>
      </w:r>
      <w:r>
        <w:rPr>
          <w:sz w:val="24"/>
          <w:szCs w:val="24"/>
          <w:shd w:fill="auto" w:val="clear"/>
        </w:rPr>
        <w:t xml:space="preserve"> </w:t>
      </w:r>
      <w:r>
        <w:rPr>
          <w:sz w:val="24"/>
          <w:szCs w:val="24"/>
          <w:shd w:fill="auto" w:val="clear"/>
        </w:rPr>
        <w:t>(УПД)</w:t>
      </w:r>
      <w:r>
        <w:rPr>
          <w:sz w:val="24"/>
          <w:szCs w:val="24"/>
          <w:shd w:fill="auto" w:val="clear"/>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Pr>
          <w:sz w:val="24"/>
          <w:szCs w:val="24"/>
          <w:shd w:fill="auto" w:val="clear"/>
        </w:rPr>
        <w:t>В случае нарушения Поставщиком сроков, предусмотренных п. 2.9. Договора, Покупатель имеет право требовать от Поставщика уплаты штрафа в размере 50 000 (Пятидесяти тысяч) рублей за каждый случай нарушения</w:t>
      </w:r>
      <w:r>
        <w:rPr>
          <w:sz w:val="24"/>
          <w:szCs w:val="24"/>
          <w:shd w:fill="auto" w:val="clear"/>
        </w:rPr>
        <w:t>.</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highlight w:val="none"/>
          <w:shd w:fill="auto" w:val="clear"/>
        </w:rPr>
      </w:pPr>
      <w:r>
        <w:rPr>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highlight w:val="none"/>
          <w:shd w:fill="auto" w:val="clear"/>
        </w:rPr>
      </w:pPr>
      <w:r>
        <w:rPr>
          <w:sz w:val="24"/>
          <w:szCs w:val="24"/>
          <w:shd w:fill="auto"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7" w:name="sub_1"/>
      <w:r>
        <w:rPr>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0"/>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2"/>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12"/>
      <w:headerReference w:type="first" r:id="rId13"/>
      <w:footerReference w:type="even" r:id="rId14"/>
      <w:footerReference w:type="default" r:id="rId15"/>
      <w:footerReference w:type="first" r:id="rId16"/>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5"/>
    <w:lvlOverride w:ilvl="0">
      <w:startOverride w:val="1"/>
    </w:lvlOverride>
  </w:num>
  <w:num w:numId="21">
    <w:abstractNumId w:val="15"/>
  </w:num>
  <w:num w:numId="22">
    <w:abstractNumId w:val="15"/>
  </w:num>
  <w:num w:numId="23">
    <w:abstractNumId w:val="15"/>
  </w:num>
</w:numbering>
</file>

<file path=word/settings.xml><?xml version="1.0" encoding="utf-8"?>
<w:settings xmlns:w="http://schemas.openxmlformats.org/wordprocessingml/2006/main">
  <w:zoom w:percent="98"/>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FootnoteCharacters">
    <w:name w:val="Footnote Characters"/>
    <w:qFormat/>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paragraph" w:styleId="Style22">
    <w:name w:val="Таблица текст"/>
    <w:basedOn w:val="Normal"/>
    <w:qFormat/>
    <w:pPr>
      <w:spacing w:before="40" w:after="40"/>
      <w:ind w:left="57" w:right="57" w:hanging="0"/>
    </w:pPr>
    <w:rPr>
      <w:sz w:val="24"/>
      <w:szCs w:val="24"/>
    </w:rPr>
  </w:style>
  <w:style w:type="paragraph" w:styleId="Style23">
    <w:name w:val="Знак Знак Знак Знак"/>
    <w:basedOn w:val="Normal"/>
    <w:qFormat/>
    <w:pPr>
      <w:spacing w:lineRule="exact" w:line="240" w:before="0" w:after="160"/>
    </w:pPr>
    <w:rPr>
      <w:rFonts w:ascii="Verdana" w:hAnsi="Verdana" w:cs="Verdana"/>
      <w:lang w:val="en-US"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54ED-FA12-4A2F-B577-9B1701F5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Application>AlterOffice/3.4.0.9$Linux_X86_64 LibreOffice_project/b8daf9e823b1a5463a2f48435ddc2e8696e7d4fc</Application>
  <AppVersion>15.0000</AppVersion>
  <Pages>19</Pages>
  <Words>6674</Words>
  <Characters>47885</Characters>
  <CharactersWithSpaces>54102</CharactersWithSpaces>
  <Paragraphs>348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
  <cp:lastPrinted>2017-11-07T14:48:00Z</cp:lastPrinted>
  <dcterms:modified xsi:type="dcterms:W3CDTF">2026-06-15T12:55:13Z</dcterms:modified>
  <cp:revision>59</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