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360"/>
        <w:ind w:left="0" w:right="0" w:hanging="0"/>
        <w:jc w:val="center"/>
        <w:outlineLvl w:val="0"/>
        <w:rPr>
          <w:rFonts w:ascii="Times New Roman" w:hAnsi="Times New Roman"/>
          <w:sz w:val="24"/>
          <w:szCs w:val="24"/>
        </w:rPr>
      </w:pPr>
      <w:bookmarkStart w:id="0" w:name="__RefHeading___Toc7015_899461045"/>
      <w:bookmarkEnd w:id="0"/>
      <w:r>
        <w:rPr>
          <w:b/>
          <w:sz w:val="24"/>
          <w:szCs w:val="24"/>
        </w:rPr>
        <w:t>ТЕХНИЧЕСКИЕ ТРЕБОВАНИЯ</w:t>
      </w:r>
    </w:p>
    <w:p>
      <w:pPr>
        <w:pStyle w:val="Normal"/>
        <w:keepNext w:val="true"/>
        <w:keepLines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ОКПД2 16.10. Поставка пиломатериалов </w:t>
      </w:r>
      <w:r>
        <w:rPr>
          <w:b/>
          <w:sz w:val="24"/>
          <w:szCs w:val="24"/>
        </w:rPr>
        <w:t>на Усть — Среднеканскую ГЭС</w:t>
      </w:r>
      <w:r>
        <w:rPr>
          <w:b/>
          <w:sz w:val="24"/>
          <w:szCs w:val="24"/>
        </w:rPr>
        <w:t xml:space="preserve"> для нужд Башкирского филиала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0"/>
        </w:numPr>
        <w:ind w:left="284" w:right="0" w:hanging="0"/>
        <w:jc w:val="center"/>
        <w:rPr>
          <w:b/>
          <w:bCs/>
          <w:i w:val="false"/>
          <w:i w:val="false"/>
          <w:caps w:val="false"/>
          <w:smallCaps w:val="false"/>
          <w:color w:val="000000"/>
          <w:spacing w:val="0"/>
          <w:shd w:fill="FFFFFF" w:val="clear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hd w:fill="FFFFFF" w:val="clear"/>
        </w:rPr>
      </w:r>
      <w:bookmarkStart w:id="1" w:name="__RefHeading___Toc12781_1771583711"/>
      <w:bookmarkStart w:id="2" w:name="__RefHeading___Toc12781_1771583711"/>
      <w:bookmarkEnd w:id="2"/>
    </w:p>
    <w:p>
      <w:pPr>
        <w:pStyle w:val="Normal"/>
        <w:ind w:left="284" w:right="0" w:hang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keepLines/>
            <w:numPr>
              <w:ilvl w:val="0"/>
            </w:numPr>
            <w:spacing w:before="480" w:after="60"/>
            <w:ind w:left="284" w:right="0" w:hanging="0"/>
            <w:rPr>
              <w:rFonts w:ascii="Times New Roman" w:hAnsi="Times New Roman"/>
              <w:bCs/>
              <w:color w:val="000000"/>
            </w:rPr>
          </w:pPr>
          <w:r>
            <w:rPr>
              <w:rFonts w:ascii="Times New Roman" w:hAnsi="Times New Roman"/>
              <w:bCs/>
              <w:color w:val="000000"/>
            </w:rPr>
            <w:t>Содержание</w:t>
          </w:r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rStyle w:val="Style16"/>
            </w:rPr>
            <w:instrText xml:space="preserve"> TOC \f \o "1-9" \h</w:instrText>
          </w:r>
          <w:r>
            <w:rPr>
              <w:rStyle w:val="Style16"/>
            </w:rPr>
            <w:fldChar w:fldCharType="separate"/>
          </w:r>
          <w:hyperlink w:anchor="__RefHeading___Toc7015_899461045">
            <w:r>
              <w:rPr>
                <w:rStyle w:val="Style16"/>
              </w:rPr>
              <w:t>ТЕХНИЧЕСКИЕ ТРЕБОВАНИЯ</w:t>
              <w:tab/>
              <w:t>1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7017_899461045">
            <w:r>
              <w:rPr>
                <w:rStyle w:val="Style16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7019_899461045">
            <w:r>
              <w:rPr>
                <w:rStyle w:val="Style16"/>
              </w:rPr>
              <w:t>1.1.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7021_899461045">
            <w:r>
              <w:rPr>
                <w:rStyle w:val="Style16"/>
              </w:rPr>
              <w:t>1.2.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8323_2243388018">
            <w:r>
              <w:rPr>
                <w:rStyle w:val="Style16"/>
              </w:rPr>
              <w:t>1.3. Цель использования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8325_2243388018">
            <w:r>
              <w:rPr>
                <w:rStyle w:val="Style16"/>
              </w:rPr>
              <w:t>2. Требования к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7023_899461045">
            <w:r>
              <w:rPr>
                <w:rStyle w:val="Style16"/>
              </w:rPr>
              <w:t>2.1. Требования к объемам и срокам поставки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7025_899461045">
            <w:r>
              <w:rPr>
                <w:rStyle w:val="Style16"/>
              </w:rPr>
              <w:t>2.1.1. Перечень и объем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7027_899461045">
            <w:r>
              <w:rPr>
                <w:rStyle w:val="Style16"/>
              </w:rPr>
              <w:t>Таблица 1.1 Перечень и объем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7029_899461045">
            <w:r>
              <w:rPr>
                <w:rStyle w:val="Style16"/>
              </w:rPr>
              <w:t>2.1.2. Требования к срокам поставки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7031_899461045">
            <w:r>
              <w:rPr>
                <w:rStyle w:val="Style16"/>
              </w:rPr>
              <w:t>Таблица 2.1 Требования по срокам поставки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7033_899461045">
            <w:r>
              <w:rPr>
                <w:rStyle w:val="Style16"/>
              </w:rPr>
              <w:t>2.2. Требования к качеству продукции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7035_899461045">
            <w:r>
              <w:rPr>
                <w:rStyle w:val="Style16"/>
              </w:rPr>
              <w:t>Таблица 3. Требования к продукции</w:t>
              <w:tab/>
              <w:t>5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7037_899461045">
            <w:r>
              <w:rPr>
                <w:rStyle w:val="Style16"/>
              </w:rPr>
              <w:t>3. Требования к документации по ценообразованию на этапе закупки</w:t>
              <w:tab/>
              <w:t>10</w:t>
            </w:r>
          </w:hyperlink>
          <w:r>
            <w:rPr>
              <w:rStyle w:val="Style16"/>
            </w:rPr>
            <w:fldChar w:fldCharType="end"/>
          </w:r>
        </w:p>
      </w:sdtContent>
    </w:sdt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32" w:right="0" w:hanging="432"/>
        <w:rPr>
          <w:b/>
          <w:sz w:val="24"/>
          <w:szCs w:val="24"/>
        </w:rPr>
      </w:pPr>
      <w:bookmarkStart w:id="3" w:name="__RefHeading___Toc7017_899461045"/>
      <w:bookmarkStart w:id="4" w:name="_Toc46743506"/>
      <w:bookmarkStart w:id="5" w:name="_Toc75446568"/>
      <w:bookmarkEnd w:id="3"/>
      <w:r>
        <w:rPr>
          <w:b/>
          <w:sz w:val="24"/>
          <w:szCs w:val="24"/>
        </w:rPr>
        <w:t>Общие сведения</w:t>
      </w:r>
      <w:bookmarkEnd w:id="4"/>
      <w:bookmarkEnd w:id="5"/>
    </w:p>
    <w:p>
      <w:pPr>
        <w:pStyle w:val="Heading4"/>
        <w:numPr>
          <w:ilvl w:val="1"/>
          <w:numId w:val="3"/>
        </w:numPr>
        <w:ind w:left="432" w:right="0" w:hanging="432"/>
        <w:rPr>
          <w:b/>
        </w:rPr>
      </w:pPr>
      <w:bookmarkStart w:id="6" w:name="__RefHeading___Toc7019_899461045"/>
      <w:bookmarkEnd w:id="6"/>
      <w:r>
        <w:rPr>
          <w:b/>
        </w:rPr>
        <w:t>Наименование закупаемой продукции</w:t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стандарт организации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технические требования</w:t>
            </w:r>
          </w:p>
        </w:tc>
      </w:tr>
    </w:tbl>
    <w:p>
      <w:pPr>
        <w:pStyle w:val="Heading4"/>
        <w:numPr>
          <w:ilvl w:val="1"/>
          <w:numId w:val="3"/>
        </w:numPr>
        <w:ind w:left="432" w:right="0" w:hanging="432"/>
        <w:rPr>
          <w:b/>
        </w:rPr>
      </w:pPr>
      <w:bookmarkStart w:id="7" w:name="__RefHeading___Toc7021_899461045"/>
      <w:bookmarkEnd w:id="7"/>
      <w:r>
        <w:rPr>
          <w:b/>
        </w:rPr>
        <w:t>Наименование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ОКПД2 16.10 </w:t>
      </w:r>
      <w:bookmarkStart w:id="8" w:name="_Toc51339693_Копия_1"/>
      <w:bookmarkStart w:id="9" w:name="_Toc75446573_Копия_1"/>
      <w:r>
        <w:rPr>
          <w:b w:val="false"/>
          <w:bCs w:val="false"/>
          <w:sz w:val="24"/>
          <w:szCs w:val="24"/>
        </w:rPr>
        <w:t xml:space="preserve"> </w:t>
      </w:r>
      <w:bookmarkEnd w:id="8"/>
      <w:bookmarkEnd w:id="9"/>
      <w:r>
        <w:rPr>
          <w:b w:val="false"/>
          <w:bCs w:val="false"/>
          <w:sz w:val="24"/>
          <w:szCs w:val="24"/>
        </w:rPr>
        <w:t xml:space="preserve">Поставка пиломатериалов </w:t>
      </w:r>
      <w:r>
        <w:rPr>
          <w:b w:val="false"/>
          <w:bCs w:val="false"/>
          <w:sz w:val="24"/>
          <w:szCs w:val="24"/>
        </w:rPr>
        <w:t xml:space="preserve">на Усть — Среднеканскую ГЭС </w:t>
      </w:r>
      <w:r>
        <w:rPr>
          <w:b w:val="false"/>
          <w:bCs w:val="false"/>
          <w:sz w:val="24"/>
          <w:szCs w:val="24"/>
        </w:rPr>
        <w:t>для нужд Башкирского филиала.</w:t>
      </w:r>
    </w:p>
    <w:p>
      <w:pPr>
        <w:pStyle w:val="Heading4"/>
        <w:numPr>
          <w:ilvl w:val="1"/>
          <w:numId w:val="3"/>
        </w:numPr>
        <w:ind w:left="432" w:right="0" w:hanging="432"/>
        <w:rPr>
          <w:sz w:val="24"/>
          <w:szCs w:val="24"/>
        </w:rPr>
      </w:pPr>
      <w:bookmarkStart w:id="10" w:name="__RefHeading___Toc8323_2243388018"/>
      <w:bookmarkEnd w:id="10"/>
      <w:r>
        <w:rPr>
          <w:b/>
          <w:sz w:val="24"/>
          <w:szCs w:val="24"/>
        </w:rPr>
        <w:t>Цель использования закупаемой продукции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360" w:before="120" w:after="120"/>
        <w:jc w:val="both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Закупаемая продукция предназначена для выполнения работ по договору №574-РЕМ от 05.08.2025г. на Усть-Среднеканской ГЭС для  работ капитального ремонта бычков отсасывающих труб, разделительной стенки и правобережной облицовки Усть-Среднеканской ГЭС, в части бетонных поверхностей в нижнем бьефе в районе переменных уровней воды, в рамках обоснования закупки у взаимозависимого лица по лоту № 0004-РЕМ ПРОД-2025-УСГЭС, подписанного между АО «Усть-Среднеканская ГЭС им. А.Ф. Дьякова» и АО «Гидроремонт-ВКК».</w:t>
      </w:r>
    </w:p>
    <w:p>
      <w:pPr>
        <w:pStyle w:val="Heading1"/>
        <w:numPr>
          <w:ilvl w:val="0"/>
          <w:numId w:val="3"/>
        </w:numPr>
        <w:spacing w:before="0" w:after="0"/>
        <w:ind w:left="709" w:right="0" w:hanging="709"/>
        <w:rPr>
          <w:b/>
          <w:bCs/>
        </w:rPr>
      </w:pPr>
      <w:bookmarkStart w:id="11" w:name="__RefHeading___Toc8325_2243388018"/>
      <w:bookmarkStart w:id="12" w:name="_Toc124846885"/>
      <w:bookmarkStart w:id="13" w:name="_Toc75446573"/>
      <w:bookmarkStart w:id="14" w:name="_Toc51339693"/>
      <w:bookmarkStart w:id="15" w:name="_Toc50125126"/>
      <w:bookmarkStart w:id="16" w:name="_Toc46743510_Копия_1"/>
      <w:bookmarkEnd w:id="11"/>
      <w:bookmarkEnd w:id="15"/>
      <w:bookmarkEnd w:id="16"/>
      <w:r>
        <w:rPr>
          <w:b/>
          <w:bCs/>
          <w:sz w:val="24"/>
          <w:szCs w:val="24"/>
        </w:rPr>
        <w:t>Требования к продукции</w:t>
      </w:r>
      <w:bookmarkEnd w:id="12"/>
      <w:bookmarkEnd w:id="13"/>
      <w:bookmarkEnd w:id="14"/>
    </w:p>
    <w:p>
      <w:pPr>
        <w:pStyle w:val="Heading4"/>
        <w:numPr>
          <w:ilvl w:val="1"/>
          <w:numId w:val="3"/>
        </w:numPr>
        <w:ind w:left="432" w:right="0" w:hanging="432"/>
        <w:rPr>
          <w:b/>
        </w:rPr>
      </w:pPr>
      <w:bookmarkStart w:id="17" w:name="__RefHeading___Toc7023_899461045"/>
      <w:bookmarkStart w:id="18" w:name="_Toc75446574"/>
      <w:bookmarkEnd w:id="17"/>
      <w:r>
        <w:rPr>
          <w:b/>
        </w:rPr>
        <w:t>Требования к объемам и срокам поставки</w:t>
      </w:r>
      <w:bookmarkEnd w:id="18"/>
    </w:p>
    <w:p>
      <w:pPr>
        <w:pStyle w:val="Heading3"/>
        <w:numPr>
          <w:ilvl w:val="2"/>
          <w:numId w:val="3"/>
        </w:numPr>
        <w:ind w:left="1224" w:right="0" w:hanging="504"/>
        <w:rPr>
          <w:b/>
        </w:rPr>
      </w:pPr>
      <w:bookmarkStart w:id="19" w:name="__RefHeading___Toc7025_899461045"/>
      <w:bookmarkStart w:id="20" w:name="_Toc75446575"/>
      <w:bookmarkEnd w:id="19"/>
      <w:r>
        <w:rPr>
          <w:b/>
        </w:rPr>
        <w:t>Перечень и объем закупаемой продукции</w:t>
      </w:r>
      <w:bookmarkEnd w:id="20"/>
    </w:p>
    <w:p>
      <w:pPr>
        <w:pStyle w:val="Heading1"/>
        <w:numPr>
          <w:ilvl w:val="0"/>
        </w:numPr>
        <w:ind w:left="284" w:right="0" w:hanging="0"/>
        <w:rPr>
          <w:b/>
          <w:sz w:val="24"/>
          <w:szCs w:val="24"/>
        </w:rPr>
      </w:pPr>
      <w:bookmarkStart w:id="21" w:name="__RefHeading___Toc7027_899461045"/>
      <w:bookmarkStart w:id="22" w:name="_Toc75446576"/>
      <w:bookmarkStart w:id="23" w:name="_Toc51339695"/>
      <w:bookmarkEnd w:id="21"/>
      <w:r>
        <w:rPr>
          <w:b/>
          <w:sz w:val="24"/>
          <w:szCs w:val="24"/>
        </w:rPr>
        <w:t xml:space="preserve">Таблица 1.1 Перечень </w:t>
      </w:r>
      <w:bookmarkEnd w:id="23"/>
      <w:r>
        <w:rPr>
          <w:b/>
          <w:sz w:val="24"/>
          <w:szCs w:val="24"/>
        </w:rPr>
        <w:t>и объем закупаемой продукции</w:t>
      </w:r>
      <w:bookmarkEnd w:id="22"/>
    </w:p>
    <w:tbl>
      <w:tblPr>
        <w:tblW w:w="10065" w:type="dxa"/>
        <w:jc w:val="left"/>
        <w:tblInd w:w="-5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18"/>
        <w:gridCol w:w="3998"/>
        <w:gridCol w:w="1276"/>
        <w:gridCol w:w="1988"/>
        <w:gridCol w:w="1985"/>
      </w:tblGrid>
      <w:tr>
        <w:trPr>
          <w:tblHeader w:val="true"/>
          <w:trHeight w:val="454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</w:t>
            </w:r>
          </w:p>
        </w:tc>
      </w:tr>
      <w:tr>
        <w:trPr>
          <w:trHeight w:val="256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</w:tr>
      <w:tr>
        <w:trPr>
          <w:trHeight w:val="454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bidi w:val="0"/>
              <w:spacing w:before="0" w:after="0"/>
              <w:ind w:left="340" w:right="0" w:hanging="22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Ламинированная влагостойкая фанера 2440х1220х18 мм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bidi w:val="0"/>
              <w:spacing w:before="0" w:after="0"/>
              <w:ind w:left="340" w:right="0" w:hanging="22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Брусок деревянный 50х100х4000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hd w:fill="FFFF00" w:val="clear"/>
              </w:rPr>
            </w:pPr>
            <w:r>
              <w:rPr>
                <w:sz w:val="22"/>
                <w:szCs w:val="22"/>
              </w:rPr>
              <w:t>6,21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 xml:space="preserve">Кратно 1 метру 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00" w:val="clear"/>
              </w:rPr>
            </w:pPr>
            <w:r>
              <w:rPr>
                <w:sz w:val="22"/>
                <w:szCs w:val="22"/>
                <w:shd w:fill="FFFF00" w:val="clear"/>
              </w:rPr>
            </w:r>
          </w:p>
        </w:tc>
      </w:tr>
      <w:tr>
        <w:trPr>
          <w:trHeight w:val="933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bidi w:val="0"/>
              <w:spacing w:before="0" w:after="0"/>
              <w:ind w:left="340" w:right="0" w:hanging="22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Доска обрезная 50х150х4000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bidi w:val="0"/>
              <w:spacing w:before="0" w:after="0"/>
              <w:ind w:left="340" w:right="0" w:hanging="22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Доска обрезная 100х100х4000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jc w:val="both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jc w:val="both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jc w:val="both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jc w:val="both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jc w:val="both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Heading3"/>
        <w:numPr>
          <w:ilvl w:val="2"/>
          <w:numId w:val="3"/>
        </w:numPr>
        <w:ind w:left="1224" w:right="0" w:hanging="504"/>
        <w:rPr>
          <w:b/>
        </w:rPr>
      </w:pPr>
      <w:bookmarkStart w:id="24" w:name="__RefHeading___Toc7029_899461045"/>
      <w:bookmarkEnd w:id="24"/>
      <w:r>
        <w:rPr>
          <w:b/>
        </w:rPr>
        <w:t xml:space="preserve">Требования к срокам поставки продукции </w:t>
      </w:r>
    </w:p>
    <w:p>
      <w:pPr>
        <w:pStyle w:val="Heading1"/>
        <w:numPr>
          <w:ilvl w:val="0"/>
        </w:numPr>
        <w:ind w:left="142" w:right="0" w:hanging="0"/>
        <w:rPr>
          <w:b/>
          <w:sz w:val="24"/>
        </w:rPr>
      </w:pPr>
      <w:bookmarkStart w:id="25" w:name="__RefHeading___Toc7031_899461045"/>
      <w:bookmarkStart w:id="26" w:name="_Toc75446579"/>
      <w:bookmarkStart w:id="27" w:name="_Toc51339697"/>
      <w:bookmarkStart w:id="28" w:name="_Toc50125127"/>
      <w:bookmarkStart w:id="29" w:name="_Toc501251261"/>
      <w:bookmarkEnd w:id="25"/>
      <w:bookmarkEnd w:id="29"/>
      <w:r>
        <w:rPr>
          <w:b/>
          <w:sz w:val="24"/>
        </w:rPr>
        <w:t xml:space="preserve">Таблица 2.1 </w:t>
      </w:r>
      <w:bookmarkStart w:id="30" w:name="_Hlk50465284"/>
      <w:r>
        <w:rPr>
          <w:b/>
          <w:sz w:val="24"/>
        </w:rPr>
        <w:t xml:space="preserve">Требования по срокам </w:t>
      </w:r>
      <w:bookmarkEnd w:id="27"/>
      <w:bookmarkEnd w:id="28"/>
      <w:bookmarkEnd w:id="30"/>
      <w:r>
        <w:rPr>
          <w:b/>
          <w:sz w:val="24"/>
        </w:rPr>
        <w:t>поставки продукции</w:t>
      </w:r>
      <w:bookmarkEnd w:id="26"/>
      <w:r>
        <w:rPr>
          <w:b/>
          <w:sz w:val="24"/>
        </w:rPr>
        <w:t xml:space="preserve"> </w:t>
      </w:r>
    </w:p>
    <w:tbl>
      <w:tblPr>
        <w:tblW w:w="9878" w:type="dxa"/>
        <w:jc w:val="left"/>
        <w:tblInd w:w="1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0"/>
        <w:gridCol w:w="3472"/>
        <w:gridCol w:w="3877"/>
        <w:gridCol w:w="2078"/>
      </w:tblGrid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5</w:t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bookmarkStart w:id="31" w:name="_Toc46743510"/>
            <w:r>
              <w:rPr>
                <w:b/>
                <w:szCs w:val="22"/>
              </w:rPr>
              <w:t>6</w:t>
            </w:r>
            <w:bookmarkEnd w:id="31"/>
          </w:p>
        </w:tc>
      </w:tr>
      <w:tr>
        <w:trPr>
          <w:trHeight w:val="919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113" w:righ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ОКПД2 16.10 </w:t>
            </w:r>
            <w:bookmarkStart w:id="32" w:name="_Toc51339693_Копия_1_Копия_1"/>
            <w:bookmarkStart w:id="33" w:name="_Toc75446573_Копия_1_Копия_1"/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  <w:bookmarkEnd w:id="32"/>
            <w:bookmarkEnd w:id="33"/>
            <w:r>
              <w:rPr>
                <w:b w:val="false"/>
                <w:bCs w:val="false"/>
                <w:sz w:val="22"/>
                <w:szCs w:val="22"/>
              </w:rPr>
              <w:t>Поставка пиломатериалов для нужд Башкирского филиала.</w:t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15.03.202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г.*</w:t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30.04.202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г.*</w:t>
            </w:r>
          </w:p>
        </w:tc>
      </w:tr>
      <w:tr>
        <w:trPr>
          <w:trHeight w:val="795" w:hRule="atLeast"/>
        </w:trPr>
        <w:tc>
          <w:tcPr>
            <w:tcW w:w="987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right="0" w:hanging="0"/>
              <w:jc w:val="both"/>
              <w:rPr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*Поставка осуществляется не ранее 15.03.202</w:t>
            </w:r>
            <w:r>
              <w:rPr>
                <w:sz w:val="22"/>
                <w:szCs w:val="22"/>
                <w:shd w:fill="FFFFFF" w:val="clear"/>
              </w:rPr>
              <w:t>7</w:t>
            </w:r>
            <w:r>
              <w:rPr>
                <w:sz w:val="22"/>
                <w:szCs w:val="22"/>
                <w:shd w:fill="FFFFFF" w:val="clear"/>
              </w:rPr>
              <w:t>г. Срок обусловлен отсутствием персонала АО «Гидроремонт-ВКК» на площадке строительства Усть-Среднеканской ГЭС для разгрузки поступаемой продукции ранее 01.04.202</w:t>
            </w:r>
            <w:r>
              <w:rPr>
                <w:sz w:val="22"/>
                <w:szCs w:val="22"/>
                <w:shd w:fill="FFFFFF" w:val="clear"/>
              </w:rPr>
              <w:t>7</w:t>
            </w:r>
            <w:r>
              <w:rPr>
                <w:sz w:val="22"/>
                <w:szCs w:val="22"/>
                <w:shd w:fill="FFFFFF" w:val="clear"/>
              </w:rPr>
              <w:t xml:space="preserve">г. 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1276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ind w:left="432" w:right="0" w:hanging="432"/>
        <w:rPr>
          <w:b/>
        </w:rPr>
      </w:pPr>
      <w:bookmarkStart w:id="34" w:name="__RefHeading___Toc7033_899461045"/>
      <w:bookmarkStart w:id="35" w:name="_Toc51339698"/>
      <w:bookmarkStart w:id="36" w:name="_Toc75446581"/>
      <w:bookmarkStart w:id="37" w:name="_Toc46743511"/>
      <w:bookmarkStart w:id="38" w:name="_Toc547856221"/>
      <w:bookmarkEnd w:id="34"/>
      <w:bookmarkEnd w:id="38"/>
      <w:r>
        <w:rPr>
          <w:b/>
        </w:rPr>
        <w:t xml:space="preserve">Требования к </w:t>
      </w:r>
      <w:bookmarkEnd w:id="37"/>
      <w:r>
        <w:rPr>
          <w:b/>
        </w:rPr>
        <w:t>качеству продукции</w:t>
      </w:r>
      <w:bookmarkEnd w:id="36"/>
    </w:p>
    <w:p>
      <w:pPr>
        <w:pStyle w:val="Heading1"/>
        <w:numPr>
          <w:ilvl w:val="0"/>
        </w:numPr>
        <w:ind w:left="0" w:right="0" w:hanging="0"/>
        <w:rPr>
          <w:b/>
          <w:sz w:val="24"/>
          <w:szCs w:val="24"/>
        </w:rPr>
      </w:pPr>
      <w:bookmarkStart w:id="39" w:name="__RefHeading___Toc7035_899461045"/>
      <w:bookmarkStart w:id="40" w:name="_Toc75446582"/>
      <w:bookmarkEnd w:id="39"/>
      <w:r>
        <w:rPr>
          <w:b/>
          <w:sz w:val="24"/>
          <w:szCs w:val="24"/>
        </w:rPr>
        <w:t>Таблица 3. Требования к продукции</w:t>
      </w:r>
      <w:bookmarkEnd w:id="40"/>
      <w:r>
        <w:rPr>
          <w:b/>
          <w:sz w:val="24"/>
          <w:szCs w:val="24"/>
        </w:rPr>
        <w:t xml:space="preserve"> </w:t>
      </w:r>
      <w:bookmarkEnd w:id="35"/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Наименование продукции (позиция №1-4 Таблицы 1.1. «Перечень и объем закупаемой продукции»):</w:t>
      </w:r>
      <w:r>
        <w:rPr>
          <w:iCs/>
          <w:sz w:val="24"/>
          <w:szCs w:val="24"/>
        </w:rPr>
        <w:t xml:space="preserve"> ОКПД2 16.10  </w:t>
      </w:r>
      <w:r>
        <w:rPr>
          <w:sz w:val="24"/>
          <w:szCs w:val="24"/>
        </w:rPr>
        <w:t xml:space="preserve">Поставка пиломатериалов </w:t>
      </w:r>
      <w:r>
        <w:rPr>
          <w:sz w:val="24"/>
          <w:szCs w:val="24"/>
        </w:rPr>
        <w:t>на Усть — Среднеканскую ГЭС</w:t>
      </w:r>
      <w:r>
        <w:rPr>
          <w:sz w:val="24"/>
          <w:szCs w:val="24"/>
        </w:rPr>
        <w:t xml:space="preserve"> для нужд Башкирского филиала</w:t>
      </w:r>
      <w:r>
        <w:rPr>
          <w:iCs/>
          <w:sz w:val="24"/>
          <w:szCs w:val="24"/>
        </w:rPr>
        <w:t>.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28"/>
        <w:gridCol w:w="4687"/>
        <w:gridCol w:w="2270"/>
        <w:gridCol w:w="2113"/>
        <w:gridCol w:w="1715"/>
        <w:gridCol w:w="1564"/>
        <w:gridCol w:w="1634"/>
      </w:tblGrid>
      <w:tr>
        <w:trPr>
          <w:tblHeader w:val="true"/>
          <w:trHeight w:val="20" w:hRule="atLeast"/>
        </w:trPr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продукции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blHeader w:val="true"/>
          <w:trHeight w:val="20" w:hRule="atLeast"/>
        </w:trPr>
        <w:tc>
          <w:tcPr>
            <w:tcW w:w="7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shd w:fill="FFFFFF" w:val="clear"/>
                <w:lang w:val="en-US"/>
              </w:rPr>
            </w:pPr>
            <w:r>
              <w:rPr>
                <w:b/>
                <w:sz w:val="22"/>
                <w:szCs w:val="22"/>
                <w:shd w:fill="FFFFFF" w:val="clear"/>
                <w:lang w:val="en-US"/>
              </w:rPr>
              <w:t>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shd w:fill="FFFFFF" w:val="clear"/>
                <w:lang w:val="en-US"/>
              </w:rPr>
            </w:pPr>
            <w:r>
              <w:rPr>
                <w:b/>
                <w:sz w:val="22"/>
                <w:szCs w:val="22"/>
                <w:shd w:fill="FFFFFF" w:val="clear"/>
                <w:lang w:val="en-US"/>
              </w:rPr>
              <w:t>6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shd w:fill="FFFFFF" w:val="clear"/>
                <w:lang w:val="en-US"/>
              </w:rPr>
            </w:pPr>
            <w:r>
              <w:rPr>
                <w:b/>
                <w:sz w:val="22"/>
                <w:szCs w:val="22"/>
                <w:shd w:fill="FFFFFF" w:val="clear"/>
                <w:lang w:val="en-US"/>
              </w:rPr>
              <w:t>7</w:t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0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0" w:right="-53" w:hanging="0"/>
              <w:contextualSpacing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1.1</w:t>
            </w:r>
          </w:p>
        </w:tc>
        <w:tc>
          <w:tcPr>
            <w:tcW w:w="4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Ламинированная влагостойкая фанера 2440х1220х18 мм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Покрытие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Ламинированная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  <w:t>Согласие с требованием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-//-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spacing w:before="60" w:after="60"/>
              <w:ind w:left="360" w:right="-53" w:hanging="360"/>
              <w:contextualSpacing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1.2</w:t>
            </w:r>
          </w:p>
        </w:tc>
        <w:tc>
          <w:tcPr>
            <w:tcW w:w="46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материала 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Влагостойкий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  <w:t>Согласие с требованием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-//-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>
          <w:trHeight w:val="594" w:hRule="atLeast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spacing w:before="60" w:after="60"/>
              <w:ind w:left="360" w:right="-53" w:hanging="360"/>
              <w:contextualSpacing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1.3</w:t>
            </w:r>
          </w:p>
        </w:tc>
        <w:tc>
          <w:tcPr>
            <w:tcW w:w="46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Толщина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мм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  <w:t>Согласие с требованием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-//-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spacing w:before="60" w:after="60"/>
              <w:ind w:left="360" w:right="-53" w:hanging="360"/>
              <w:contextualSpacing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1.4</w:t>
            </w:r>
          </w:p>
        </w:tc>
        <w:tc>
          <w:tcPr>
            <w:tcW w:w="46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Ширина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1220 мм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  <w:t>Согласие с требованием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-//-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spacing w:before="60" w:after="60"/>
              <w:ind w:left="360" w:right="-53" w:hanging="360"/>
              <w:contextualSpacing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1.5</w:t>
            </w:r>
          </w:p>
        </w:tc>
        <w:tc>
          <w:tcPr>
            <w:tcW w:w="46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Длина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2440 мм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  <w:t>Согласие с требованием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-//-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spacing w:before="60" w:after="60"/>
              <w:ind w:left="360" w:right="-53" w:hanging="360"/>
              <w:contextualSpacing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1.6</w:t>
            </w:r>
          </w:p>
        </w:tc>
        <w:tc>
          <w:tcPr>
            <w:tcW w:w="4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Место использования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Наружный 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  <w:t>Согласие с требованием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-//-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spacing w:before="60" w:after="60"/>
              <w:ind w:left="360" w:right="-53" w:hanging="360"/>
              <w:contextualSpacing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1.7</w:t>
            </w:r>
          </w:p>
        </w:tc>
        <w:tc>
          <w:tcPr>
            <w:tcW w:w="46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Плотность 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менее 700 кг/м3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  <w:t>Согласие с требованием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-//-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0" w:after="0"/>
              <w:ind w:left="737" w:right="-57" w:hanging="737"/>
              <w:contextualSpacing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2.1</w:t>
            </w:r>
          </w:p>
        </w:tc>
        <w:tc>
          <w:tcPr>
            <w:tcW w:w="4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Брусок деревянный 50х100х4000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 xml:space="preserve">Толщина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50 мм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  <w:t>Согласие с требованием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-//-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360" w:right="-53" w:hanging="360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2.2</w:t>
            </w:r>
          </w:p>
        </w:tc>
        <w:tc>
          <w:tcPr>
            <w:tcW w:w="46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 xml:space="preserve">Ширина 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100 мм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  <w:t>Согласие с требованием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-//-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360" w:right="-53" w:hanging="360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2.3</w:t>
            </w:r>
          </w:p>
        </w:tc>
        <w:tc>
          <w:tcPr>
            <w:tcW w:w="46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 xml:space="preserve">Длина 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4000 мм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  <w:t>Согласие с требованием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-//-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0" w:right="-57" w:hanging="0"/>
              <w:contextualSpacing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2.4</w:t>
            </w:r>
          </w:p>
        </w:tc>
        <w:tc>
          <w:tcPr>
            <w:tcW w:w="46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>Особенности продукта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 xml:space="preserve">Цельный 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  <w:t>Согласие с требованием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-//-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0" w:right="-57" w:hanging="0"/>
              <w:contextualSpacing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2.5</w:t>
            </w:r>
          </w:p>
        </w:tc>
        <w:tc>
          <w:tcPr>
            <w:tcW w:w="468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Тип сушки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Естественная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  <w:t>Согласие с требованием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-//-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0" w:right="-57" w:hanging="0"/>
              <w:contextualSpacing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2.6</w:t>
            </w:r>
          </w:p>
        </w:tc>
        <w:tc>
          <w:tcPr>
            <w:tcW w:w="468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Сорт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1 или 2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  <w:t>Указание характеристик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0" w:right="-57" w:hanging="0"/>
              <w:contextualSpacing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2.7</w:t>
            </w:r>
          </w:p>
        </w:tc>
        <w:tc>
          <w:tcPr>
            <w:tcW w:w="468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Тип древесины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Хвойная порода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Согласие с требованием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-//-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right="-53" w:hanging="0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3.1</w:t>
            </w:r>
          </w:p>
        </w:tc>
        <w:tc>
          <w:tcPr>
            <w:tcW w:w="4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Доска обрезная 50х150х4000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 xml:space="preserve">Толщина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50 мм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  <w:t>Согласие с требованием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-//-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ind w:left="360" w:right="-53" w:hanging="360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3.2</w:t>
            </w:r>
          </w:p>
        </w:tc>
        <w:tc>
          <w:tcPr>
            <w:tcW w:w="468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 xml:space="preserve">Ширина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150 мм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  <w:t>Согласие с требованием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-//-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ind w:left="360" w:right="-53" w:hanging="360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3.3</w:t>
            </w:r>
          </w:p>
        </w:tc>
        <w:tc>
          <w:tcPr>
            <w:tcW w:w="468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 xml:space="preserve">Длина 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4000 мм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  <w:t>Согласие с требованием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-//-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0" w:right="-57" w:hanging="0"/>
              <w:contextualSpacing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3.4</w:t>
            </w:r>
          </w:p>
        </w:tc>
        <w:tc>
          <w:tcPr>
            <w:tcW w:w="468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>Особенности продукта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 xml:space="preserve">Цельный 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  <w:t>Согласие с требованием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-//-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0" w:right="-57" w:hanging="0"/>
              <w:contextualSpacing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3.5</w:t>
            </w:r>
          </w:p>
        </w:tc>
        <w:tc>
          <w:tcPr>
            <w:tcW w:w="468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Тип сушки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Естественная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  <w:t>Согласие с требованием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-//-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0" w:right="-57" w:hanging="0"/>
              <w:contextualSpacing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3.6</w:t>
            </w:r>
          </w:p>
        </w:tc>
        <w:tc>
          <w:tcPr>
            <w:tcW w:w="468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Сорт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или 2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  <w:t>Указание характеристик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ind w:left="360" w:right="-53" w:hanging="360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3.7</w:t>
            </w:r>
          </w:p>
        </w:tc>
        <w:tc>
          <w:tcPr>
            <w:tcW w:w="468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древесины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Хвойная порода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Согласие с требованием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-//-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right="-53" w:hanging="0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4.1</w:t>
            </w:r>
          </w:p>
        </w:tc>
        <w:tc>
          <w:tcPr>
            <w:tcW w:w="4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Доска обрезная 100х100х4000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 xml:space="preserve">Толщина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100 мм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  <w:t>Согласие с требованием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-//-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ind w:left="360" w:right="-53" w:hanging="360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4.2</w:t>
            </w:r>
          </w:p>
        </w:tc>
        <w:tc>
          <w:tcPr>
            <w:tcW w:w="468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 xml:space="preserve">Ширина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100 мм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  <w:t>Согласие с требованием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-//-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ind w:left="360" w:right="-53" w:hanging="360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4.3</w:t>
            </w:r>
          </w:p>
        </w:tc>
        <w:tc>
          <w:tcPr>
            <w:tcW w:w="468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 xml:space="preserve">Длина 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4000 мм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  <w:t>Согласие с требованием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-//-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0" w:right="-57" w:hanging="0"/>
              <w:contextualSpacing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4.4</w:t>
            </w:r>
          </w:p>
        </w:tc>
        <w:tc>
          <w:tcPr>
            <w:tcW w:w="468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>Особенности продукта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 xml:space="preserve">Цельный 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  <w:t>Согласие с требованием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-//-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0" w:right="-57" w:hanging="0"/>
              <w:contextualSpacing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4.5</w:t>
            </w:r>
          </w:p>
        </w:tc>
        <w:tc>
          <w:tcPr>
            <w:tcW w:w="468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Тип сушки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Естественная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  <w:t>Согласие с требованием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-//-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0" w:right="-57" w:hanging="0"/>
              <w:contextualSpacing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4.6</w:t>
            </w:r>
          </w:p>
        </w:tc>
        <w:tc>
          <w:tcPr>
            <w:tcW w:w="468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Сорт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или 2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  <w:t>Указание характеристик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0" w:right="-57" w:hanging="0"/>
              <w:contextualSpacing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4.7</w:t>
            </w:r>
          </w:p>
        </w:tc>
        <w:tc>
          <w:tcPr>
            <w:tcW w:w="468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древесины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Хвойная порода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Согласие с требованием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-//-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80" w:right="-53" w:hanging="0"/>
              <w:contextualSpacing/>
              <w:jc w:val="center"/>
              <w:rPr>
                <w:b/>
                <w:sz w:val="22"/>
                <w:szCs w:val="22"/>
                <w:lang w:eastAsia="x-none"/>
              </w:rPr>
            </w:pPr>
            <w:r>
              <w:rPr>
                <w:b/>
                <w:sz w:val="22"/>
                <w:szCs w:val="22"/>
                <w:lang w:eastAsia="x-none"/>
              </w:rPr>
              <w:t>2.</w:t>
            </w:r>
          </w:p>
        </w:tc>
        <w:tc>
          <w:tcPr>
            <w:tcW w:w="9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  <w:t>Согласие с требованием</w:t>
            </w:r>
          </w:p>
        </w:tc>
        <w:tc>
          <w:tcPr>
            <w:tcW w:w="1564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-//-</w:t>
            </w:r>
          </w:p>
        </w:tc>
        <w:tc>
          <w:tcPr>
            <w:tcW w:w="1634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80" w:right="0" w:hanging="0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2.1</w:t>
            </w:r>
          </w:p>
        </w:tc>
        <w:tc>
          <w:tcPr>
            <w:tcW w:w="4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Место поставки</w:t>
            </w:r>
          </w:p>
        </w:tc>
        <w:tc>
          <w:tcPr>
            <w:tcW w:w="4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 склада Усть-Среднеканской ГЭС п. Усть-Среднекан, Магаданская область.</w:t>
            </w:r>
          </w:p>
        </w:tc>
        <w:tc>
          <w:tcPr>
            <w:tcW w:w="171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6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80" w:right="0" w:hanging="0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2.2</w:t>
            </w:r>
          </w:p>
        </w:tc>
        <w:tc>
          <w:tcPr>
            <w:tcW w:w="4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Поставка</w:t>
            </w:r>
          </w:p>
        </w:tc>
        <w:tc>
          <w:tcPr>
            <w:tcW w:w="4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Поставка производится в рабочие дни с 8-00 до 12-00 и с 13-00 до 16-00 (по местному времени), в пятницу с 8-00 до 12-00 и с 13-00 до 15-00 (по местному времени).</w:t>
            </w:r>
            <w:bookmarkStart w:id="41" w:name="_GoBack"/>
            <w:bookmarkEnd w:id="41"/>
          </w:p>
          <w:p>
            <w:pPr>
              <w:pStyle w:val="NormalWeb"/>
              <w:widowControl w:val="false"/>
              <w:spacing w:lineRule="auto" w:line="276"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Поставка товара осуществляется единовременно (одним рейсом) транспортом и силами Поставщика. </w:t>
            </w:r>
          </w:p>
          <w:p>
            <w:pPr>
              <w:pStyle w:val="NormalWeb"/>
              <w:widowControl w:val="false"/>
              <w:spacing w:lineRule="auto" w:line="276"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Упаковка должна обеспечивать сохранность товара при погрузочно-разгрузочных работах и транспортировке к конечному месту поставки. Поставка Товаров должна быть выполнена с надлежащим качеством и в установленные Договором сроки.</w:t>
            </w:r>
          </w:p>
        </w:tc>
        <w:tc>
          <w:tcPr>
            <w:tcW w:w="171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6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80" w:right="0" w:hanging="0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2.3</w:t>
            </w:r>
          </w:p>
        </w:tc>
        <w:tc>
          <w:tcPr>
            <w:tcW w:w="4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Приемка</w:t>
            </w:r>
          </w:p>
        </w:tc>
        <w:tc>
          <w:tcPr>
            <w:tcW w:w="4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Соответствие продукции и представленных документов договору и техническим требованиям.</w:t>
            </w:r>
          </w:p>
        </w:tc>
        <w:tc>
          <w:tcPr>
            <w:tcW w:w="171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6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right="0" w:hanging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eastAsia="x-none"/>
              </w:rPr>
              <w:t>3.</w:t>
            </w:r>
          </w:p>
        </w:tc>
        <w:tc>
          <w:tcPr>
            <w:tcW w:w="9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715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64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34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18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right="0" w:hanging="0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3.1</w:t>
            </w:r>
          </w:p>
        </w:tc>
        <w:tc>
          <w:tcPr>
            <w:tcW w:w="4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Гарантия, не менее</w:t>
            </w:r>
          </w:p>
        </w:tc>
        <w:tc>
          <w:tcPr>
            <w:tcW w:w="4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12 месяцев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Исчисляется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  <w:tc>
          <w:tcPr>
            <w:tcW w:w="1715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64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34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right="0" w:hanging="0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4.</w:t>
            </w:r>
          </w:p>
        </w:tc>
        <w:tc>
          <w:tcPr>
            <w:tcW w:w="9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715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64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34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right="0" w:hanging="0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4.1</w:t>
            </w:r>
          </w:p>
        </w:tc>
        <w:tc>
          <w:tcPr>
            <w:tcW w:w="4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Документ о качестве продукции (паспорт)</w:t>
            </w:r>
          </w:p>
        </w:tc>
        <w:tc>
          <w:tcPr>
            <w:tcW w:w="4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x-none"/>
              </w:rPr>
              <w:t xml:space="preserve">Документы на русском языке (декларация соответствия и сертификат качества, паспорт) </w:t>
            </w:r>
          </w:p>
        </w:tc>
        <w:tc>
          <w:tcPr>
            <w:tcW w:w="1715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64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34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right="0" w:hanging="0"/>
              <w:contextualSpacing/>
              <w:jc w:val="center"/>
              <w:rPr/>
            </w:pPr>
            <w:r>
              <w:rPr>
                <w:b/>
                <w:lang w:eastAsia="x-none"/>
              </w:rPr>
              <w:t>5.</w:t>
            </w:r>
          </w:p>
        </w:tc>
        <w:tc>
          <w:tcPr>
            <w:tcW w:w="907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1715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64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34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right="0" w:hanging="0"/>
              <w:contextualSpacing/>
              <w:jc w:val="center"/>
              <w:rPr/>
            </w:pPr>
            <w:r>
              <w:rPr>
                <w:lang w:eastAsia="x-none"/>
              </w:rPr>
              <w:t>5.1</w:t>
            </w:r>
          </w:p>
        </w:tc>
        <w:tc>
          <w:tcPr>
            <w:tcW w:w="907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быть новой, ранее не использовавшейся</w:t>
            </w:r>
          </w:p>
        </w:tc>
        <w:tc>
          <w:tcPr>
            <w:tcW w:w="1715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64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34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right="0" w:hanging="0"/>
              <w:contextualSpacing/>
              <w:jc w:val="center"/>
              <w:rPr/>
            </w:pPr>
            <w:r>
              <w:rPr>
                <w:lang w:eastAsia="x-none"/>
              </w:rPr>
              <w:t>5.2</w:t>
            </w:r>
          </w:p>
        </w:tc>
        <w:tc>
          <w:tcPr>
            <w:tcW w:w="907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документа-ми,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1715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64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34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Heading4"/>
        <w:numPr>
          <w:ilvl w:val="0"/>
        </w:numPr>
        <w:ind w:left="0" w:right="0" w:hanging="0"/>
        <w:rPr>
          <w:b/>
          <w:shd w:fill="FFFFFF" w:val="clear"/>
        </w:rPr>
      </w:pPr>
      <w:r>
        <w:rPr>
          <w:b/>
          <w:shd w:fill="FFFFFF" w:val="clear"/>
        </w:rPr>
      </w:r>
    </w:p>
    <w:p>
      <w:pPr>
        <w:pStyle w:val="Heading4"/>
        <w:numPr>
          <w:ilvl w:val="0"/>
        </w:numPr>
        <w:ind w:left="0" w:right="0" w:hanging="0"/>
        <w:rPr>
          <w:b/>
          <w:shd w:fill="FFFFFF" w:val="clear"/>
        </w:rPr>
      </w:pPr>
      <w:bookmarkStart w:id="42" w:name="__RefHeading___Toc7037_899461045"/>
      <w:bookmarkEnd w:id="42"/>
      <w:r>
        <w:rPr>
          <w:b/>
          <w:shd w:fill="FFFFFF" w:val="clear"/>
        </w:rPr>
        <w:t xml:space="preserve">3. </w:t>
      </w:r>
      <w:r>
        <w:rPr>
          <w:rFonts w:eastAsia="Times New Roman"/>
          <w:b/>
          <w:shd w:fill="FFFFFF" w:val="clear"/>
          <w:lang w:eastAsia="ru-RU"/>
        </w:rPr>
        <w:t xml:space="preserve">Требования </w:t>
      </w:r>
      <w:r>
        <w:rPr>
          <w:b/>
          <w:shd w:fill="FFFFFF" w:val="clear"/>
        </w:rPr>
        <w:t>к документации по ценообразованию на этапе закупки</w:t>
      </w:r>
    </w:p>
    <w:p>
      <w:pPr>
        <w:pStyle w:val="Normal"/>
        <w:spacing w:before="0" w:after="120"/>
        <w:contextualSpacing/>
        <w:jc w:val="both"/>
        <w:rPr>
          <w:shd w:fill="FFFFFF" w:val="clear"/>
        </w:rPr>
      </w:pPr>
      <w:r>
        <w:rPr>
          <w:sz w:val="24"/>
          <w:szCs w:val="24"/>
          <w:shd w:fill="FFFFFF" w:val="clear"/>
          <w:lang w:eastAsia="x-none"/>
        </w:rPr>
        <w:t xml:space="preserve">3.1. В обоснование стоимости своей заявки Участник предоставляет Коммерческое предложение по форме </w:t>
      </w:r>
      <w:bookmarkStart w:id="43" w:name="_Hlk88325985"/>
      <w:r>
        <w:rPr>
          <w:sz w:val="24"/>
          <w:szCs w:val="24"/>
          <w:shd w:fill="FFFFFF" w:val="clear"/>
          <w:lang w:eastAsia="x-none"/>
        </w:rPr>
        <w:t>(с учетом прилагаемой к ней инструкции по заполнению)</w:t>
      </w:r>
      <w:bookmarkEnd w:id="43"/>
      <w:r>
        <w:rPr>
          <w:sz w:val="24"/>
          <w:szCs w:val="24"/>
          <w:shd w:fill="FFFFFF" w:val="clear"/>
          <w:lang w:eastAsia="x-none"/>
        </w:rPr>
        <w:t>, приведенной в Документации о закупке.</w:t>
      </w:r>
    </w:p>
    <w:p>
      <w:pPr>
        <w:pStyle w:val="Normal"/>
        <w:spacing w:before="0" w:after="120"/>
        <w:contextualSpacing/>
        <w:jc w:val="both"/>
        <w:rPr/>
      </w:pPr>
      <w:r>
        <w:rPr>
          <w:sz w:val="24"/>
          <w:szCs w:val="24"/>
          <w:shd w:fill="FFFFFF" w:val="clear"/>
          <w:lang w:eastAsia="x-none"/>
        </w:rPr>
        <w:t xml:space="preserve">3.2. </w:t>
      </w:r>
      <w:bookmarkStart w:id="44" w:name="_Hlk88327292"/>
      <w:r>
        <w:rPr>
          <w:sz w:val="24"/>
          <w:szCs w:val="24"/>
          <w:shd w:fill="FFFFFF" w:val="clear"/>
          <w:lang w:eastAsia="x-none"/>
        </w:rPr>
        <w:t>Дополнительные документы по ценообразованию</w:t>
      </w:r>
      <w:bookmarkEnd w:id="44"/>
      <w:r>
        <w:rPr>
          <w:sz w:val="24"/>
          <w:szCs w:val="24"/>
          <w:shd w:fill="FFFFFF" w:val="clear"/>
          <w:lang w:eastAsia="x-none"/>
        </w:rPr>
        <w:t xml:space="preserve"> в состав заявки не включаются.</w:t>
      </w:r>
      <w:r>
        <w:rPr>
          <w:rFonts w:ascii="GothamProReg" w:hAnsi="GothamProReg"/>
          <w:color w:val="DBDBDB"/>
          <w:sz w:val="20"/>
          <w:szCs w:val="20"/>
          <w:shd w:fill="171717" w:val="clear"/>
        </w:rPr>
        <w:t xml:space="preserve"> </w:t>
      </w:r>
    </w:p>
    <w:sectPr>
      <w:headerReference w:type="default" r:id="rId4"/>
      <w:headerReference w:type="first" r:id="rId5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imesNewRomanPS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GothamProReg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pPr>
      <w:numPr>
        <w:ilvl w:val="0"/>
        <w:numId w:val="0"/>
      </w:numPr>
      <w:ind w:left="284" w:right="0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numPr>
        <w:ilvl w:val="0"/>
        <w:numId w:val="0"/>
      </w:numPr>
      <w:ind w:left="284" w:right="0" w:hanging="0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numPr>
        <w:ilvl w:val="0"/>
        <w:numId w:val="0"/>
      </w:numPr>
      <w:spacing w:before="120" w:after="60"/>
      <w:ind w:left="284" w:right="0" w:hanging="0"/>
      <w:outlineLvl w:val="2"/>
    </w:pPr>
    <w:rPr>
      <w:rFonts w:eastAsia="Calibri"/>
      <w:sz w:val="24"/>
      <w:szCs w:val="24"/>
      <w:lang w:eastAsia="x-none"/>
    </w:rPr>
  </w:style>
  <w:style w:type="paragraph" w:styleId="Heading4">
    <w:name w:val="Heading 4"/>
    <w:basedOn w:val="Heading3"/>
    <w:next w:val="Normal"/>
    <w:link w:val="4"/>
    <w:qFormat/>
    <w:pPr>
      <w:numPr>
        <w:ilvl w:val="0"/>
        <w:numId w:val="0"/>
      </w:numPr>
      <w:ind w:left="284" w:right="0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>
    <w:name w:val="Default Paragraph Font"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1">
    <w:name w:val="Гиперссылка1"/>
    <w:qFormat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1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2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">
    <w:name w:val="Заголовок 3 Знак"/>
    <w:qFormat/>
    <w:rPr>
      <w:rFonts w:eastAsia="Calibri"/>
      <w:sz w:val="24"/>
      <w:szCs w:val="24"/>
      <w:lang w:eastAsia="x-none"/>
    </w:rPr>
  </w:style>
  <w:style w:type="character" w:styleId="4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Style1">
    <w:name w:val="Название Знак"/>
    <w:link w:val="17"/>
    <w:qFormat/>
    <w:rPr>
      <w:sz w:val="28"/>
    </w:rPr>
  </w:style>
  <w:style w:type="character" w:styleId="Style2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2">
    <w:name w:val="Подпункт Знак1"/>
    <w:link w:val="Style23"/>
    <w:qFormat/>
    <w:rPr>
      <w:sz w:val="28"/>
    </w:rPr>
  </w:style>
  <w:style w:type="character" w:styleId="Style5">
    <w:name w:val="Текст сноски Знак"/>
    <w:qFormat/>
    <w:rPr/>
  </w:style>
  <w:style w:type="character" w:styleId="Style6">
    <w:name w:val="Основной текст Знак"/>
    <w:qFormat/>
    <w:rPr>
      <w:sz w:val="28"/>
      <w:szCs w:val="28"/>
    </w:rPr>
  </w:style>
  <w:style w:type="character" w:styleId="Blk">
    <w:name w:val="blk"/>
    <w:qFormat/>
    <w:rPr/>
  </w:style>
  <w:style w:type="character" w:styleId="Style7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Подподпункт Знак"/>
    <w:link w:val="Style31"/>
    <w:qFormat/>
    <w:rPr>
      <w:sz w:val="26"/>
      <w:szCs w:val="26"/>
    </w:rPr>
  </w:style>
  <w:style w:type="character" w:styleId="31">
    <w:name w:val="УРОВЕНЬ_Абзац_тип3 Знак"/>
    <w:link w:val="36"/>
    <w:qFormat/>
    <w:rPr>
      <w:rFonts w:eastAsia="Calibri"/>
      <w:sz w:val="26"/>
      <w:szCs w:val="28"/>
      <w:lang w:eastAsia="en-US"/>
    </w:rPr>
  </w:style>
  <w:style w:type="character" w:styleId="Style10">
    <w:name w:val="Верхний колонтитул Знак"/>
    <w:qFormat/>
    <w:rPr>
      <w:sz w:val="24"/>
      <w:szCs w:val="24"/>
    </w:rPr>
  </w:style>
  <w:style w:type="character" w:styleId="Style11">
    <w:name w:val="Текст примечания Знак"/>
    <w:link w:val="Annotationtext"/>
    <w:qFormat/>
    <w:rPr/>
  </w:style>
  <w:style w:type="character" w:styleId="Style12">
    <w:name w:val="Текст концевой сноски Знак"/>
    <w:basedOn w:val="DefaultParagraphFont"/>
    <w:qFormat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22">
    <w:name w:val="Пункт2 Знак"/>
    <w:link w:val="24"/>
    <w:qFormat/>
    <w:rPr>
      <w:b/>
      <w:sz w:val="28"/>
    </w:rPr>
  </w:style>
  <w:style w:type="character" w:styleId="13">
    <w:name w:val="УРОВЕНЬ_1. Знак"/>
    <w:link w:val="111"/>
    <w:qFormat/>
    <w:rPr>
      <w:rFonts w:eastAsia="Calibri"/>
      <w:caps/>
      <w:sz w:val="28"/>
      <w:szCs w:val="28"/>
      <w:lang w:eastAsia="en-US"/>
    </w:rPr>
  </w:style>
  <w:style w:type="character" w:styleId="14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32">
    <w:name w:val="Основной текст с отступом 3 Знак"/>
    <w:link w:val="BodyTextIndent3"/>
    <w:qFormat/>
    <w:rPr>
      <w:sz w:val="16"/>
      <w:szCs w:val="16"/>
    </w:rPr>
  </w:style>
  <w:style w:type="character" w:styleId="Fontstyle01">
    <w:name w:val="fontstyle01"/>
    <w:qFormat/>
    <w:rPr>
      <w:rFonts w:ascii="TimesNewRomanPSMT" w:hAnsi="TimesNewRomanPSMT"/>
      <w:b w:val="false"/>
      <w:bCs w:val="false"/>
      <w:i w:val="false"/>
      <w:iCs w:val="false"/>
      <w:color w:val="000000"/>
      <w:sz w:val="24"/>
      <w:szCs w:val="24"/>
    </w:rPr>
  </w:style>
  <w:style w:type="character" w:styleId="Style14">
    <w:name w:val="Основной текст_"/>
    <w:link w:val="112"/>
    <w:qFormat/>
    <w:rPr>
      <w:sz w:val="28"/>
      <w:shd w:fill="FFFFFF" w:val="clear"/>
    </w:rPr>
  </w:style>
  <w:style w:type="character" w:styleId="Style15">
    <w:name w:val="Символ нумерации"/>
    <w:qFormat/>
    <w:rPr/>
  </w:style>
  <w:style w:type="character" w:styleId="Ecattext">
    <w:name w:val="ecattext"/>
    <w:qFormat/>
    <w:rPr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styleId="Style16">
    <w:name w:val="Ссылка указателя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>
    <w:name w:val="index heading11"/>
    <w:basedOn w:val="Title"/>
    <w:qFormat/>
    <w:pPr/>
    <w:rPr/>
  </w:style>
  <w:style w:type="paragraph" w:styleId="15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>
    <w:name w:val="index heading111"/>
    <w:basedOn w:val="15"/>
    <w:qFormat/>
    <w:pPr/>
    <w:rPr/>
  </w:style>
  <w:style w:type="paragraph" w:styleId="Caption111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>
    <w:name w:val="index heading1111"/>
    <w:basedOn w:val="Title"/>
    <w:qFormat/>
    <w:pPr/>
    <w:rPr/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>
    <w:name w:val="index heading11111"/>
    <w:basedOn w:val="Title"/>
    <w:qFormat/>
    <w:pPr/>
    <w:rPr/>
  </w:style>
  <w:style w:type="paragraph" w:styleId="Caption111111">
    <w:name w:val="caption11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11111">
    <w:name w:val="index heading111111"/>
    <w:basedOn w:val="Title"/>
    <w:qFormat/>
    <w:pPr/>
    <w:rPr/>
  </w:style>
  <w:style w:type="paragraph" w:styleId="Style19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20">
    <w:name w:val="Раздел положения"/>
    <w:basedOn w:val="Normal"/>
    <w:autoRedefine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>
    <w:name w:val="Подраздел раздела положения"/>
    <w:basedOn w:val="Normal"/>
    <w:autoRedefine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16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7">
    <w:name w:val="Название1"/>
    <w:basedOn w:val="Normal"/>
    <w:link w:val="Style1"/>
    <w:qFormat/>
    <w:pPr>
      <w:jc w:val="center"/>
    </w:pPr>
    <w:rPr>
      <w:szCs w:val="20"/>
      <w:lang w:val="x-none" w:eastAsia="x-none"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>
    <w:name w:val="Подпункт"/>
    <w:basedOn w:val="Normal"/>
    <w:link w:val="12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x-none" w:eastAsia="x-none"/>
    </w:rPr>
  </w:style>
  <w:style w:type="paragraph" w:styleId="24">
    <w:name w:val="Пункт2"/>
    <w:basedOn w:val="Normal"/>
    <w:link w:val="22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pPr>
      <w:ind w:left="280" w:right="0" w:hanging="0"/>
    </w:pPr>
    <w:rPr>
      <w:rFonts w:cs="Calibri"/>
      <w:sz w:val="20"/>
      <w:szCs w:val="20"/>
    </w:rPr>
  </w:style>
  <w:style w:type="paragraph" w:styleId="Style24">
    <w:name w:val="Раздел регламента"/>
    <w:basedOn w:val="Normal"/>
    <w:qFormat/>
    <w:pPr/>
    <w:rPr/>
  </w:style>
  <w:style w:type="paragraph" w:styleId="Style25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8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ind w:left="560" w:right="0" w:hanging="0"/>
    </w:pPr>
    <w:rPr>
      <w:rFonts w:cs="Calibri"/>
      <w:sz w:val="20"/>
      <w:szCs w:val="20"/>
    </w:rPr>
  </w:style>
  <w:style w:type="paragraph" w:styleId="25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Style26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qFormat/>
    <w:p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 w:val="24"/>
      <w:szCs w:val="24"/>
      <w:lang w:val="x-none" w:eastAsia="x-none"/>
    </w:rPr>
  </w:style>
  <w:style w:type="paragraph" w:styleId="Style27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>
    <w:name w:val="Маркированный список 4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9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>
    <w:name w:val="Подподпункт"/>
    <w:basedOn w:val="Style23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32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>
    <w:name w:val="УРОВЕНЬ_Абзац_тип3"/>
    <w:basedOn w:val="ListParagraph"/>
    <w:link w:val="31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0">
    <w:name w:val="Стиль Заголовок 1 + по ширине"/>
    <w:basedOn w:val="Heading1"/>
    <w:qFormat/>
    <w:pPr>
      <w:keepLines/>
      <w:tabs>
        <w:tab w:val="clear" w:pos="708"/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8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11">
    <w:name w:val="УРОВЕНЬ_1."/>
    <w:basedOn w:val="ListParagraph"/>
    <w:link w:val="13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37">
    <w:name w:val="Абзац списка3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112">
    <w:name w:val="Основной текст1"/>
    <w:basedOn w:val="Normal"/>
    <w:link w:val="Style14"/>
    <w:qFormat/>
    <w:pPr>
      <w:widowControl w:val="false"/>
      <w:shd w:val="clear" w:fill="FFFFFF"/>
      <w:spacing w:lineRule="exact" w:line="302"/>
    </w:pPr>
    <w:rPr>
      <w:szCs w:val="20"/>
    </w:rPr>
  </w:style>
  <w:style w:type="paragraph" w:styleId="Style35">
    <w:name w:val="Содержимое врезки"/>
    <w:basedOn w:val="Normal"/>
    <w:qFormat/>
    <w:pPr/>
    <w:rPr/>
  </w:style>
  <w:style w:type="paragraph" w:styleId="Style36">
    <w:name w:val="Содержимое таблицы"/>
    <w:basedOn w:val="Normal"/>
    <w:qFormat/>
    <w:pPr>
      <w:widowControl w:val="false"/>
      <w:suppressLineNumbers/>
    </w:pPr>
    <w:rPr/>
  </w:style>
  <w:style w:type="paragraph" w:styleId="Style37">
    <w:name w:val="Заголовок таблицы"/>
    <w:basedOn w:val="Style36"/>
    <w:qFormat/>
    <w:pPr>
      <w:jc w:val="center"/>
    </w:pPr>
    <w:rPr>
      <w:b/>
      <w:bCs/>
    </w:rPr>
  </w:style>
  <w:style w:type="numbering" w:styleId="113">
    <w:name w:val="Стиль1"/>
    <w:qFormat/>
  </w:style>
  <w:style w:type="numbering" w:styleId="29">
    <w:name w:val="Стиль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Application>AlterOffice/3.4.0.9$Linux_X86_64 LibreOffice_project/b8daf9e823b1a5463a2f48435ddc2e8696e7d4fc</Application>
  <AppVersion>15.0000</AppVersion>
  <Pages>9</Pages>
  <Words>958</Words>
  <Characters>6118</Characters>
  <CharactersWithSpaces>6797</CharactersWithSpaces>
  <Paragraphs>301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2025-06-05T06:49:00Z</dcterms:created>
  <dc:creator>Быстров Олег Геннадьевич</dc:creator>
  <dc:description/>
  <dc:language>ru-RU</dc:language>
  <cp:lastModifiedBy/>
  <cp:lastPrinted>2025-04-03T09:55:00Z</cp:lastPrinted>
  <dcterms:modified xsi:type="dcterms:W3CDTF">2026-06-25T11:36:28Z</dcterms:modified>
  <cp:revision>49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