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F6" w:rsidRDefault="0022200E">
      <w:pPr>
        <w:widowControl w:val="0"/>
        <w:spacing w:after="0" w:line="240" w:lineRule="auto"/>
        <w:ind w:left="-440" w:right="48" w:firstLine="440"/>
        <w:jc w:val="center"/>
        <w:outlineLvl w:val="0"/>
        <w:rPr>
          <w:rStyle w:val="ad"/>
          <w:rFonts w:ascii="PT Astra Serif" w:hAnsi="PT Astra Serif"/>
          <w:sz w:val="22"/>
        </w:rPr>
      </w:pPr>
      <w:bookmarkStart w:id="0" w:name="_GoBack"/>
      <w:bookmarkEnd w:id="0"/>
      <w:r>
        <w:rPr>
          <w:rFonts w:ascii="PT Astra Serif" w:hAnsi="PT Astra Serif"/>
          <w:b/>
        </w:rPr>
        <w:t>Техническое задание</w:t>
      </w:r>
    </w:p>
    <w:p w:rsidR="00E876F6" w:rsidRDefault="0022200E">
      <w:pPr>
        <w:widowControl w:val="0"/>
        <w:numPr>
          <w:ilvl w:val="0"/>
          <w:numId w:val="1"/>
        </w:numPr>
        <w:spacing w:after="0" w:line="240" w:lineRule="auto"/>
        <w:ind w:left="-440" w:right="48" w:firstLine="442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Наименование объекта закупки с указанием количества товара, объема работ, услуг</w:t>
      </w:r>
    </w:p>
    <w:tbl>
      <w:tblPr>
        <w:tblW w:w="0" w:type="auto"/>
        <w:tblInd w:w="-396" w:type="dxa"/>
        <w:tblLayout w:type="fixed"/>
        <w:tblCellMar>
          <w:top w:w="29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5"/>
        <w:gridCol w:w="1710"/>
        <w:gridCol w:w="3135"/>
        <w:gridCol w:w="1335"/>
        <w:gridCol w:w="1455"/>
        <w:gridCol w:w="5588"/>
        <w:gridCol w:w="1785"/>
      </w:tblGrid>
      <w:tr w:rsidR="00E876F6">
        <w:trPr>
          <w:trHeight w:val="7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№  п/п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Код позиции </w:t>
            </w:r>
          </w:p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КТРУ / ОКПД2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Наименование товара, работы, услуги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Единица измерения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Количество / Объем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Применение национального режима по ст. 14 Федерального закона от 05.04.2013 № 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Обоснование невозможности соблюдения запрета, ограничени</w:t>
            </w:r>
            <w:r>
              <w:rPr>
                <w:rFonts w:ascii="PT Astra Serif" w:hAnsi="PT Astra Serif"/>
                <w:b/>
                <w:sz w:val="20"/>
              </w:rPr>
              <w:t>я</w:t>
            </w:r>
          </w:p>
        </w:tc>
      </w:tr>
      <w:tr w:rsidR="00E876F6">
        <w:trPr>
          <w:trHeight w:val="7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5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7</w:t>
            </w:r>
          </w:p>
        </w:tc>
      </w:tr>
      <w:tr w:rsidR="00E876F6">
        <w:trPr>
          <w:trHeight w:val="7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>
              <w:rPr>
                <w:rFonts w:ascii="PT Astra Serif" w:hAnsi="PT Astra Serif"/>
                <w:sz w:val="20"/>
              </w:rPr>
              <w:t>43.21.10.290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>
              <w:rPr>
                <w:rFonts w:ascii="PT Astra Serif" w:hAnsi="PT Astra Serif"/>
                <w:sz w:val="20"/>
              </w:rPr>
              <w:t>Выполнение работ по установке камер видеонаблюдения в г.Барнауле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условная единица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 установлено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</w:tr>
      <w:tr w:rsidR="00E876F6">
        <w:trPr>
          <w:trHeight w:val="7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hyperlink r:id="rId7" w:history="1">
              <w:r>
                <w:rPr>
                  <w:rFonts w:ascii="PT Astra Serif" w:hAnsi="PT Astra Serif"/>
                  <w:color w:val="000000" w:themeColor="text1"/>
                  <w:sz w:val="20"/>
                </w:rPr>
                <w:t>26.70.13.000-00000008</w:t>
              </w:r>
            </w:hyperlink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Камера видеонаблюдения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штука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Ограничение в отношении товаров российского происхождения, выполняемых работ, оказываемых услуг российскими лицами.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</w:tr>
      <w:tr w:rsidR="00E876F6">
        <w:trPr>
          <w:trHeight w:val="7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hyperlink r:id="rId8" w:history="1">
              <w:r>
                <w:rPr>
                  <w:rFonts w:ascii="PT Astra Serif" w:hAnsi="PT Astra Serif"/>
                  <w:color w:val="000000" w:themeColor="text1"/>
                  <w:sz w:val="20"/>
                </w:rPr>
                <w:t>26.70.13.000-00000008</w:t>
              </w:r>
            </w:hyperlink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Камера видеонаблюдения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штука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Ограничение в отношении товаров российского происхождения, выполняемых работ, оказываемых услуг ро</w:t>
            </w:r>
            <w:r>
              <w:rPr>
                <w:rFonts w:ascii="PT Astra Serif" w:hAnsi="PT Astra Serif"/>
                <w:color w:val="000000" w:themeColor="text1"/>
                <w:sz w:val="20"/>
              </w:rPr>
              <w:t>ссийскими лицами.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</w:tr>
      <w:tr w:rsidR="00E876F6">
        <w:trPr>
          <w:trHeight w:val="7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26.30.11.110-00000041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 xml:space="preserve">Коммутатор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штука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Ограничение в отношении товаров российского происхождения, выполняемых работ, оказываемых услуг российскими лицами.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</w:tr>
      <w:tr w:rsidR="00E876F6">
        <w:trPr>
          <w:trHeight w:val="7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>
              <w:rPr>
                <w:rFonts w:ascii="PT Astra Serif" w:hAnsi="PT Astra Serif"/>
                <w:sz w:val="20"/>
              </w:rPr>
              <w:t>58.29.11.000-00000003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 xml:space="preserve">Программное обеспечение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 xml:space="preserve">Запрет в </w:t>
            </w:r>
            <w:r>
              <w:rPr>
                <w:rFonts w:ascii="PT Astra Serif" w:hAnsi="PT Astra Serif"/>
                <w:color w:val="000000" w:themeColor="text1"/>
                <w:sz w:val="20"/>
              </w:rPr>
              <w:t>отношении товаров российского происхождения, выполняемых работ, оказываемых услуг российскими лицами.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</w:tr>
      <w:tr w:rsidR="00E876F6">
        <w:trPr>
          <w:trHeight w:val="7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>
              <w:rPr>
                <w:rFonts w:ascii="PT Astra Serif" w:hAnsi="PT Astra Serif"/>
                <w:sz w:val="20"/>
              </w:rPr>
              <w:t>26.51.63.130-00000002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Счетчик электроэнергии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 xml:space="preserve">штука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 xml:space="preserve">Запрет в отношении товаров российского происхождения, выполняемых работ, оказываемых услуг </w:t>
            </w:r>
            <w:r>
              <w:rPr>
                <w:rFonts w:ascii="PT Astra Serif" w:hAnsi="PT Astra Serif"/>
                <w:color w:val="000000" w:themeColor="text1"/>
                <w:sz w:val="20"/>
              </w:rPr>
              <w:t>российскими лицами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</w:tr>
      <w:tr w:rsidR="00E876F6">
        <w:trPr>
          <w:trHeight w:val="7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>
              <w:rPr>
                <w:rFonts w:ascii="PT Astra Serif" w:hAnsi="PT Astra Serif"/>
                <w:sz w:val="20"/>
              </w:rPr>
              <w:t>26.30.30.000-00000011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Шкаф телекоммуникационный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 xml:space="preserve">штука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Ограничение в отношении товаров российского происхождения, выполняемых работ, оказываемых услуг российскими лицами.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right w:w="29" w:type="dxa"/>
            </w:tcMar>
          </w:tcPr>
          <w:p w:rsidR="00E876F6" w:rsidRDefault="0022200E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</w:tr>
    </w:tbl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2. Гарантийные обязательства поставщика (подрядчика, </w:t>
      </w:r>
      <w:r>
        <w:rPr>
          <w:rFonts w:ascii="PT Astra Serif" w:hAnsi="PT Astra Serif"/>
          <w:b/>
        </w:rPr>
        <w:t>исполнителя)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Требования к гарантийному сроку товара, работы, услуги:</w:t>
      </w:r>
      <w:r>
        <w:rPr>
          <w:rFonts w:ascii="PT Astra Serif" w:hAnsi="PT Astra Serif"/>
        </w:rPr>
        <w:t xml:space="preserve"> установлены в соответствии с Договором.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Требования к гарантии качества товара, работы, услуги, к объему предоставления гарантий качества товара, работы, услуги:</w:t>
      </w:r>
      <w:r>
        <w:rPr>
          <w:rFonts w:ascii="PT Astra Serif" w:hAnsi="PT Astra Serif"/>
        </w:rPr>
        <w:t xml:space="preserve"> установлены в соответствии</w:t>
      </w:r>
      <w:r>
        <w:rPr>
          <w:rFonts w:ascii="PT Astra Serif" w:hAnsi="PT Astra Serif"/>
        </w:rPr>
        <w:t xml:space="preserve"> с Договором.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Требование к гарантийному обслуживанию товара:</w:t>
      </w:r>
      <w:r>
        <w:rPr>
          <w:rFonts w:ascii="PT Astra Serif" w:hAnsi="PT Astra Serif"/>
        </w:rPr>
        <w:t xml:space="preserve"> не установлено.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Требование к расходам на эксплуатацию товара:</w:t>
      </w:r>
      <w:r>
        <w:rPr>
          <w:rFonts w:ascii="PT Astra Serif" w:hAnsi="PT Astra Serif"/>
        </w:rPr>
        <w:t xml:space="preserve"> не установлено.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3. Требования к обязательности осуществления монтажа и наладки товара:</w:t>
      </w:r>
      <w:r>
        <w:rPr>
          <w:rFonts w:ascii="PT Astra Serif" w:hAnsi="PT Astra Serif"/>
        </w:rPr>
        <w:t xml:space="preserve"> не установлено.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4. Требования к обучению лиц, </w:t>
      </w:r>
      <w:r>
        <w:rPr>
          <w:rFonts w:ascii="PT Astra Serif" w:hAnsi="PT Astra Serif"/>
          <w:b/>
        </w:rPr>
        <w:t>осуществляющих использование и обслуживание товара:</w:t>
      </w:r>
      <w:r>
        <w:rPr>
          <w:rFonts w:ascii="PT Astra Serif" w:hAnsi="PT Astra Serif"/>
        </w:rPr>
        <w:t xml:space="preserve"> не установлено.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5. Функциональные, технические, качественные и эксплуатационные характеристики объекта закупки:</w:t>
      </w:r>
    </w:p>
    <w:tbl>
      <w:tblPr>
        <w:tblW w:w="0" w:type="auto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12195"/>
      </w:tblGrid>
      <w:tr w:rsidR="00E876F6">
        <w:trPr>
          <w:trHeight w:val="79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Наименование характеристики</w:t>
            </w:r>
          </w:p>
        </w:tc>
        <w:tc>
          <w:tcPr>
            <w:tcW w:w="1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Значение характеристики</w:t>
            </w:r>
          </w:p>
        </w:tc>
      </w:tr>
      <w:tr w:rsidR="00E876F6">
        <w:trPr>
          <w:trHeight w:val="79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Вид работ</w:t>
            </w:r>
          </w:p>
        </w:tc>
        <w:tc>
          <w:tcPr>
            <w:tcW w:w="1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Установка камер видеонаблюдения </w:t>
            </w:r>
          </w:p>
        </w:tc>
      </w:tr>
      <w:tr w:rsidR="00E876F6">
        <w:trPr>
          <w:trHeight w:val="79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Требования к работам</w:t>
            </w:r>
          </w:p>
        </w:tc>
        <w:tc>
          <w:tcPr>
            <w:tcW w:w="1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Соответствие результатов выполненных работ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</w:t>
            </w:r>
            <w:r>
              <w:rPr>
                <w:rFonts w:ascii="PT Astra Serif" w:hAnsi="PT Astra Serif"/>
                <w:sz w:val="20"/>
              </w:rPr>
              <w:t>установленным законодательством Российской Федерации и Договором</w:t>
            </w:r>
          </w:p>
        </w:tc>
      </w:tr>
    </w:tbl>
    <w:p w:rsidR="00E876F6" w:rsidRDefault="00E876F6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  <w:b/>
        </w:rPr>
      </w:pPr>
    </w:p>
    <w:tbl>
      <w:tblPr>
        <w:tblW w:w="0" w:type="auto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830"/>
        <w:gridCol w:w="495"/>
        <w:gridCol w:w="1665"/>
        <w:gridCol w:w="1665"/>
        <w:gridCol w:w="1610"/>
        <w:gridCol w:w="2110"/>
        <w:gridCol w:w="3750"/>
        <w:gridCol w:w="1245"/>
        <w:gridCol w:w="630"/>
      </w:tblGrid>
      <w:tr w:rsidR="00E876F6">
        <w:trPr>
          <w:trHeight w:val="124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№  п/п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Наименование товара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Товарный</w:t>
            </w:r>
          </w:p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 знак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Наименование характеристики товара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Тип характеристики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Единица измерения характеристики</w:t>
            </w:r>
          </w:p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товара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Значение характеристики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Инструкция по заполнению </w:t>
            </w:r>
            <w:r>
              <w:rPr>
                <w:rFonts w:ascii="PT Astra Serif" w:hAnsi="PT Astra Serif"/>
                <w:b/>
                <w:sz w:val="20"/>
              </w:rPr>
              <w:t>характеристик в заявке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right="-88" w:hanging="4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Единица измерения количества товара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6F6" w:rsidRDefault="0022200E">
            <w:pPr>
              <w:spacing w:after="0" w:line="240" w:lineRule="auto"/>
              <w:ind w:left="-440" w:right="48" w:firstLine="402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Количество</w:t>
            </w:r>
          </w:p>
          <w:p w:rsidR="00E876F6" w:rsidRDefault="0022200E">
            <w:pPr>
              <w:spacing w:after="0" w:line="240" w:lineRule="auto"/>
              <w:ind w:left="-440" w:right="48" w:firstLine="402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товара</w:t>
            </w:r>
          </w:p>
        </w:tc>
      </w:tr>
      <w:tr w:rsidR="00E876F6">
        <w:trPr>
          <w:trHeight w:val="7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7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10</w:t>
            </w:r>
          </w:p>
        </w:tc>
      </w:tr>
      <w:tr w:rsidR="00E876F6">
        <w:trPr>
          <w:trHeight w:val="79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Камера видеонаблюдения 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Исполнение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уличная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Тип конструкции </w:t>
            </w:r>
            <w:r>
              <w:rPr>
                <w:rFonts w:ascii="PT Astra Serif" w:hAnsi="PT Astra Serif"/>
                <w:sz w:val="20"/>
              </w:rPr>
              <w:t>камеры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купольная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Число мегапикселей матрицы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≥4,00 и &lt;8,00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Разрешение основного </w:t>
            </w:r>
            <w:r>
              <w:rPr>
                <w:rFonts w:ascii="PT Astra Serif" w:hAnsi="PT Astra Serif"/>
                <w:sz w:val="20"/>
              </w:rPr>
              <w:t>видеопотока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2560x1440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камеры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color w:val="334059"/>
                <w:sz w:val="20"/>
                <w:highlight w:val="white"/>
              </w:rPr>
            </w:pPr>
            <w:r>
              <w:rPr>
                <w:rFonts w:ascii="PT Astra Serif" w:hAnsi="PT Astra Serif"/>
                <w:sz w:val="20"/>
              </w:rPr>
              <w:t>цифровая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Дальность подсветки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</w:t>
            </w:r>
            <w:r>
              <w:rPr>
                <w:rFonts w:ascii="PT Astra Serif" w:hAnsi="PT Astra Serif"/>
                <w:sz w:val="20"/>
              </w:rPr>
              <w:t>етр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100,00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Материал корпуса (кожуха)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металлический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Частота кадров (кадр/сек)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30,00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2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Камера видеонаблюдения 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Исполнение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уличная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конструкции камеры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цилиндрическая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Число мегапикселей матрицы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4,00 и &lt; 8,00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Разрешение основного видеопотока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2560x1440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камеры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color w:val="334059"/>
                <w:sz w:val="20"/>
                <w:highlight w:val="white"/>
              </w:rPr>
            </w:pPr>
            <w:r>
              <w:rPr>
                <w:rFonts w:ascii="PT Astra Serif" w:hAnsi="PT Astra Serif"/>
                <w:sz w:val="20"/>
              </w:rPr>
              <w:t>цифровая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Дальность подсветки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метр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50,00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Материал корпуса (кожуха)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металлический 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Ночная съемка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</w:rPr>
              <w:t>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Частота кадров (кадр/сек)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30,00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3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Коммутатор 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Блок питания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встроенный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не может изменяться </w:t>
            </w:r>
            <w:r>
              <w:rPr>
                <w:rFonts w:ascii="PT Astra Serif" w:hAnsi="PT Astra Serif"/>
                <w:sz w:val="20"/>
              </w:rPr>
              <w:t>участником закупки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штука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блоков питания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блоков питания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фиксированные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не может изменяться участником </w:t>
            </w:r>
            <w:r>
              <w:rPr>
                <w:rFonts w:ascii="PT Astra Serif" w:hAnsi="PT Astra Serif"/>
                <w:sz w:val="20"/>
              </w:rPr>
              <w:t>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коммутатора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управляемый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передачи данных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Roboto" w:hAnsi="Roboto"/>
                <w:sz w:val="21"/>
                <w:highlight w:val="white"/>
              </w:rPr>
              <w:t>FC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электропитания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AC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113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4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Программное обеспечение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6F6" w:rsidRDefault="0022200E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Интиллект (Intellect) или эквивалент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Вид лицензии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простая (неисключительная)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не может изменяться участником </w:t>
            </w:r>
            <w:r>
              <w:rPr>
                <w:rFonts w:ascii="PT Astra Serif" w:hAnsi="PT Astra Serif"/>
                <w:sz w:val="20"/>
              </w:rPr>
              <w:t>закупки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Штука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(02.08) Средства мониторинга и управления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пользователей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Способ предоставления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копия электронного экземпляра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5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Счетчик электроэнергии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фаз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многотарифный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Максимальный ток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Ампер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60</w:t>
            </w:r>
            <w:r>
              <w:rPr>
                <w:rFonts w:ascii="PT Astra Serif" w:hAnsi="PT Astra Serif"/>
                <w:sz w:val="20"/>
              </w:rPr>
              <w:t>,00 и &lt; 80,00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Номинальный ток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Ампер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1,00 и ≤ 5,00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Способ монтажа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Щитовой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отсчетного устройства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Электронный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Номинальное напряжение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Вольт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≥ 230,00 и &lt; </w:t>
            </w:r>
            <w:r>
              <w:rPr>
                <w:rFonts w:ascii="PT Astra Serif" w:hAnsi="PT Astra Serif"/>
                <w:sz w:val="20"/>
              </w:rPr>
              <w:t>380,00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6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Шкаф телекоммуникационный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Высота, U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60,00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Максимальная распределенная </w:t>
            </w:r>
            <w:r>
              <w:rPr>
                <w:rFonts w:ascii="PT Astra Serif" w:hAnsi="PT Astra Serif"/>
                <w:sz w:val="20"/>
              </w:rPr>
              <w:t>нагрузка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килограмм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&lt; 100,00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Полезная глубина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миллиметр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&lt; 600,00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Тип </w:t>
            </w:r>
            <w:r>
              <w:rPr>
                <w:rFonts w:ascii="PT Astra Serif" w:hAnsi="PT Astra Serif"/>
                <w:sz w:val="20"/>
              </w:rPr>
              <w:t>конструкции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неразборный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размещения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настенный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  <w:tr w:rsidR="00E876F6">
        <w:trPr>
          <w:trHeight w:val="7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Ширина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F6" w:rsidRDefault="0022200E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количественная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миллиметр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500,00 и &lt; 1000,00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222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6F6" w:rsidRDefault="00E876F6"/>
        </w:tc>
      </w:tr>
    </w:tbl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6. Требования (условия), связанные с определением соответствия поставляемого товара, выполняемой работы, оказываемой услуги потребностям заказчика: 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Все материалы, используемые при выполнении работ, должны иметь соответствующие технические паспорта, сертификаты, результаты испытаний, удостоверяющие их качество, и другие документы. Надлежаще заверенные копии этих сертификатов, технических паспортов и ре</w:t>
      </w:r>
      <w:r>
        <w:rPr>
          <w:rFonts w:ascii="PT Astra Serif" w:hAnsi="PT Astra Serif"/>
        </w:rPr>
        <w:t xml:space="preserve">зультатов испытаний должны быть предоставлены Заказчику после производства работ, выполненных с использованием этих материалов. 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Контроль качества работ должен осуществляться на всех стадиях их выполнения и подразделяться на входной, операционный и периоди</w:t>
      </w:r>
      <w:r>
        <w:rPr>
          <w:rFonts w:ascii="PT Astra Serif" w:hAnsi="PT Astra Serif"/>
        </w:rPr>
        <w:t>ческий.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Входной контроль предусматривает внешний осмотр поступивших на объект материалов, на их соответствие сопроводительным документами (паспортами, сертификатами).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Операционный контроль производится в ходе выполнения работ и обеспечивает строгое соблюде</w:t>
      </w:r>
      <w:r>
        <w:rPr>
          <w:rFonts w:ascii="PT Astra Serif" w:hAnsi="PT Astra Serif"/>
        </w:rPr>
        <w:t xml:space="preserve">ние технологии работ, своевременное выявление дефектов и принятие мер по их устранению. 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Операционный контроль должен осуществляться повседневно Подрядчиком.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Периодический контроль и освидетельствование качества выполняемых работ, а также и промежуточная п</w:t>
      </w:r>
      <w:r>
        <w:rPr>
          <w:rFonts w:ascii="PT Astra Serif" w:hAnsi="PT Astra Serif"/>
        </w:rPr>
        <w:t>риемка выполняется Заказчиком.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6.2. Состав работ по установке камер видеонаблюдения в г. Барнауле.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Объем, содержание работ определяются настоящим Описанием объекта закупки (Приложение №1 к Договору), проектно-сметной документацией (Приложение №2 к Договору</w:t>
      </w:r>
      <w:r>
        <w:rPr>
          <w:rFonts w:ascii="PT Astra Serif" w:hAnsi="PT Astra Serif"/>
        </w:rPr>
        <w:t>у), действующими в Российской Федерации на момент выполнения работ нормативно-правовыми актами, нормативно-техническими требованиями действующих правил, приказов, строительных норм, стандартов, санитарных норм и правил.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Работы по установке камер видеонаблю</w:t>
      </w:r>
      <w:r>
        <w:rPr>
          <w:rFonts w:ascii="PT Astra Serif" w:hAnsi="PT Astra Serif"/>
        </w:rPr>
        <w:t xml:space="preserve">дения на территории города </w:t>
      </w:r>
      <w:r>
        <w:rPr>
          <w:rFonts w:ascii="PT Astra Serif" w:hAnsi="PT Astra Serif"/>
        </w:rPr>
        <w:lastRenderedPageBreak/>
        <w:t xml:space="preserve">Барнаула должны выполняться с соблюдением требований санитарно-гигиенических, противопожарных и других норм, действующих на территории Российской Федерации. 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6.2.1 Требования к технике безопасности монтажных работ: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Электроснабжен</w:t>
      </w:r>
      <w:r>
        <w:rPr>
          <w:rFonts w:ascii="PT Astra Serif" w:hAnsi="PT Astra Serif"/>
        </w:rPr>
        <w:t xml:space="preserve">ие оборудования должно быть выполнено согласно техническим условиям для присоединения камер видеонаблюдения к электрическим сетям, в соответствии с требованиями Правил устройства электроустановок (ПУЭ), утвержденными Приказом Минэнерго России </w:t>
      </w:r>
      <w:r>
        <w:rPr>
          <w:rFonts w:ascii="PT Astra Serif" w:hAnsi="PT Astra Serif"/>
        </w:rPr>
        <w:br/>
        <w:t>от 08.07.200</w:t>
      </w:r>
      <w:r>
        <w:rPr>
          <w:rFonts w:ascii="PT Astra Serif" w:hAnsi="PT Astra Serif"/>
        </w:rPr>
        <w:t>2 №204.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Подрядчик несет самостоятельную ответственность за соблюдение мер техники безопасности, охраны труда, мероприятий по охране окружающей среды, сохранению условий комфортного и безопасного проживания жителей близстоящих домов в период выполнения рабо</w:t>
      </w:r>
      <w:r>
        <w:rPr>
          <w:rFonts w:ascii="PT Astra Serif" w:hAnsi="PT Astra Serif"/>
        </w:rPr>
        <w:t>т. При выполнении работ Подрядчик обязан соблюдать требования Правил противопожарного режима в Российской Федерации, утвержденных постановлением Правительства РФ от 16.09.2020 №1479.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6.2.2. Технические требования к оборудованию: 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Требования к оборудованию </w:t>
      </w:r>
      <w:r>
        <w:rPr>
          <w:rFonts w:ascii="PT Astra Serif" w:hAnsi="PT Astra Serif"/>
        </w:rPr>
        <w:t>и работам должны соответствовать проектно-сметной документации (Приложение №2 к Договоруу).</w:t>
      </w:r>
    </w:p>
    <w:p w:rsidR="00E876F6" w:rsidRDefault="0022200E">
      <w:pPr>
        <w:widowControl w:val="0"/>
        <w:spacing w:after="0" w:line="240" w:lineRule="auto"/>
        <w:ind w:left="-440" w:right="48" w:firstLine="442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6.2.3. Монтажные работы.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Подрядчик обязан предоставить Заказчику следующие документы на используемый материал: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санитарно-эпидемиологические заключения на использу</w:t>
      </w:r>
      <w:r>
        <w:rPr>
          <w:rFonts w:ascii="PT Astra Serif" w:hAnsi="PT Astra Serif"/>
        </w:rPr>
        <w:t>емый материал;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заверенные копии сертификатов соответствия продукции, на товары, подлежащие обязательной сертификации;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заверенные копии технических паспортов и результатов испытаний используемых материалов и конструкций;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акт ввода в эксплуатацию (подп</w:t>
      </w:r>
      <w:r>
        <w:rPr>
          <w:rFonts w:ascii="PT Astra Serif" w:hAnsi="PT Astra Serif"/>
        </w:rPr>
        <w:t>исывается приемочной комиссией в составе представителей Заказчика, Подрядчика, УМВД России по г.Барнаулу).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Кроме того, Подрядчик предоставляет Заказчику ключи от распределительных шкафов. 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Монтаж камер видеонаблюдения необходимо осуществить с подключением </w:t>
      </w:r>
      <w:r>
        <w:rPr>
          <w:rFonts w:ascii="PT Astra Serif" w:hAnsi="PT Astra Serif"/>
        </w:rPr>
        <w:t>их к аппаратно-программному комплексу «Безопасный город» посредством монтажа волоконно-оптических линий от узлов связи комплекса «Безопасный город» в соответствии с проектно-сметной документацией (Приложение № 2 к Договоруу).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Камеры видеонаблюдения устанав</w:t>
      </w:r>
      <w:r>
        <w:rPr>
          <w:rFonts w:ascii="PT Astra Serif" w:hAnsi="PT Astra Serif"/>
        </w:rPr>
        <w:t>ливаются согласно проектно-сметной документации (Приложение №2 к Договоруу) на территориях, находящихся в собственности (пользовании, владении) города Барнаула, и земельных участках, государственная собственность на которые не разграничена в границах город</w:t>
      </w:r>
      <w:r>
        <w:rPr>
          <w:rFonts w:ascii="PT Astra Serif" w:hAnsi="PT Astra Serif"/>
        </w:rPr>
        <w:t>а Барнаула: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Алтайский край, г.о. город Барнаул, г Барнаул, территория в районе здания торгово-офисного центра «Гулливер парк» по адресу: </w:t>
      </w:r>
      <w:r>
        <w:rPr>
          <w:rFonts w:ascii="PT Astra Serif" w:hAnsi="PT Astra Serif"/>
        </w:rPr>
        <w:br/>
        <w:t xml:space="preserve">пр-кт Красноармейский, 51а; 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Алтайский край, г.о. город Барнаул, г Барнаул, территория в районе здания по адресу: </w:t>
      </w:r>
      <w:r>
        <w:rPr>
          <w:rFonts w:ascii="PT Astra Serif" w:hAnsi="PT Astra Serif"/>
        </w:rPr>
        <w:t xml:space="preserve">пл.Победы, 1; 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Алтайский край, г.о. город Барнаул, г Барнаул, территория в районе гостиницы «Центральная» по адресу: пр-кт Ленина, 57;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Алтайский край, г.о. город Барнаул, г Барнаул, территория в районе гостиницы «Сибирь» по адресу: пр-кт Социалистический, </w:t>
      </w:r>
      <w:r>
        <w:rPr>
          <w:rFonts w:ascii="PT Astra Serif" w:hAnsi="PT Astra Serif"/>
        </w:rPr>
        <w:t xml:space="preserve">116; </w:t>
      </w:r>
    </w:p>
    <w:p w:rsidR="00E876F6" w:rsidRDefault="0022200E">
      <w:pPr>
        <w:widowControl w:val="0"/>
        <w:spacing w:after="0" w:line="240" w:lineRule="auto"/>
        <w:ind w:left="-440" w:right="48" w:firstLine="48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Алтайский край, г.о. город Барнаул, г Барнаул, территория в районе здания по адресу: ул.Советской Армии, 166;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Алтайский край, г.о. город Барнаул, г Барнаул, территория в районе здания по адресу: пр-кт Строителей, 54.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Маркировка товаров (материалов), </w:t>
      </w:r>
      <w:r>
        <w:rPr>
          <w:rFonts w:ascii="PT Astra Serif" w:hAnsi="PT Astra Serif"/>
        </w:rPr>
        <w:t>используемых при выполнении работ, должна быть выполнена в соответствии ГОСТ 26828-86 «Изделия машиностроения и приборостроения. Маркировка» и содержать товарный знак и (или) другие реквизиты предприятия-изготовителя.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Ответственность за согласование прокла</w:t>
      </w:r>
      <w:r>
        <w:rPr>
          <w:rFonts w:ascii="PT Astra Serif" w:hAnsi="PT Astra Serif"/>
        </w:rPr>
        <w:t>дки коммуникаций на объектах, находящихся в собственности третьих лиц, несет Заказчик, при этом Подрядчик на основании доверенности, выданной Заказчиком, вправе выполнить указанные согласования самостоятельно.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выполнении работ Подрядчик должен руководс</w:t>
      </w:r>
      <w:r>
        <w:rPr>
          <w:rFonts w:ascii="PT Astra Serif" w:hAnsi="PT Astra Serif"/>
        </w:rPr>
        <w:t>твоваться следующими нормативными документами: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кодекс РФ;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Земельный кодекс РФ;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Федеральный закон «О персональных данных» от 27.07.2006 №152-ФЗ;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Федеральный закон от 27.07.2006 №149-ФЗ «Об информации, информационных технологиях и о</w:t>
      </w:r>
      <w:r>
        <w:rPr>
          <w:rFonts w:ascii="PT Astra Serif" w:hAnsi="PT Astra Serif"/>
        </w:rPr>
        <w:t xml:space="preserve"> защите информации»;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Федеральный закон от 28.12.2010 №390-ФЗ «О безопасности»;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Указ Президента Российской Федерации от 17.03.2008 №351 «О мерах по обеспечению информационной безопасности Российской Федерации при использовании информационно-телекоммуник</w:t>
      </w:r>
      <w:r>
        <w:rPr>
          <w:rFonts w:ascii="PT Astra Serif" w:hAnsi="PT Astra Serif"/>
        </w:rPr>
        <w:t>ационных сетей международного информационного обмена»;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ГОСТ 31565-2012 «Кабельные изделия. Требования пожарной безопасности»;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ГОСТ 1508-78 «Кабели контрольные с резиновой и пластмассовой изоляцией. Технические условия»;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СП 82.13330.2016 «Свод правил.</w:t>
      </w:r>
      <w:r>
        <w:rPr>
          <w:rFonts w:ascii="PT Astra Serif" w:hAnsi="PT Astra Serif"/>
        </w:rPr>
        <w:t xml:space="preserve"> Благоустройство территорий. Актуализированная редакция СНиП III-10-75»;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Постановление Правительства РФ «Об утверждении Концепции построения и развития от 03.12.2014 №2446-р аппаратно-программного комплекса «Безопасный город»;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Постановление Правительст</w:t>
      </w:r>
      <w:r>
        <w:rPr>
          <w:rFonts w:ascii="PT Astra Serif" w:hAnsi="PT Astra Serif"/>
        </w:rPr>
        <w:t xml:space="preserve">ва Российской Федерации от 20.01.2014 №39; 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«О Межведомственной комиссии по вопросам, связанным с внедрением и развитием систем аппаратно-программного комплекса технических средств «Безопасный город»;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Постановление Правительства Российской Федерации от 0</w:t>
      </w:r>
      <w:r>
        <w:rPr>
          <w:rFonts w:ascii="PT Astra Serif" w:hAnsi="PT Astra Serif"/>
        </w:rPr>
        <w:t>1.11.2012 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Распоряжение Правительства Российской Федерации от 03.12.2014 № 2446-р «Об утверждении Концепции построения и развити</w:t>
      </w:r>
      <w:r>
        <w:rPr>
          <w:rFonts w:ascii="PT Astra Serif" w:hAnsi="PT Astra Serif"/>
        </w:rPr>
        <w:t>я аппаратно-программного комплекса «Безопасный город»;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Методические рекомендации «АПК «Безопасный город». Построение (развитие), внедрение и эксплуатация», утвержденные заместителем Министра Российской Федерации по делам гражданской обороны, чрезвычайным</w:t>
      </w:r>
      <w:r>
        <w:rPr>
          <w:rFonts w:ascii="PT Astra Serif" w:hAnsi="PT Astra Serif"/>
        </w:rPr>
        <w:t xml:space="preserve"> ситуациям и ликвидации последствий стихийных бедствий 22.02.2015 №2-</w:t>
      </w:r>
      <w:r>
        <w:rPr>
          <w:rFonts w:ascii="PT Astra Serif" w:hAnsi="PT Astra Serif"/>
        </w:rPr>
        <w:lastRenderedPageBreak/>
        <w:t>4-87-12-14;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Методические рекомендации по оценке технического задания на создание пилотного участка аппаратно-программного комплекса «Безопасный город», утвержденные заместителем </w:t>
      </w:r>
      <w:r>
        <w:rPr>
          <w:rFonts w:ascii="PT Astra Serif" w:hAnsi="PT Astra Serif"/>
        </w:rPr>
        <w:t>председателя Межведомственной комиссии по вопросам, связанным с внедрением и развитием систем аппаратно-программного комплекса технических средств «Безопасный город» от 04.09.2015 №14-4-3727;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Единые требования к техническим параметрам сегментов аппаратно</w:t>
      </w:r>
      <w:r>
        <w:rPr>
          <w:rFonts w:ascii="PT Astra Serif" w:hAnsi="PT Astra Serif"/>
        </w:rPr>
        <w:t>-программного комплекса «Безопасный город», утвержденные председателем Межведомственной комиссии по вопросам, связанным с внедрением и развитием систем аппаратно-программного комплекса «Безопасный город» от 28.06.2017 №4516п-П4.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Правила благоустройства т</w:t>
      </w:r>
      <w:r>
        <w:rPr>
          <w:rFonts w:ascii="PT Astra Serif" w:hAnsi="PT Astra Serif"/>
        </w:rPr>
        <w:t xml:space="preserve">ерритории городского округа – города Барнаула Алтайского края, утвержденные решением Барнаульской городской Думы </w:t>
      </w:r>
      <w:r>
        <w:rPr>
          <w:rFonts w:ascii="PT Astra Serif" w:hAnsi="PT Astra Serif"/>
        </w:rPr>
        <w:br/>
        <w:t>от 19.03.2021 № 645;</w:t>
      </w:r>
    </w:p>
    <w:p w:rsidR="00E876F6" w:rsidRDefault="0022200E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- Федеральный закон от 10.01.2002 г. № 7-ФЗ «Об охране окружающей среды».</w:t>
      </w:r>
    </w:p>
    <w:p w:rsidR="00E876F6" w:rsidRDefault="00E876F6">
      <w:pPr>
        <w:widowControl w:val="0"/>
        <w:spacing w:after="0" w:line="240" w:lineRule="auto"/>
        <w:ind w:left="-440" w:right="48" w:firstLine="440"/>
        <w:jc w:val="both"/>
        <w:rPr>
          <w:rFonts w:ascii="PT Astra Serif" w:hAnsi="PT Astra Serif"/>
          <w:color w:val="00000A"/>
        </w:rPr>
      </w:pPr>
    </w:p>
    <w:p w:rsidR="00E876F6" w:rsidRDefault="0022200E">
      <w:pPr>
        <w:spacing w:after="0" w:line="240" w:lineRule="auto"/>
        <w:ind w:left="-440" w:right="48" w:firstLine="442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Примечание:</w:t>
      </w:r>
      <w:r>
        <w:rPr>
          <w:rFonts w:ascii="PT Astra Serif" w:hAnsi="PT Astra Serif"/>
        </w:rPr>
        <w:t xml:space="preserve"> Проектно-с</w:t>
      </w:r>
      <w:r>
        <w:rPr>
          <w:rStyle w:val="apple-style-span0"/>
          <w:rFonts w:ascii="PT Astra Serif" w:hAnsi="PT Astra Serif"/>
          <w:highlight w:val="white"/>
        </w:rPr>
        <w:t>метная документация, опи</w:t>
      </w:r>
      <w:r>
        <w:rPr>
          <w:rStyle w:val="apple-style-span0"/>
          <w:rFonts w:ascii="PT Astra Serif" w:hAnsi="PT Astra Serif"/>
          <w:highlight w:val="white"/>
        </w:rPr>
        <w:t>сание объекта закупки являются приложением к извещению (за исключением указаний на товарные знаки, знаки обслуживания, фирменные наименования, патенты, полезные модели, промышленные образцы, наименования места происхождения товара или наименование производ</w:t>
      </w:r>
      <w:r>
        <w:rPr>
          <w:rStyle w:val="apple-style-span0"/>
          <w:rFonts w:ascii="PT Astra Serif" w:hAnsi="PT Astra Serif"/>
          <w:highlight w:val="white"/>
        </w:rPr>
        <w:t xml:space="preserve">ителя), и находятся в списке документов закупки, доступных для загрузки на сайте </w:t>
      </w:r>
      <w:hyperlink r:id="rId9" w:history="1">
        <w:r>
          <w:rPr>
            <w:rStyle w:val="ae"/>
            <w:rFonts w:ascii="PT Astra Serif" w:hAnsi="PT Astra Serif"/>
            <w:color w:val="000000"/>
          </w:rPr>
          <w:t>http://www.zakupki.gov.ru/</w:t>
        </w:r>
      </w:hyperlink>
      <w:r>
        <w:rPr>
          <w:rFonts w:ascii="PT Astra Serif" w:hAnsi="PT Astra Serif"/>
        </w:rPr>
        <w:t xml:space="preserve"> Характеристики эквивалентных товаров должны соответствовать указанным в проектно-сметной документации.</w:t>
      </w:r>
    </w:p>
    <w:p w:rsidR="00E876F6" w:rsidRDefault="00E876F6">
      <w:pPr>
        <w:spacing w:after="0" w:line="240" w:lineRule="auto"/>
        <w:ind w:left="-440" w:right="48" w:firstLine="440"/>
        <w:jc w:val="both"/>
        <w:rPr>
          <w:rFonts w:ascii="PT Astra Serif" w:hAnsi="PT Astra Serif"/>
        </w:rPr>
      </w:pPr>
    </w:p>
    <w:sectPr w:rsidR="00E876F6">
      <w:headerReference w:type="default" r:id="rId10"/>
      <w:pgSz w:w="16838" w:h="11906" w:orient="landscape"/>
      <w:pgMar w:top="694" w:right="694" w:bottom="426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200E">
      <w:pPr>
        <w:spacing w:after="0" w:line="240" w:lineRule="auto"/>
      </w:pPr>
      <w:r>
        <w:separator/>
      </w:r>
    </w:p>
  </w:endnote>
  <w:endnote w:type="continuationSeparator" w:id="0">
    <w:p w:rsidR="00000000" w:rsidRDefault="0022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200E">
      <w:pPr>
        <w:spacing w:after="0" w:line="240" w:lineRule="auto"/>
      </w:pPr>
      <w:r>
        <w:separator/>
      </w:r>
    </w:p>
  </w:footnote>
  <w:footnote w:type="continuationSeparator" w:id="0">
    <w:p w:rsidR="00000000" w:rsidRDefault="0022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F6" w:rsidRDefault="0022200E">
    <w:pPr>
      <w:pStyle w:val="a9"/>
      <w:jc w:val="right"/>
    </w:pPr>
    <w:r>
      <w:rPr>
        <w:rFonts w:ascii="PT Astra Serif" w:hAnsi="PT Astra Serif"/>
        <w:sz w:val="20"/>
      </w:rPr>
      <w:fldChar w:fldCharType="begin"/>
    </w:r>
    <w:r>
      <w:rPr>
        <w:rFonts w:ascii="PT Astra Serif" w:hAnsi="PT Astra Serif"/>
        <w:sz w:val="20"/>
      </w:rPr>
      <w:instrText xml:space="preserve">PAGE </w:instrText>
    </w:r>
    <w:r>
      <w:rPr>
        <w:rFonts w:ascii="PT Astra Serif" w:hAnsi="PT Astra Serif"/>
        <w:sz w:val="20"/>
      </w:rPr>
      <w:fldChar w:fldCharType="separate"/>
    </w:r>
    <w:r>
      <w:rPr>
        <w:rFonts w:ascii="PT Astra Serif" w:hAnsi="PT Astra Serif"/>
        <w:noProof/>
        <w:sz w:val="20"/>
      </w:rPr>
      <w:t>4</w:t>
    </w:r>
    <w:r>
      <w:rPr>
        <w:rFonts w:ascii="PT Astra Serif" w:hAnsi="PT Astra Serif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CB7"/>
    <w:multiLevelType w:val="multilevel"/>
    <w:tmpl w:val="0FC2F2A4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F6"/>
    <w:rsid w:val="0022200E"/>
    <w:rsid w:val="00E8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8F737-3253-4992-AAE2-85459DAB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next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styleId="a9">
    <w:name w:val="header"/>
    <w:basedOn w:val="a"/>
    <w:link w:val="a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1"/>
    <w:link w:val="ab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d"/>
    <w:rPr>
      <w:sz w:val="16"/>
    </w:rPr>
  </w:style>
  <w:style w:type="character" w:styleId="ad">
    <w:name w:val="annotation reference"/>
    <w:basedOn w:val="a0"/>
    <w:link w:val="12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4">
    <w:name w:val="Гиперссылка1"/>
    <w:basedOn w:val="13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sz w:val="20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6.70.13.000-00000008&amp;backUrl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26.70.13.000-00000008&amp;backUrl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2519</Words>
  <Characters>14360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Вячеслав Евгеньевич (B2G2)</dc:creator>
  <cp:lastModifiedBy>Медведев Вячеслав Евгеньевич</cp:lastModifiedBy>
  <cp:revision>2</cp:revision>
  <dcterms:created xsi:type="dcterms:W3CDTF">2026-06-25T04:35:00Z</dcterms:created>
  <dcterms:modified xsi:type="dcterms:W3CDTF">2026-06-25T04:35:00Z</dcterms:modified>
</cp:coreProperties>
</file>