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8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16"/>
          <w:rFonts w:eastAsia="Calibri"/>
          <w:b/>
          <w:i w:val="false"/>
          <w:iCs w:val="false"/>
          <w:sz w:val="26"/>
          <w:szCs w:val="26"/>
          <w:shd w:fill="FFFFFF" w:val="clear"/>
        </w:rPr>
        <w:t xml:space="preserve">ОКДП2 42.22.12.120 </w:t>
      </w:r>
      <w:r>
        <w:rPr>
          <w:b/>
          <w:sz w:val="24"/>
          <w:szCs w:val="24"/>
        </w:rPr>
        <w:t>на р</w:t>
      </w:r>
      <w:r>
        <w:rPr>
          <w:rFonts w:eastAsia="Calibri"/>
          <w:b/>
          <w:sz w:val="24"/>
          <w:szCs w:val="24"/>
        </w:rPr>
        <w:t>азработку РД и выполнение СМР по реконструкции ПС 35/6 кВ Вираж и ПС 35/6кВ Дачная с заменой силовых трансформаторов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4"/>
        <w:numPr>
          <w:ilvl w:val="1"/>
          <w:numId w:val="1"/>
        </w:numPr>
        <w:rPr/>
      </w:pPr>
      <w:bookmarkStart w:id="0" w:name="_Toc54646397"/>
      <w:bookmarkStart w:id="1" w:name="_Toc46743506"/>
      <w:bookmarkEnd w:id="0"/>
      <w:bookmarkEnd w:id="1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i/>
          <w:sz w:val="24"/>
          <w:szCs w:val="24"/>
          <w:lang w:eastAsia="x-none"/>
        </w:rPr>
        <w:t>Разработка РД и выполнение СМР по реконструкции ПС 35/6 кВ Вираж и ПС 35/6кВ Дачная с заменой силовых трансформаторов</w:t>
      </w:r>
    </w:p>
    <w:p>
      <w:pPr>
        <w:pStyle w:val="4"/>
        <w:numPr>
          <w:ilvl w:val="1"/>
          <w:numId w:val="1"/>
        </w:numPr>
        <w:spacing w:before="240" w:after="60"/>
        <w:ind w:left="431" w:hanging="431"/>
        <w:rPr>
          <w:rStyle w:val="Style16"/>
          <w:b/>
          <w:b/>
          <w:lang w:val="ru-RU"/>
        </w:rPr>
      </w:pPr>
      <w:bookmarkStart w:id="2" w:name="_Toc54646398"/>
      <w:bookmarkStart w:id="3" w:name="_Toc46743507"/>
      <w:r>
        <w:rPr/>
        <w:t xml:space="preserve">Цель </w:t>
      </w:r>
      <w:bookmarkEnd w:id="2"/>
      <w:bookmarkEnd w:id="3"/>
      <w:r>
        <w:rPr>
          <w:lang w:val="ru-RU"/>
        </w:rPr>
        <w:t>выполнения работ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i/>
          <w:sz w:val="24"/>
          <w:szCs w:val="24"/>
          <w:lang w:eastAsia="x-none"/>
        </w:rPr>
        <w:t>Разработка РД и выполнение СМР по реконструкции ПС 35/6 кВ Вираж и ПС 35/6кВ Дачная с заменой силовых трансформаторов</w:t>
      </w:r>
    </w:p>
    <w:p>
      <w:pPr>
        <w:pStyle w:val="4"/>
        <w:numPr>
          <w:ilvl w:val="1"/>
          <w:numId w:val="1"/>
        </w:numPr>
        <w:rPr/>
      </w:pPr>
      <w:bookmarkStart w:id="4" w:name="_Toc46743508"/>
      <w:bookmarkStart w:id="5" w:name="_Toc54646399"/>
      <w:bookmarkEnd w:id="4"/>
      <w:bookmarkEnd w:id="5"/>
      <w:r>
        <w:rPr/>
        <w:t>Существующее положение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16"/>
          <w:b w:val="false"/>
          <w:b w:val="false"/>
          <w:bCs/>
          <w:sz w:val="24"/>
          <w:szCs w:val="24"/>
        </w:rPr>
      </w:pPr>
      <w:r>
        <w:rPr>
          <w:i/>
          <w:sz w:val="24"/>
          <w:szCs w:val="24"/>
        </w:rPr>
        <w:t>в границах действующего объекта (подстанции)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/>
      </w:pPr>
      <w:bookmarkStart w:id="6" w:name="_Toc5464640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  <w:r>
        <w:rPr>
          <w:sz w:val="24"/>
          <w:szCs w:val="24"/>
          <w:lang w:val="ru-RU"/>
        </w:rPr>
        <w:t xml:space="preserve"> и объемы выполняемых работ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"/>
        <w:gridCol w:w="1940"/>
        <w:gridCol w:w="2173"/>
        <w:gridCol w:w="3798"/>
        <w:gridCol w:w="1594"/>
      </w:tblGrid>
      <w:tr>
        <w:trPr/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Объемы выполняемых работ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23" w:type="dxa"/>
              <w:right w:w="28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ПС 35/6 кВ Вираж</w:t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РФ, Приморский край,</w:t>
            </w:r>
          </w:p>
          <w:p>
            <w:pPr>
              <w:pStyle w:val="Normal"/>
              <w:widowControl w:val="false"/>
              <w:jc w:val="center"/>
              <w:rPr/>
            </w:pPr>
            <w:bookmarkStart w:id="7" w:name="__DdeLink__7759_3306360805"/>
            <w:r>
              <w:rPr>
                <w:i/>
                <w:sz w:val="24"/>
                <w:szCs w:val="24"/>
                <w:highlight w:val="yellow"/>
              </w:rPr>
              <w:t>п. Соловей Ключ</w:t>
            </w:r>
            <w:bookmarkEnd w:id="7"/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1. Перевозка тр-ра ТМ-6300/35 с ПС 35 кВ Дачная на ПС 35 кВ Вираж - 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2.Выполнить демонтаж существующего  ТМ-6300/35 и перевезти на базу Стрелковая, 21;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3. На ПС 35 кВ Вираж выполнить замену провода на заходах ВЛ 35 Владивосток-Соловей ключ с отп. на ПС Вираж;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4. Для обеспечения возможности монтажа трансформаторов тока 35 кВ перенести стойку разъединителя ЛР 35 Владивосток. Место переноса определить при проектировании;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5. Выполнить монтаж стойки ТТ 35 кВ;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6. Выполнить монтаж ТТ 35 кВ наружной установки на конструкцию стойки;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7. Выполнить прокладку кабеля от ТТ 35 кВ до шкафа защит в ОПУ;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00000A"/>
                <w:sz w:val="24"/>
                <w:szCs w:val="24"/>
                <w:lang w:val="ru-RU" w:eastAsia="ru-RU" w:bidi="ar-SA"/>
              </w:rPr>
              <w:t>8. Выполнить монтаж и наладк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6"/>
                <w:szCs w:val="26"/>
              </w:rPr>
              <w:t xml:space="preserve">у </w:t>
            </w:r>
            <w:r>
              <w:rPr>
                <w:rFonts w:eastAsia="Times New Roman" w:cs="Times New Roman"/>
                <w:b w:val="false"/>
                <w:bCs w:val="false"/>
                <w:i/>
                <w:iCs w:val="false"/>
                <w:color w:val="00000A"/>
                <w:sz w:val="24"/>
                <w:szCs w:val="24"/>
                <w:lang w:val="ru-RU" w:eastAsia="ru-RU" w:bidi="ar-SA"/>
              </w:rPr>
              <w:t>вторичных цепей в установленном шкафу основных защит трансформатора.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rPr/>
            </w:pPr>
            <w:r>
              <w:rPr/>
            </w:r>
          </w:p>
        </w:tc>
        <w:tc>
          <w:tcPr>
            <w:tcW w:w="1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 xml:space="preserve">ПС 35/6 кВ </w:t>
            </w:r>
            <w:r>
              <w:rPr>
                <w:i/>
                <w:sz w:val="24"/>
                <w:szCs w:val="24"/>
              </w:rPr>
              <w:t>Дачная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/>
            </w:r>
          </w:p>
        </w:tc>
        <w:tc>
          <w:tcPr>
            <w:tcW w:w="2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РФ, Приморский край,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  <w:highlight w:val="yellow"/>
              </w:rPr>
              <w:t xml:space="preserve">п. Соловей Ключ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1. Перевозка тр-ра ТМН-10000/35 с базы Стрелковая, 21 на ПС 35 Дачная;</w:t>
              <w:br/>
              <w:t>2. На ПС 35 кВ Дачная демонтаж ТМ-6300/35;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lang w:val="ru-RU" w:eastAsia="ru-RU" w:bidi="ar-SA"/>
              </w:rPr>
              <w:t>3. Выполнить монтаж ТМН-10000/35:</w:t>
              <w:br/>
              <w:t>4. На ПС 35 кВ Дачная выполнить замену провода на заходах ВЛ 35 Надеждинская-Соловей ключ с отп. на ПС Дачная;</w:t>
              <w:br/>
              <w:t>5. Выполнить замену кабеля шинного моста 6кВ для увеличения пропускной способности до 1000А (10 метров);</w:t>
              <w:br/>
              <w:t>6. Выполнить замену датчиков тока типа КДТН VCS Etalon ТТ 600/5 на ТТ 1000/5;</w:t>
              <w:br/>
              <w:t xml:space="preserve">7. </w:t>
            </w:r>
            <w:r>
              <w:rPr>
                <w:rFonts w:eastAsia="Times New Roman" w:cs="Times New Roman"/>
                <w:b/>
                <w:bCs/>
                <w:i/>
                <w:color w:val="00000A"/>
                <w:sz w:val="24"/>
                <w:szCs w:val="24"/>
                <w:lang w:val="ru-RU" w:eastAsia="ru-RU" w:bidi="ar-SA"/>
              </w:rPr>
              <w:t>ПНР РЗА выполняются хоз. способом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4"/>
        <w:keepNext w:val="true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Style w:val="Style16"/>
          <w:b w:val="false"/>
          <w:b w:val="false"/>
          <w:i w:val="false"/>
          <w:i w:val="false"/>
          <w:iCs/>
          <w:sz w:val="24"/>
          <w:szCs w:val="24"/>
        </w:rPr>
      </w:pPr>
      <w:r>
        <w:rPr>
          <w:b w:val="false"/>
          <w:i w:val="false"/>
          <w:iCs/>
          <w:sz w:val="24"/>
          <w:szCs w:val="24"/>
        </w:rPr>
      </w:r>
    </w:p>
    <w:p>
      <w:pPr>
        <w:pStyle w:val="4"/>
        <w:numPr>
          <w:ilvl w:val="1"/>
          <w:numId w:val="1"/>
        </w:numPr>
        <w:spacing w:before="0" w:after="0"/>
        <w:ind w:left="0" w:hanging="0"/>
        <w:jc w:val="both"/>
        <w:rPr/>
      </w:pPr>
      <w:bookmarkStart w:id="8" w:name="_Toc54646402"/>
      <w:bookmarkStart w:id="9" w:name="_Toc50125126"/>
      <w:bookmarkStart w:id="10" w:name="_Hlk48209761_Копия_1"/>
      <w:bookmarkEnd w:id="9"/>
      <w:bookmarkEnd w:id="10"/>
      <w:r>
        <w:rPr/>
        <w:t>Иные требования и сведения общего характера</w:t>
      </w:r>
      <w:bookmarkEnd w:id="8"/>
      <w:r>
        <w:rPr>
          <w:lang w:val="ru-RU"/>
        </w:rPr>
        <w:t xml:space="preserve"> </w:t>
      </w:r>
    </w:p>
    <w:p>
      <w:pPr>
        <w:pStyle w:val="4"/>
        <w:numPr>
          <w:ilvl w:val="0"/>
          <w:numId w:val="0"/>
        </w:numPr>
        <w:spacing w:before="0" w:after="0"/>
        <w:ind w:left="0" w:firstLine="716"/>
        <w:jc w:val="both"/>
        <w:rPr>
          <w:b w:val="false"/>
          <w:b w:val="false"/>
        </w:rPr>
      </w:pPr>
      <w:r>
        <w:rPr>
          <w:b w:val="false"/>
        </w:rPr>
        <w:t>Подрядчик обязан во всех выпускаемых документах (рабоч</w:t>
      </w:r>
      <w:r>
        <w:rPr>
          <w:b w:val="false"/>
          <w:lang w:val="ru-RU"/>
        </w:rPr>
        <w:t>ая</w:t>
      </w:r>
      <w:r>
        <w:rPr>
          <w:b w:val="false"/>
        </w:rPr>
        <w:t xml:space="preserve"> документаци</w:t>
      </w:r>
      <w:r>
        <w:rPr>
          <w:b w:val="false"/>
          <w:lang w:val="ru-RU"/>
        </w:rPr>
        <w:t>я</w:t>
      </w:r>
      <w:r>
        <w:rPr>
          <w:b w:val="false"/>
        </w:rPr>
        <w:t>, локальные сметные расчёты, техническая документация, акты выполненных работ) сохранять единое наименование объекта.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16"/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1"/>
        <w:keepLines/>
        <w:numPr>
          <w:ilvl w:val="0"/>
          <w:numId w:val="1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1" w:name="_Toc54646403"/>
      <w:bookmarkStart w:id="12" w:name="_Toc51339693"/>
      <w:bookmarkEnd w:id="11"/>
      <w:bookmarkEnd w:id="12"/>
      <w:r>
        <w:rPr>
          <w:iCs/>
          <w:sz w:val="24"/>
          <w:szCs w:val="24"/>
        </w:rPr>
        <w:t>Требования к продукции</w:t>
      </w:r>
    </w:p>
    <w:p>
      <w:pPr>
        <w:pStyle w:val="4"/>
        <w:numPr>
          <w:ilvl w:val="1"/>
          <w:numId w:val="1"/>
        </w:numPr>
        <w:rPr/>
      </w:pPr>
      <w:bookmarkStart w:id="13" w:name="_Toc54646404"/>
      <w:r>
        <w:rPr/>
        <w:t xml:space="preserve">Требования к объемам и срокам </w:t>
      </w:r>
      <w:bookmarkEnd w:id="13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1"/>
        </w:numPr>
        <w:rPr/>
      </w:pPr>
      <w:bookmarkStart w:id="14" w:name="_Toc54646405"/>
      <w:bookmarkEnd w:id="14"/>
      <w:r>
        <w:rPr>
          <w:lang w:val="ru-RU"/>
        </w:rPr>
        <w:t>Требования к видам и объемам работ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6406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выполняемых работ</w:t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9"/>
        <w:gridCol w:w="5983"/>
        <w:gridCol w:w="1426"/>
        <w:gridCol w:w="1551"/>
      </w:tblGrid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5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Разработать рабочую документацию по реконструкции объекта с детализацией в объёме достаточном для обеспечения выполнения строительно-монтажных работ.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Ведомость основного комплекта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5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Производство строительно-монтажных, электротехническую часть и пусконаладочных и прочих работ, выполнить в соответствии с разработанной и согласованной Заказчиком рабочей документацией.</w:t>
            </w:r>
          </w:p>
        </w:tc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3"/>
        <w:numPr>
          <w:ilvl w:val="2"/>
          <w:numId w:val="1"/>
        </w:numPr>
        <w:rPr>
          <w:lang w:val="ru-RU"/>
        </w:rPr>
      </w:pPr>
      <w:bookmarkStart w:id="17" w:name="_Toc54646407"/>
      <w:bookmarkStart w:id="18" w:name="_Toc51339696"/>
      <w:r>
        <w:rPr>
          <w:lang w:val="ru-RU"/>
        </w:rPr>
        <w:t xml:space="preserve">Требования </w:t>
      </w:r>
      <w:bookmarkEnd w:id="17"/>
      <w:bookmarkEnd w:id="18"/>
      <w:r>
        <w:rPr>
          <w:lang w:val="ru-RU"/>
        </w:rPr>
        <w:t>к срокам выполнения работ</w:t>
      </w:r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54646408"/>
      <w:bookmarkStart w:id="20" w:name="_Toc51339697"/>
      <w:bookmarkStart w:id="21" w:name="_Toc5012512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1"/>
      <w:bookmarkEnd w:id="23"/>
      <w:r>
        <w:rPr>
          <w:sz w:val="24"/>
          <w:szCs w:val="24"/>
          <w:lang w:val="ru-RU"/>
        </w:rPr>
        <w:t>выполнения работ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2"/>
        <w:gridCol w:w="4260"/>
        <w:gridCol w:w="2269"/>
        <w:gridCol w:w="2974"/>
      </w:tblGrid>
      <w:tr>
        <w:trPr/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284" w:hRule="atLeast"/>
        </w:trPr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left w:w="23" w:type="dxa"/>
              <w:right w:w="28" w:type="dxa"/>
            </w:tcMar>
            <w:vAlign w:val="center"/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 – разработка рабочей документации по реконструкции объекта с детализацией чертежей в объёме достаточном для обеспечения выполнения строительно-монтажных работ.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30 календарных дней от даты заключения договора</w:t>
            </w:r>
          </w:p>
        </w:tc>
      </w:tr>
      <w:tr>
        <w:trPr/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 – Строительно-монтажные, электромонтажные и пусконаладочные работы.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4" w:name="_Toc46743510"/>
            <w:bookmarkEnd w:id="24"/>
            <w:r>
              <w:rPr>
                <w:sz w:val="24"/>
                <w:szCs w:val="24"/>
              </w:rPr>
              <w:t>в течении 90 календарных дней от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0"/>
          <w:numId w:val="0"/>
        </w:numPr>
        <w:spacing w:before="0" w:after="0"/>
        <w:ind w:left="0" w:hanging="0"/>
        <w:rPr/>
      </w:pPr>
      <w:r>
        <w:rPr/>
        <w:t>2.2.</w:t>
      </w:r>
      <w:bookmarkStart w:id="25" w:name="_Toc54646410"/>
      <w:bookmarkStart w:id="26" w:name="_Toc51339698"/>
      <w:r>
        <w:rPr/>
        <w:t xml:space="preserve">Требования к </w:t>
      </w:r>
      <w:r>
        <w:rPr>
          <w:lang w:val="ru-RU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rPr>
                                <w:rStyle w:val="Pagenumber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4"/>
                        <w:rPr>
                          <w:rStyle w:val="Pagenumber"/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lang w:val="ru-RU"/>
        </w:rPr>
        <w:t>качеству работ</w:t>
      </w:r>
    </w:p>
    <w:p>
      <w:pPr>
        <w:pStyle w:val="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работ</w:t>
      </w:r>
      <w:bookmarkEnd w:id="25"/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работ:</w:t>
      </w:r>
    </w:p>
    <w:p>
      <w:pPr>
        <w:pStyle w:val="Normal"/>
        <w:snapToGrid w:val="fals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поз. № 1 табл 2: </w:t>
      </w:r>
      <w:r>
        <w:rPr>
          <w:i/>
          <w:sz w:val="24"/>
          <w:szCs w:val="24"/>
          <w:u w:val="single"/>
        </w:rPr>
        <w:t>разработка рабочей документации по реконструкции ПС</w:t>
      </w:r>
      <w:r>
        <w:rPr>
          <w:b/>
          <w:bCs/>
          <w:i/>
          <w:sz w:val="24"/>
          <w:szCs w:val="24"/>
          <w:u w:val="single"/>
        </w:rPr>
        <w:t xml:space="preserve"> </w:t>
      </w:r>
    </w:p>
    <w:p>
      <w:pPr>
        <w:pStyle w:val="Normal"/>
        <w:snapToGrid w:val="false"/>
        <w:rPr>
          <w:rStyle w:val="Style16"/>
          <w:b w:val="false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поз. № 2 табл 2: </w:t>
      </w:r>
      <w:r>
        <w:rPr>
          <w:i/>
          <w:sz w:val="24"/>
          <w:szCs w:val="24"/>
          <w:u w:val="single"/>
        </w:rPr>
        <w:t>Строительно-монтажные и пусконаладочные работы.</w:t>
      </w:r>
    </w:p>
    <w:tbl>
      <w:tblPr>
        <w:tblStyle w:val="af"/>
        <w:tblW w:w="15168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770"/>
        <w:gridCol w:w="1772"/>
        <w:gridCol w:w="10887"/>
        <w:gridCol w:w="2"/>
        <w:gridCol w:w="1736"/>
      </w:tblGrid>
      <w:tr>
        <w:trPr>
          <w:trHeight w:val="1390" w:hRule="atLeast"/>
        </w:trPr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Подтверждение участником соответствия в виде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согласия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разработке рабочей документации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25" w:hRule="atLeast"/>
        </w:trPr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kern w:val="0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Разработать и согласовать с Заказчиком технические решения </w:t>
            </w:r>
            <w:r>
              <w:rPr>
                <w:rFonts w:eastAsia="Times New Roman" w:cs="Times New Roman"/>
                <w:i w:val="false"/>
                <w:iCs w:val="false"/>
                <w:color w:val="00000A"/>
                <w:kern w:val="0"/>
                <w:sz w:val="24"/>
                <w:szCs w:val="24"/>
                <w:lang w:val="ru-RU" w:eastAsia="ru-RU" w:bidi="ar-SA"/>
              </w:rPr>
              <w:t>по  реконструкции ПС 35/6 кВ Вираж и ПС 35/6кВ Дачная с заменой силовых трансформаторов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b/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2659" w:type="dxa"/>
            <w:gridSpan w:val="2"/>
            <w:tcBorders/>
            <w:shd w:color="auto"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строительно-монтажным и пусконаладочным работам по реконструкции ПС с заменой силовых трансформаторов</w:t>
            </w:r>
          </w:p>
        </w:tc>
        <w:tc>
          <w:tcPr>
            <w:tcW w:w="1738" w:type="dxa"/>
            <w:gridSpan w:val="2"/>
            <w:tcBorders/>
            <w:shd w:color="auto"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contextualSpacing/>
              <w:jc w:val="left"/>
              <w:rPr>
                <w:b/>
                <w:b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772" w:type="dxa"/>
            <w:tcBorders/>
            <w:shd w:color="auto"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Организация работ</w:t>
            </w:r>
          </w:p>
        </w:tc>
        <w:tc>
          <w:tcPr>
            <w:tcW w:w="10889" w:type="dxa"/>
            <w:gridSpan w:val="2"/>
            <w:tcBorders/>
            <w:shd w:color="auto"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Работы производятся в соответствии с согласованной с АО «ДРСК» «ПЭС» рабочей документацией с очередностью выполнения: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Подготовительные работы: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Выполнение организационно - технических мероприятий, обеспечивающих безопасное выполнение работ (назначение ответственного лица на объекте строительства, извещение заинтересованных организаций и сетедержателей о начале выполнения работ в подконтрольной зоне их объектов, разработка проекта производства работ (ППР) и получение всех необходимых согласований);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Согласование с заказчиком графика производства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Доставка техники к месту производства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Доставка материалов.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Строительно-монтажные работы выполнить в соответствии с согласованной Заказчиком рабочей документацией, в объёме данных ТТ.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Пусконаладочные работы выполнить в соответствии с согласованной Заказчиком рабочей документацией.</w:t>
            </w:r>
          </w:p>
        </w:tc>
        <w:tc>
          <w:tcPr>
            <w:tcW w:w="1736" w:type="dxa"/>
            <w:tcBorders/>
            <w:shd w:color="auto"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770" w:type="dxa"/>
            <w:vMerge w:val="restart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vMerge w:val="restart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технические требования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Обеспечить соблюдение требуемых габаритных расстояний от вновь монтируемого оборудования в соответствии с ПУЭ.</w:t>
            </w:r>
          </w:p>
        </w:tc>
        <w:tc>
          <w:tcPr>
            <w:tcW w:w="1736" w:type="dxa"/>
            <w:vMerge w:val="restart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417" w:hRule="atLeast"/>
        </w:trPr>
        <w:tc>
          <w:tcPr>
            <w:tcW w:w="770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Все применяемые металлоконструкции, расположенные на открытом воздухе должны быть защищены от коррозии методом горячего оцинкования, выполненного в заводских условиях.</w:t>
            </w:r>
          </w:p>
        </w:tc>
        <w:tc>
          <w:tcPr>
            <w:tcW w:w="1736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</w:tr>
      <w:tr>
        <w:trPr>
          <w:trHeight w:val="417" w:hRule="atLeast"/>
        </w:trPr>
        <w:tc>
          <w:tcPr>
            <w:tcW w:w="770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Поставка оборудования и материалов, за исключением оборудования и материалов поставки Заказчика, осуществляется Подрядчиком в соответствии с опросными листами и заказными спецификациями в составе рабочей документации.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Заказчиком осуществляется поставка ТН 35кВ.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Материалы и оборудование, закупаемые Заказчиком, передаются Подрядчику после визуального осмотра на складе с составлением акта (при необходимости с последующим вскрытием упаковки) по актам передачи оборудования в монтаж ОС-15 и накладной М-15.  Доставка на объект оборудования и материалов поставки Заказчика со склада или места хранения осуществляется Подрядчиком.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Подрядчик до заключения договоров поставки конструкций и материалов письменно согласовывает производителя, тип и марку оборудования с Заказчиком.</w:t>
            </w:r>
          </w:p>
        </w:tc>
        <w:tc>
          <w:tcPr>
            <w:tcW w:w="1736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</w:tr>
      <w:tr>
        <w:trPr>
          <w:trHeight w:val="51" w:hRule="atLeast"/>
        </w:trPr>
        <w:tc>
          <w:tcPr>
            <w:tcW w:w="770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Продукция и её комплектующие должны быть новой, не ранее 2025 г. выпуска, не использованной ранее</w:t>
            </w:r>
          </w:p>
        </w:tc>
        <w:tc>
          <w:tcPr>
            <w:tcW w:w="1736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770" w:type="dxa"/>
            <w:vMerge w:val="continue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Поставляемая Подрядчиком продукция должная соответствовать содержанию спецификаций, определенных рабочей документацией, включая указания производителя продукции. Тип и состав оборудования и материалов, закупаемых Подрядчиком, может быть изменен только в случае предварительного согласования с Заказчиком.</w:t>
            </w:r>
          </w:p>
        </w:tc>
        <w:tc>
          <w:tcPr>
            <w:tcW w:w="1736" w:type="dxa"/>
            <w:vMerge w:val="continue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Упаковка, транспортировка, условия и сроки хранения.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Style46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1. Продукция поставляется в оригинальной заводской упаковке, гарантирующей ее сохранность при транспортировке, перевалке, выгрузке средствами механизации и вручную.</w:t>
            </w:r>
          </w:p>
          <w:p>
            <w:pPr>
              <w:pStyle w:val="Style46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2. Упаковка, маркировка, временная антикоррозионная защита, транспортирование, условия и сроки хранения всех устройств, запасных частей и расходных материалов должны соответствовать требованиям, указанным в технических условиях изготовителя изделия и требованиям ГОСТ или МЭК. Порядок отгрузки, специальные требования к таре и упаковке должны быть определены в договоре на поставку материалов.</w:t>
            </w:r>
          </w:p>
          <w:p>
            <w:pPr>
              <w:pStyle w:val="Style46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3. Стоимость материалов включает стоимость доставки и погрузо-разгрузочные работы на складе или объекте (в соответствии с договором) получателя, а также затраты на транспортировку, разгрузку и такелаж на объекте.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Подрядчик несет полную ответственность за обеспечение хранения материалов в соответствии с требованиями завода-изготовителя, их осмотр. По требованию Заказчика обеспечивает ему допуск к материалам для их осмотра.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Сроки и очередность поставки материалов.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оборудования и материалов должна быть выполнена согласно графику поставки материалов, утвержденному Заказчиком и являющимся неотъемлемой частью договора. Изменение сроков поставки оборудования возможно по согласованию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технической и эксплуатационной документации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Подрядчиком продукция должна сопровождаться технической документацией (технический паспорт завода–изготовителя, инструкция по эксплуатации и монтажу, протоколы испытаний, свидетельства о поверке и т.п.) на русском языке, подготовленной в соответствии с ГОСТ Р 59853-2021 «Информационные технологии. Комплекс стандартов на автоматизированные системы», ГОСТ 34.201-2020 «Информационные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систем», ГОСТ 27300-87 «Информационно-измерительные системы. общие требования комплектность и правила составления эксплуатационной документации, ГОСТ 2.601-2019 Единая система конструкторской документации. Эксплуатационные документы», и подтверждаться сертификатами качества, сертификатами соответствия, сертификатами безопасности, пожарными сертификатами, гарантийными свидетельствами заводов-изготовителей.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предоставляется Заказчику в двух экземплярах - на бумажном носителе, в одном экземпляре - в электронном виде в формате PDF.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Контроль выполнения работ производится представителями Заказчика и/или лицом, осуществляющим технический надзор на строительной площадке, назначенными приказом по филиалу АО «ДРСК» «ПЭС». Контролируются: сроки выполнения работ, качество, объёмы, технология и номенклатура работ, обеспечение безопасных условий труда, сохранности оборудования, сооружений и устройств.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Представителям Заказчика должен быть обеспечен беспрепятственный доступ на строительную площадку в течение всего периода производства работ. Указания технического надзора Заказчика являются обязательными и подлежат беспрекословному выполнению.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При нарушении технологии производства работ, отступлений от проекта, ППР, требований ТУ, применении материалов, не соответствующих ГОСТам и ТУ, работы прекращаются по указанию лица, осуществляющего технический надзор, и устанавливается срок устранения нарушения.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2.4.</w:t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2.5.</w:t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Руководителем организации Подрядчика письменным указанием должно быть оформлено предоставление его работникам прав: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выдающего наряд, распоряжение;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ответственного производителя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производителя работ (наблюдающего);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члена бригады.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Обязательное выполнение персоналом действующих редакций правил по охране труда (правила безопасности) при эксплуатации электроустановок, правил пожарной безопасности, правил промышленной санитарии, правил устройства электроустановок.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обеспечивает выполнение работ в срок в соответствии с утверждённым договором графиком, по согласованной проектно-сметной документации на реконструкцию объекта в рамках данных технических требований с соблюдением действующих нормативно-технических документов регламентирующих строительную деятельность, перечисленных в приложении № 2, но не ограничивающихся данным перечнем.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завершении выполнения работ по каждому Этапу Работ, указанного в Календарном графике выполнения Работ, Подрядчик в течение 5 (пяти) рабочих дней представляет Заказчику подписанный со своей стороны в 2 (двух) экземплярах Акт освидетельствования выполненных работ по форме Приложения к проекту Договора, с приложением Приемо-сдаточной и Исполнительной документации в 3 (трех) экземплярах.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 Актам освидетельствования выполненных работ подрядной организацией прилагается комплект исполнительно-технической документации на предъявленные к приемке работы (акты на скрытые работы, исполнительные схемы, протоколы РЗА, паспорта на оборудование и конструкции, сертификаты соответствия на материалы) и фотоотчёт, подтверждающий фактическое исполнение по представленным для приемки выполненным работам.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завершении выполнения Работ в отношении каждого Объекта и готовности последнего к эксплуатации Подрядчик в течение 3 (трех) рабочих дней представляет Заказчику подписанные со своей стороны: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КС-2, Справку КС-3 в отношении каждого Объекта на весь объем выполненных работ по Объекту в 2 (двух) экземплярах;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КС-11 в 2 (двух) экземплярах;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 актам выполненных работ подрядной организацией прилагается комплект исполнительно-технической документации на предъявленные к приемке работы (акты на скрытые работы, исполнительные схемы, паспорта на оборудование и конструкции, сертификаты соответствия на материалы), фотоотчёт, подтверждающий фактическое исполнение по представленным для приемки актам выполненных работ (форма КС-2).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актами освидетельствования скрытых работ.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законченного строительством (реконструкцией) объекта осуществляется назначаемой Заказчиком приемочной комиссией в течение 10 дней с момента письменного уведомления Подрядчика о готовности объекта и оформляется «Актом приемки законченного строительством объекта» (КС-14, КС-11).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при предъявлении законченного строительством объекта приемочной комиссии предоставляет оформленный надлежащим образом полный пакет исполнительно-технической документации в составе: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комплект согласованной Заказчиком рабочей документации на проведение работ, предусмотренный договором подряда, с надписями о соответствии выполненных работ этой документации или внесенными в них изменениями, и подписями (заверенными печатью Подрядной организации), сделанными лицами, ответственными за производство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технические условия, инструкции, сертификаты, технические паспорта и другие документы, удостоверяющие качество оборудования, материалов, конструкций и деталей, примененных при производстве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акты об освидетельствовании скрытых работ и акты о промежуточной приемке отдельных ответственных конструкций; акты об индивидуальных и комплексных испытаниях смонтированного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ab/>
              <w:t>общий журнал работ, исполнительные съемки, другая документация, предусмотренная нормативными документами;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Обязательства подрядной организацией считаются выполненными после предоставления Заказчику полного пакета исполнительно-технической документации, предусмотренной действующими нормами.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Исполнительная документация оформляется в 3 экземплярах: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- 1 экземпляр передается во Владивостокский РЭС структурного подразделения «Южные ЭС» филиала «ПЭС»;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- 1 экземпляр в структурное подразделение «Южные ЭС» филиала «ПЭС» по акту приемки-передачи;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- 1 экземпляр в отдел капитального строительства и инвестиций филиала АО «ДРСК» «ПЭС» с подтверждающим документом, отражающим факт приемки исполнительной документации СП и РЭС.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стандартизации продукции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соответствовать требованиям действующих на территории Российской федерации стандартов, ГОСТ и ТУ.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Материалы должны соответствовать требованиям «Правил устройства электроустановок» (ПУЭ) (действующие издания) и требованиям стандартов МЭК и ГОСТ, в т.ч. ГОСТ 15543.1-89 «Изделия электротехнические. Общие требования в части стойкости к климатическим внешним воздействующим факторам».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63" w:hRule="atLeast"/>
        </w:trPr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Основные нормативно-технические документы, определяющие требования к рабочей документации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kern w:val="0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Перечень НТД указан в приложении № 2 к настоящим ТТ. Данный список НТД не является полным и окончательным. При проектировании необходимо руководствоваться последними редакциями нормативно-технических и законодательных документов РФ, необходимых и действующих на момент разработки проектной документации. В случае если какой-либо из указанных в настоящих ТТ ГОСТ или нормативный документ был отменен в связи с выпуском новой редакции стандарта, то необходимо применять ГОСТ или нормативный документ, принятый в его развитие. 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63" w:hRule="atLeast"/>
        </w:trPr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НТД при СМР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Перечень НТД указан в приложении № 2. Работы производятся в действующих электроустановках, вследствие чего Подрядчику необходимо проводить согласованные действия и мероприятия по охране труда согласно требованиям Правил по охране труда при эксплуатации электроустановок, утвержденных приказом № 903 от 15 декабря 2020 г. Министерства труда и социальной защиты РФ н; п.2. СО 34.04.181-2003 «Правила организации технического обслуживания и ремонта оборудования зданий и сооружений электростанций и сетей», а также по постановлению правительства РФ от 24.02.2009г. № 160 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процессе проведения строительных работ и после их завершения, собственными силами и в счет договорной цены Подрядчик обеспечивает соблюдение требований НТД: СП 48.13330.2019 по охране окружающей среды: свод правил организации строительства, ГОСТ Р 59053-2020 Охрана и рациональное использование вод, ГОСТ Р 59061-2020 Загрязнение атмосферного воздуха,  Федеральный закон № 7-ФЗ от 10.01.2002 «Об охране окружающей среды» в действующей редакции.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63" w:hRule="atLeast"/>
        </w:trPr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Подготовительные работы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Производство геодезических работ в процессе строительства, геодезический контроль точности геометрических параметров зданий (сооружений) входит в обязанности Подрядчика.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По результатам разработки рабочей документации Подрядчик самостоятельно обеспечивает вынос реперов геодезической разбивочной основы под строительство с оформлением актов в соответствии с требованиями нормативных документов по строительству, с участием ответственных представителей Заказчика и Подрядчика СМР.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3. Подрядчик осуществляет в установленном порядке временные присоединения коммуникаций на период выполнения работ на строительной площадке и присоединения вновь построенных коммуникаций в точках подключения в соответствии с проектом.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Точки и условия присоединения согласовывает с эксплуатирующими организациями Заказчик.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Подрядчик возводит все временные сооружения собственными силами за счет средств, предусмотренных на эти цели в сводном сметном расчете, и в соответствии с утвержденным Проектом организации строительства (ПОС).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выполнении строительно-монтажных работ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обеспечивает строгое соблюдение требований, содержащихся в проектно-сметной документации на строительство объекта и Техническом задании к Договору, в СНиП, СП, СанПин, технических регламентах и иных документах, регламентирующих строительную деятельность.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обеспечивает: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Производство работ в полном соответствии с проектно-сметной документацией, согласованными с Заказчиком проектом производства работ и календарным (сетевым) графиком строительства, строительными нормами и правилами;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Качество выполнения всех работ в соответствии с проектной документацией и действующими строительными нормами и техническими условиями;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Своевременное устранение недостатков и дефектов, выявленных при приемке работ и в течение гарантийного срока эксплуатации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Соблюдение при строительстве объекта необходимых мероприятий по технике безопасности, рациональному использованию территории, охране окружающей среды, зеленых насаждений и земли.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Отступления от проектных решений при выполнении строительно-монтажных работ возможны только после согласования с Заказчиком.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подрядной организации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качества на все конструктивные элементы и работы, предусмотренные в ТТ и выполняемые Подрядчиком на объекте, в том числе на используемые строительные конструкции, материалы и оборудование должны составлять 5(пять) лет с момента подписания КС-11, при условии соблюдения Заказчиком правил эксплуатации сданного в эксплуатацию объекта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265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1738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Подтверждение соответствия подрядчика установленным требованиям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должен являться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а) Осуществляющих строительство,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б) Осуществляющих подготовку проектной/рабочей документации,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в) В соответствии с Федеральным законом от 30.12.2021 № 447-ФЗ 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оценка соответствия уровня ответственности участника осуществляется по общедоступному ресурсу: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Национальное объединение изыскателей и проектировщиков НОПРИЗ - сервис «Единый реестр членов СРО» (http://nopriz.ru/nreesters/elektronnyy-reestr/);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Национальное объединение строителей НОСТРОЙ - сервис «Единый реестр членов СРО» (http://reestr.nostroy.ru/).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Данные из реестра членов СРО, формируемые на вышеуказанных ресурсах на дату окончания срока подачи заявок, установленную в Документации о закупке, должны включать в себя сведения об уровне ответственности участника: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компенсационному фонду возмещения вреда;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компенсационному фонду обеспечения договорных обязательств.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настоящей комплексной закупки, предметом которой в сочетании являются подготовка проектной/рабочей документации, строительство, оценка соответствия уровня ответственности участника по компенсационному фонду возмещения вреда осуществляться исходя из предложенной участником стоимости (включая налоги и сборы) каждого из указанных видов работ в отдельности, а по компенсационному фонду обеспечения договорных обязательств – исходя из предложенной участником цены заявки/оферты (включая налоги и сборы) по каждому из компенсационных фондов обеспечения договорных обязательств.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  <w:tr>
        <w:trPr/>
        <w:tc>
          <w:tcPr>
            <w:tcW w:w="770" w:type="dxa"/>
            <w:tcBorders/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772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Привлечение на субподряд</w:t>
            </w:r>
          </w:p>
        </w:tc>
        <w:tc>
          <w:tcPr>
            <w:tcW w:w="10889" w:type="dxa"/>
            <w:gridSpan w:val="2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Подрядчик имеет право привлечения субподрядчиков. При привлечении иных лиц, для выполнения работ по договору Подрядчик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Согласовать с Заказчиком субподрядчика, условия договора субподряда, устанавливающие сроки выполнения работ субподрядчиком, а также порядок расчетов Подрядчика с субподрядчиком;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Письменно предоставить перечень субподрядных организаций с указанием полных юридических и фактических адресов, привлекаемых на выполнение работ, подтвердить право ведения этих работ заверенными копиями СРО субподрядных организаций.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Заказчик вправе потребовать от Подрядчика замены субподрядчиков с мотивированным обоснованием такого требования, но независимо от этой полной ответственности перед Заказчиком за сроки и качество выполняемых субподрядчиками работ, а также иную ответственность за действия субподрядчиков, как и за свои собственные действия по исполнению договора подряда несет Подрядчик.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Подрядчик не вправе заключать с субподрядчиками договоры, общая стоимость которых будет превышать 50 процентов от цены настоящего Договора.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Подрядчик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сносности. Допущенные ошибки в производстве этих работ Подрядчик исправляет за свой счет.</w:t>
            </w:r>
          </w:p>
        </w:tc>
        <w:tc>
          <w:tcPr>
            <w:tcW w:w="1736" w:type="dxa"/>
            <w:tcBorders/>
            <w:shd w:fill="auto" w:val="clear"/>
            <w:tcMar>
              <w:left w:w="103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1"/>
        <w:keepLines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7" w:name="_Toc54646411"/>
      <w:bookmarkStart w:id="28" w:name="_Toc53393312"/>
      <w:r>
        <w:rPr>
          <w:sz w:val="24"/>
          <w:szCs w:val="24"/>
          <w:lang w:val="ru-RU"/>
        </w:rPr>
        <w:t>3.</w:t>
        <w:tab/>
        <w:t>Требования к документации по ценообразованию</w:t>
      </w:r>
      <w:bookmarkEnd w:id="27"/>
      <w:bookmarkEnd w:id="28"/>
      <w:r>
        <w:rPr>
          <w:sz w:val="24"/>
          <w:szCs w:val="24"/>
          <w:lang w:val="ru-RU"/>
        </w:rPr>
        <w:t xml:space="preserve"> на этапе закупки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Для обоснования стоимости заявки Участник должен представить Коммерческое предложение в соответствии с «Требованиями к ценообразованию при формировании Коммерческого предложения в составе заявки участника» Сметная документация в состав заявки Участника не включается.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"/>
        <w:numPr>
          <w:ilvl w:val="0"/>
          <w:numId w:val="0"/>
        </w:numPr>
        <w:ind w:lef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        </w:t>
      </w:r>
      <w:bookmarkStart w:id="29" w:name="_Toc54279845"/>
      <w:bookmarkStart w:id="30" w:name="_Toc54618152"/>
      <w:bookmarkStart w:id="31" w:name="_Toc54643138"/>
      <w:r>
        <w:rPr>
          <w:sz w:val="24"/>
          <w:szCs w:val="24"/>
        </w:rPr>
        <w:t>Требования к документации по ценообразованию на этапе заключения</w:t>
      </w:r>
      <w:r>
        <w:rPr>
          <w:sz w:val="24"/>
          <w:szCs w:val="24"/>
          <w:lang w:val="ru-RU"/>
        </w:rPr>
        <w:t xml:space="preserve"> (исполнения)</w:t>
      </w:r>
      <w:bookmarkEnd w:id="29"/>
      <w:bookmarkEnd w:id="30"/>
      <w:bookmarkEnd w:id="31"/>
      <w:r>
        <w:rPr>
          <w:sz w:val="24"/>
          <w:szCs w:val="24"/>
        </w:rPr>
        <w:t xml:space="preserve"> договора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  <w:lang w:val="x-none"/>
        </w:rPr>
      </w:pPr>
      <w:r>
        <w:rPr>
          <w:color w:val="000000" w:themeColor="text1"/>
          <w:sz w:val="24"/>
          <w:szCs w:val="24"/>
          <w:lang w:val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 Сметная документация составлена Заказчиком в рамках определения начальной (максимальной) цены договора и включается в состав договора с применением понижающего коэффициента, предложенного победителем закупочной процедуры.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4.2. Внесение изменений в сметную документацию Заказчика, кроме применения понижающего коэффициента в соответствии с п. 3, не допускается.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1"/>
        <w:keepLines/>
        <w:numPr>
          <w:ilvl w:val="0"/>
          <w:numId w:val="0"/>
        </w:numPr>
        <w:ind w:left="357" w:hanging="0"/>
        <w:jc w:val="center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5.  </w:t>
      </w:r>
      <w:bookmarkStart w:id="32" w:name="_Toc54646413"/>
      <w:bookmarkStart w:id="33" w:name="_Toc46743519"/>
      <w:bookmarkStart w:id="34" w:name="_Toc51339699"/>
      <w:bookmarkEnd w:id="32"/>
      <w:bookmarkEnd w:id="33"/>
      <w:bookmarkEnd w:id="34"/>
      <w:r>
        <w:rPr>
          <w:iCs/>
          <w:sz w:val="24"/>
          <w:szCs w:val="24"/>
        </w:rPr>
        <w:t>Приложения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№1: Требования к оформлению и составлению сметной документации на работы по строительству; </w:t>
      </w:r>
    </w:p>
    <w:p>
      <w:pPr>
        <w:pStyle w:val="Normal"/>
        <w:rPr/>
      </w:pPr>
      <w:r>
        <w:rPr>
          <w:i/>
          <w:sz w:val="24"/>
          <w:szCs w:val="24"/>
        </w:rPr>
        <w:t>Приложение №2: Перечень НТД.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275" w:leader="none"/>
        </w:tabs>
        <w:spacing w:before="0" w:after="0"/>
        <w:ind w:left="6" w:hanging="0"/>
        <w:contextualSpacing/>
        <w:rPr>
          <w:b/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eastAsia="Calibri"/>
          <w:b/>
          <w:b/>
          <w:i/>
          <w:i/>
          <w:color w:val="000000"/>
          <w:sz w:val="24"/>
          <w:u w:val="single"/>
        </w:rPr>
      </w:pPr>
      <w:r>
        <w:rPr>
          <w:rFonts w:eastAsia="Calibri"/>
          <w:b/>
          <w:i/>
          <w:color w:val="000000"/>
          <w:sz w:val="24"/>
          <w:u w:val="single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275" w:leader="none"/>
        </w:tabs>
        <w:spacing w:before="0" w:after="0"/>
        <w:ind w:left="6" w:hanging="0"/>
        <w:contextualSpacing/>
        <w:rPr>
          <w:b/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275" w:leader="none"/>
        </w:tabs>
        <w:spacing w:before="0" w:after="0"/>
        <w:ind w:left="6" w:hanging="0"/>
        <w:contextualSpacing/>
        <w:rPr>
          <w:b/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275" w:leader="none"/>
        </w:tabs>
        <w:spacing w:before="0" w:after="0"/>
        <w:ind w:left="6" w:hanging="0"/>
        <w:contextualSpacing/>
        <w:rPr>
          <w:b/>
          <w:b/>
          <w:i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275" w:leader="none"/>
        </w:tabs>
        <w:spacing w:before="0" w:after="0"/>
        <w:ind w:left="6" w:hanging="0"/>
        <w:contextualSpacing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Garamond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i/>
      <w:shd w:fill="FFFF99" w:val="clear"/>
    </w:rPr>
  </w:style>
  <w:style w:type="character" w:styleId="Style17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semiHidden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23">
    <w:name w:val="Нумерация строк"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5">
    <w:name w:val="Body Text"/>
    <w:basedOn w:val="Normal"/>
    <w:link w:val="Style6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2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0"/>
    <w:rsid w:val="0076353a"/>
    <w:pPr>
      <w:suppressLineNumbers/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5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6">
    <w:name w:val="Footer"/>
    <w:basedOn w:val="Normal"/>
    <w:rsid w:val="0076353a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8" w:customStyle="1">
    <w:name w:val="Раздел регламента"/>
    <w:basedOn w:val="Normal"/>
    <w:qFormat/>
    <w:rsid w:val="00e228fa"/>
    <w:pPr/>
    <w:rPr/>
  </w:style>
  <w:style w:type="paragraph" w:styleId="Style3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1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2">
    <w:name w:val="Index Heading"/>
    <w:basedOn w:val="Style24"/>
    <w:pPr/>
    <w:rPr/>
  </w:style>
  <w:style w:type="paragraph" w:styleId="Style43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8" w:customStyle="1">
    <w:name w:val="Подподпункт"/>
    <w:basedOn w:val="Style37"/>
    <w:link w:val="Style9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9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0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>
    <w:name w:val="Endnote Symbol"/>
    <w:basedOn w:val="Normal"/>
    <w:link w:val="Style12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681F-D1DD-43A3-882C-279282C9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Application>AlterOffice/3.2.9.1$Windows_X86_64 LibreOffice_project/f6fcdc9ef8f5642eaaec34925899f1250a32c141</Application>
  <AppVersion>15.0000</AppVersion>
  <Pages>13</Pages>
  <Words>3070</Words>
  <Characters>22016</Characters>
  <CharactersWithSpaces>24839</CharactersWithSpaces>
  <Paragraphs>268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2023-01-25T00:31:00Z</dcterms:created>
  <dc:creator>Быстров Олег Геннадьевич</dc:creator>
  <dc:description/>
  <dc:language>ru-RU</dc:language>
  <cp:lastModifiedBy/>
  <cp:lastPrinted>2023-01-25T04:41:00Z</cp:lastPrinted>
  <dcterms:modified xsi:type="dcterms:W3CDTF">2026-06-25T11:43:52Z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