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</w:r>
      <w:bookmarkStart w:id="0" w:name="_Toc75446582"/>
      <w:bookmarkStart w:id="1" w:name="_Toc75446582"/>
      <w:bookmarkEnd w:id="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jc w:val="center"/>
        <w:rPr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ОКПД2 </w:t>
      </w:r>
      <w:r>
        <w:rPr>
          <w:rFonts w:eastAsia="Times New Roman" w:cs="Times New Roman"/>
          <w:b w:val="false"/>
          <w:bCs/>
          <w:color w:val="000000"/>
          <w:spacing w:val="-6"/>
          <w:szCs w:val="24"/>
          <w:lang w:val="ru-RU"/>
        </w:rPr>
        <w:t>08.12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Поставка инертных материалов для выполнения работ на Саяно-Шушенской ГЭС</w:t>
      </w:r>
    </w:p>
    <w:p>
      <w:pPr>
        <w:sectPr>
          <w:type w:val="nextPage"/>
          <w:pgSz w:w="11906" w:h="16838"/>
          <w:pgMar w:left="1276" w:right="707" w:gutter="0" w:header="0" w:top="426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Cs w:val="24"/>
        </w:rPr>
      </w:pPr>
      <w:r>
        <w:rPr>
          <w:szCs w:val="24"/>
        </w:rPr>
        <w:t>(Лот № )</w:t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2" w:name="_Toc46743506"/>
      <w:bookmarkStart w:id="3" w:name="_Toc75446568"/>
      <w:r>
        <w:rPr/>
        <w:t>Наименование закупаемой продукции</w:t>
      </w:r>
      <w:bookmarkEnd w:id="2"/>
      <w:bookmarkEnd w:id="3"/>
    </w:p>
    <w:p>
      <w:pPr>
        <w:pStyle w:val="Heading4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spacing w:val="-6"/>
          <w:szCs w:val="24"/>
        </w:rPr>
        <w:tab/>
      </w:r>
      <w:r>
        <w:rPr>
          <w:rFonts w:eastAsia="Times New Roman" w:cs="Times New Roman"/>
          <w:b w:val="false"/>
          <w:bCs/>
          <w:color w:val="000000"/>
          <w:spacing w:val="-6"/>
          <w:szCs w:val="24"/>
        </w:rPr>
        <w:t xml:space="preserve">ОКПД2 </w:t>
      </w:r>
      <w:r>
        <w:rPr>
          <w:rFonts w:eastAsia="Times New Roman" w:cs="Times New Roman"/>
          <w:b w:val="false"/>
          <w:bCs/>
          <w:color w:val="000000"/>
          <w:spacing w:val="-6"/>
          <w:szCs w:val="24"/>
          <w:lang w:val="ru-RU"/>
        </w:rPr>
        <w:t>08.12</w:t>
      </w:r>
      <w:r>
        <w:rPr>
          <w:rFonts w:eastAsia="Times New Roman" w:cs="Times New Roman"/>
          <w:b w:val="false"/>
          <w:bCs/>
          <w:color w:val="000000"/>
          <w:spacing w:val="-6"/>
          <w:szCs w:val="24"/>
        </w:rPr>
        <w:t xml:space="preserve"> Поставка инертных материалов для выполнения работ на Саяно-Шушенской ГЭС</w:t>
      </w:r>
      <w:r>
        <w:rPr>
          <w:b w:val="false"/>
          <w:bCs w:val="false"/>
          <w:szCs w:val="24"/>
        </w:rPr>
        <w:t xml:space="preserve"> </w:t>
      </w:r>
      <w:r>
        <w:rPr>
          <w:rFonts w:cs="Times New Roman"/>
          <w:b w:val="false"/>
          <w:bCs w:val="false"/>
          <w:szCs w:val="24"/>
        </w:rPr>
        <w:t>(далее – продукция)</w:t>
      </w:r>
      <w:bookmarkStart w:id="4" w:name="_Toc75446569"/>
      <w:r>
        <w:rPr>
          <w:b w:val="false"/>
          <w:bCs w:val="false"/>
        </w:rPr>
        <w:t>.</w:t>
      </w:r>
    </w:p>
    <w:p>
      <w:pPr>
        <w:pStyle w:val="Normal"/>
        <w:ind w:firstLine="419"/>
        <w:rPr/>
      </w:pPr>
      <w:r>
        <w:rPr/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  <w:bookmarkEnd w:id="4"/>
      <w:r>
        <w:rPr/>
        <w:t xml:space="preserve"> 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b w:val="false"/>
          <w:bCs/>
          <w:i w:val="false"/>
          <w:color w:val="000000"/>
          <w:szCs w:val="24"/>
          <w:shd w:fill="FFFFFF" w:val="clear"/>
        </w:rPr>
        <w:t>Исполнение доходного договора:</w:t>
      </w:r>
    </w:p>
    <w:p>
      <w:pPr>
        <w:pStyle w:val="BodyText21"/>
        <w:rPr/>
      </w:pPr>
      <w:r>
        <w:rPr>
          <w:rStyle w:val="Style"/>
          <w:rFonts w:ascii="Times New Roman;serif" w:hAnsi="Times New Roman;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 xml:space="preserve">- </w:t>
      </w:r>
      <w:r>
        <w:rPr>
          <w:rStyle w:val="Style"/>
          <w:rFonts w:ascii="Times New Roman;serif" w:hAnsi="Times New Roman;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ТПИР_ПРОЕКТ_ ЦОД СШГЭС Строительство Центра обработки данных в производственном помещении филиала ПАО «РусГидро» – «СШГЭС».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rPr>
          <w:caps/>
          <w:lang w:val="ru-RU"/>
        </w:rPr>
      </w:pPr>
      <w:bookmarkStart w:id="6" w:name="_Toc51339693"/>
      <w:bookmarkStart w:id="7" w:name="_Toc75446573"/>
      <w:r>
        <w:rPr/>
        <w:t>Требования к продукции</w:t>
      </w:r>
      <w:bookmarkEnd w:id="6"/>
      <w:bookmarkEnd w:id="7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1"/>
        </w:numPr>
        <w:ind w:left="0" w:hanging="0"/>
        <w:rPr/>
      </w:pPr>
      <w:bookmarkStart w:id="9" w:name="_Toc75446575"/>
      <w:r>
        <w:rPr/>
        <w:t>Перечень и объем закупаемой продукции</w:t>
      </w:r>
      <w:bookmarkEnd w:id="9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10" w:name="_Toc75446578"/>
      <w:bookmarkStart w:id="11" w:name="_Toc75446576"/>
      <w:bookmarkStart w:id="12" w:name="_Toc51339695"/>
      <w:r>
        <w:rPr>
          <w:szCs w:val="24"/>
        </w:rPr>
        <w:t xml:space="preserve">Таблица 1.1 Перечень </w:t>
      </w:r>
      <w:bookmarkEnd w:id="12"/>
      <w:r>
        <w:rPr>
          <w:szCs w:val="24"/>
        </w:rPr>
        <w:t>и объем закупаемой продукци</w:t>
      </w:r>
      <w:bookmarkEnd w:id="11"/>
      <w:r>
        <w:rPr>
          <w:szCs w:val="24"/>
        </w:rPr>
        <w:t>и</w:t>
      </w:r>
    </w:p>
    <w:tbl>
      <w:tblPr>
        <w:tblW w:w="95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0"/>
        <w:gridCol w:w="5790"/>
        <w:gridCol w:w="790"/>
        <w:gridCol w:w="2104"/>
      </w:tblGrid>
      <w:tr>
        <w:trPr>
          <w:trHeight w:val="56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Песок природный для строительных работ II класс, мелкий фракции 2,5-5 мм 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16,72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Отсев щебня фр. 0-5 мм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ind w:left="0" w:hanging="0"/>
        <w:rPr/>
      </w:pPr>
      <w:bookmarkStart w:id="13" w:name="_Toc51339696"/>
      <w:r>
        <w:rPr/>
        <w:t xml:space="preserve">Требования </w:t>
      </w:r>
      <w:bookmarkEnd w:id="13"/>
      <w:r>
        <w:rPr/>
        <w:t xml:space="preserve">к срокам поставки продукции </w:t>
      </w:r>
      <w:bookmarkEnd w:id="10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szCs w:val="24"/>
          <w:lang w:eastAsia="x-none"/>
        </w:rPr>
      </w:pPr>
      <w:bookmarkStart w:id="14" w:name="_Toc75446579"/>
      <w:bookmarkStart w:id="15" w:name="_Toc50125127"/>
      <w:bookmarkStart w:id="16" w:name="_Toc51339697"/>
      <w:r>
        <w:rPr>
          <w:szCs w:val="24"/>
          <w:lang w:eastAsia="x-none"/>
        </w:rPr>
        <w:t xml:space="preserve">Таблица 1.2 </w:t>
      </w:r>
      <w:bookmarkStart w:id="17" w:name="_Hlk50465284"/>
      <w:r>
        <w:rPr>
          <w:szCs w:val="24"/>
          <w:lang w:eastAsia="x-none"/>
        </w:rPr>
        <w:t xml:space="preserve">Требования по срокам </w:t>
      </w:r>
      <w:bookmarkEnd w:id="15"/>
      <w:bookmarkEnd w:id="16"/>
      <w:bookmarkEnd w:id="17"/>
      <w:r>
        <w:rPr>
          <w:szCs w:val="24"/>
          <w:lang w:eastAsia="x-none"/>
        </w:rPr>
        <w:t>поставки продукции</w:t>
      </w:r>
      <w:bookmarkEnd w:id="14"/>
      <w:r>
        <w:rPr>
          <w:szCs w:val="24"/>
          <w:lang w:eastAsia="x-none"/>
        </w:rPr>
        <w:t xml:space="preserve"> </w:t>
      </w:r>
    </w:p>
    <w:p>
      <w:pPr>
        <w:pStyle w:val="Normal"/>
        <w:rPr>
          <w:szCs w:val="24"/>
          <w:lang w:eastAsia="x-none"/>
        </w:rPr>
      </w:pPr>
      <w:r>
        <w:rPr>
          <w:szCs w:val="24"/>
          <w:lang w:eastAsia="x-none"/>
        </w:rPr>
      </w:r>
    </w:p>
    <w:tbl>
      <w:tblPr>
        <w:tblW w:w="98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4038"/>
        <w:gridCol w:w="2375"/>
        <w:gridCol w:w="2549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/>
                <w:color w:val="000000"/>
                <w:spacing w:val="-6"/>
                <w:szCs w:val="24"/>
              </w:rPr>
              <w:t xml:space="preserve">ОКПД2 </w:t>
            </w:r>
            <w:r>
              <w:rPr>
                <w:rFonts w:eastAsia="Times New Roman" w:cs="Times New Roman"/>
                <w:b w:val="false"/>
                <w:bCs/>
                <w:color w:val="000000"/>
                <w:spacing w:val="-6"/>
                <w:szCs w:val="24"/>
                <w:lang w:val="ru-RU"/>
              </w:rPr>
              <w:t>08.12</w:t>
            </w:r>
            <w:r>
              <w:rPr>
                <w:rFonts w:eastAsia="Times New Roman" w:cs="Times New Roman"/>
                <w:b w:val="false"/>
                <w:bCs/>
                <w:color w:val="000000"/>
                <w:spacing w:val="-6"/>
                <w:szCs w:val="24"/>
              </w:rPr>
              <w:t xml:space="preserve"> Поставка инертных материалов для выполнения работ на Саяно-Шушенской ГЭС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даты подписания договора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cs="Times New Roman"/>
                <w:iCs/>
                <w:color w:val="auto"/>
                <w:szCs w:val="24"/>
              </w:rPr>
              <w:t xml:space="preserve">До </w:t>
            </w:r>
            <w:r>
              <w:rPr>
                <w:rFonts w:cs="Times New Roman"/>
                <w:iCs/>
                <w:color w:val="auto"/>
                <w:szCs w:val="24"/>
                <w:lang w:val="en-US"/>
              </w:rPr>
              <w:t>31.12.2026</w:t>
            </w:r>
            <w:r>
              <w:rPr>
                <w:rFonts w:cs="Times New Roman"/>
                <w:iCs/>
                <w:color w:val="auto"/>
                <w:szCs w:val="24"/>
              </w:rPr>
              <w:t xml:space="preserve"> (по заявкам, </w:t>
            </w:r>
            <w:r>
              <w:rPr>
                <w:rFonts w:cs="Times New Roman"/>
                <w:color w:val="auto"/>
                <w:szCs w:val="24"/>
              </w:rPr>
              <w:t>заявки подаются за два дня до фактической даты поставки)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276" w:right="707" w:gutter="0" w:header="0" w:top="911" w:footer="788" w:bottom="1213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jc w:val="both"/>
        <w:rPr>
          <w:iCs/>
        </w:rPr>
      </w:pPr>
      <w:r>
        <w:rPr>
          <w:iCs/>
        </w:rPr>
        <w:t>* Конкретная дата установлена исходя из требований доходного договора указанного в пункте 1.2. ТТ</w:t>
      </w:r>
    </w:p>
    <w:p>
      <w:pPr>
        <w:pStyle w:val="Normal"/>
        <w:rPr>
          <w:szCs w:val="24"/>
          <w:lang w:eastAsia="x-none"/>
        </w:rPr>
      </w:pPr>
      <w:r>
        <w:rPr>
          <w:szCs w:val="24"/>
          <w:lang w:eastAsia="x-none"/>
        </w:rPr>
        <w:t>Таблица 3. Требования к продукции</w:t>
      </w:r>
    </w:p>
    <w:tbl>
      <w:tblPr>
        <w:tblW w:w="14850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7"/>
        <w:gridCol w:w="2731"/>
        <w:gridCol w:w="1531"/>
        <w:gridCol w:w="3239"/>
        <w:gridCol w:w="3175"/>
        <w:gridCol w:w="3337"/>
      </w:tblGrid>
      <w:tr>
        <w:trPr>
          <w:trHeight w:val="504" w:hRule="atLeast"/>
        </w:trPr>
        <w:tc>
          <w:tcPr>
            <w:tcW w:w="148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Наименование продукции (позиции № 1.1.-1.2. Таблицы 1.1): ОКПД2 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24"/>
                <w:szCs w:val="24"/>
                <w:lang w:val="ru-RU"/>
              </w:rPr>
              <w:t>08.12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Поставка инертных материалов для выполнения работ на Саяно-Шушенской ГЭС </w:t>
            </w:r>
          </w:p>
        </w:tc>
      </w:tr>
      <w:tr>
        <w:trPr>
          <w:trHeight w:val="739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62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Требование </w:t>
            </w:r>
          </w:p>
        </w:tc>
        <w:tc>
          <w:tcPr>
            <w:tcW w:w="3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Соответствие стандартам</w:t>
            </w:r>
          </w:p>
        </w:tc>
      </w:tr>
      <w:tr>
        <w:trPr>
          <w:trHeight w:val="144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26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Песок природный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строительных работ</w:t>
            </w:r>
          </w:p>
        </w:tc>
        <w:tc>
          <w:tcPr>
            <w:tcW w:w="33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ГОСТ 8736-2014</w:t>
            </w:r>
          </w:p>
        </w:tc>
      </w:tr>
      <w:tr>
        <w:trPr>
          <w:trHeight w:val="144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33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Фракция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мм</w:t>
            </w:r>
          </w:p>
        </w:tc>
        <w:tc>
          <w:tcPr>
            <w:tcW w:w="333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8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26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Отсев 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щеб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ень</w:t>
            </w:r>
          </w:p>
        </w:tc>
        <w:tc>
          <w:tcPr>
            <w:tcW w:w="333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/>
            </w:pPr>
            <w:r>
              <w:rPr>
                <w:rStyle w:val="Strong"/>
                <w:rFonts w:ascii="Times New Roman" w:hAnsi="Times New Roman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ГОСТ 31424-2010</w:t>
            </w:r>
          </w:p>
        </w:tc>
      </w:tr>
      <w:tr>
        <w:trPr>
          <w:trHeight w:val="288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Фракция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5мм</w:t>
            </w:r>
          </w:p>
        </w:tc>
        <w:tc>
          <w:tcPr>
            <w:tcW w:w="333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18" w:name="_GoBack"/>
            <w:bookmarkEnd w:id="18"/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0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Место нахождения</w:t>
            </w:r>
          </w:p>
        </w:tc>
        <w:tc>
          <w:tcPr>
            <w:tcW w:w="1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655619, Республика Хакасия, г. Саяногорск, рп. Черемушки, д. 103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Приемка </w:t>
            </w:r>
          </w:p>
        </w:tc>
        <w:tc>
          <w:tcPr>
            <w:tcW w:w="1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Приемка  осуществляется только в рабочие дни с 9-00 до 11-00 и с 13-00 до 16-00.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40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0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Сроки гарантии</w:t>
            </w:r>
          </w:p>
        </w:tc>
        <w:tc>
          <w:tcPr>
            <w:tcW w:w="1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 xml:space="preserve">равный 12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двенадцати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)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 xml:space="preserve">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0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1128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унифицированной формы ТОРГ-12(УПД) в 2 экз.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Сертификат качества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Технический паспорт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Инструкция по эксплуатации (монтажу и т.п.)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Упаковочный лист на Продукцию (каждую партию отгруженной Продукции)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Сертификат о происхождении Продукции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Обязательные первичные документы: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- 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экз. или Транспортную накладную ((для учета товарно-материальных ценностей и расчетов за их перевозки) по форме согласно Приложению 4 к Правилам перевозки грузов автомобильным транспортом (в ред. Постановления Правительства РФ от 21.12.2020 № 2200);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- Товарную накладную по форме ТОРГ-12 или Универсальный передаточный документ (УПД) с обязательным указанием номера и даты Заявки-Спецификации.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0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40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736" w:gutter="0" w:header="0" w:top="407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  <w:tab w:val="left" w:pos="709" w:leader="none"/>
      </w:tabs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 w:customStyle="1">
    <w:name w:val="Strong1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7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Style18" w:customStyle="1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Pr/>
  </w:style>
  <w:style w:type="character" w:styleId="Extended-textshort" w:customStyle="1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 w:customStyle="1">
    <w:name w:val="product_code"/>
    <w:qFormat/>
    <w:rPr/>
  </w:style>
  <w:style w:type="character" w:styleId="Add-data-value" w:customStyle="1">
    <w:name w:val="add-data-value"/>
    <w:basedOn w:val="DefaultParagraphFont"/>
    <w:qFormat/>
    <w:rPr/>
  </w:style>
  <w:style w:type="character" w:styleId="Extendedtext-short" w:customStyle="1">
    <w:name w:val="extendedtext-short"/>
    <w:qFormat/>
    <w:rPr/>
  </w:style>
  <w:style w:type="character" w:styleId="Style19" w:customStyle="1">
    <w:name w:val="Символ нумерации"/>
    <w:qFormat/>
    <w:rPr/>
  </w:style>
  <w:style w:type="character" w:styleId="Strong2" w:customStyle="1">
    <w:name w:val="Strong2"/>
    <w:qFormat/>
    <w:rPr>
      <w:b/>
      <w:bCs/>
    </w:rPr>
  </w:style>
  <w:style w:type="character" w:styleId="Strong3">
    <w:name w:val="Strong3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pPr>
      <w:widowControl w:val="false"/>
      <w:suppressAutoHyphens w:val="true"/>
      <w:overflowPunct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Style44">
    <w:name w:val="Содержимое врезки"/>
    <w:basedOn w:val="Normal"/>
    <w:qFormat/>
    <w:pPr/>
    <w:rPr/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12" w:customStyle="1">
    <w:name w:val="Стиль2"/>
    <w:qFormat/>
  </w:style>
  <w:style w:type="numbering" w:styleId="112" w:customStyle="1">
    <w:name w:val="Нет списка1"/>
    <w:qFormat/>
  </w:style>
  <w:style w:type="numbering" w:styleId="23492493731" w:customStyle="1">
    <w:name w:val="23492493731"/>
    <w:qFormat/>
  </w:style>
  <w:style w:type="numbering" w:styleId="18125164451">
    <w:name w:val="18125164451"/>
    <w:qFormat/>
  </w:style>
  <w:style w:type="numbering" w:styleId="16387065501">
    <w:name w:val="16387065501"/>
    <w:qFormat/>
  </w:style>
  <w:style w:type="numbering" w:styleId="33969122921">
    <w:name w:val="33969122921"/>
    <w:qFormat/>
  </w:style>
  <w:style w:type="numbering" w:styleId="19571001201">
    <w:name w:val="195710012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AlterOffice/3.4.0.9$Linux_X86_64 LibreOffice_project/b8daf9e823b1a5463a2f48435ddc2e8696e7d4fc</Application>
  <AppVersion>15.0000</AppVersion>
  <Pages>4</Pages>
  <Words>606</Words>
  <Characters>4051</Characters>
  <CharactersWithSpaces>4560</CharactersWithSpaces>
  <Paragraphs>105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2026-04-28T08:37:00Z</dcterms:created>
  <dc:creator>Кочетов Сергей Владимирович</dc:creator>
  <dc:description/>
  <dc:language>ru-RU</dc:language>
  <cp:lastModifiedBy>kochetovsv@corp.gidroogk.com</cp:lastModifiedBy>
  <cp:lastPrinted>2023-05-16T09:29:00Z</cp:lastPrinted>
  <dcterms:modified xsi:type="dcterms:W3CDTF">2026-06-26T10:18:40Z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