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67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lang w:eastAsia="x-none"/>
        </w:rPr>
        <w:t>68.20.11.</w:t>
      </w:r>
      <w:r>
        <w:rPr>
          <w:rFonts w:eastAsia="Calibri"/>
          <w:lang w:eastAsia="x-none"/>
        </w:rPr>
        <w:t>000</w:t>
      </w:r>
      <w:r>
        <w:rPr>
          <w:rFonts w:eastAsia="Calibri"/>
          <w:lang w:eastAsia="x-none"/>
        </w:rPr>
        <w:t xml:space="preserve"> Услуги по сдаче в аренду (внаем) собственных или арендованных жилых помещений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left="4188" w:hanging="0"/>
            <w:rPr>
              <w:color w:val="auto"/>
              <w:highlight w:val="none"/>
              <w:shd w:fill="auto" w:val="clear"/>
            </w:rPr>
          </w:pPr>
          <w:r>
            <w:rPr>
              <w:rFonts w:ascii="Times New Roman" w:hAnsi="Times New Roman"/>
              <w:color w:val="000000"/>
              <w:sz w:val="24"/>
              <w:szCs w:val="24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sz w:val="24"/>
              <w:shd w:fill="auto" w:val="clear"/>
              <w:szCs w:val="24"/>
              <w:vanish w:val="false"/>
              <w:rFonts w:eastAsia="Calibri"/>
              <w:color w:val="000000"/>
            </w:rPr>
            <w:instrText xml:space="preserve"> TOC \z \o "1-3" \u \h</w:instrText>
          </w:r>
          <w:r>
            <w:rPr>
              <w:webHidden/>
              <w:rStyle w:val="Style17"/>
              <w:sz w:val="24"/>
              <w:shd w:fill="auto" w:val="clear"/>
              <w:szCs w:val="24"/>
              <w:vanish w:val="false"/>
              <w:rFonts w:eastAsia="Calibri"/>
              <w:color w:val="000000"/>
            </w:rPr>
            <w:fldChar w:fldCharType="separate"/>
          </w:r>
          <w:hyperlink w:anchor="_Toc157772671">
            <w:r>
              <w:rPr>
                <w:webHidden/>
                <w:rStyle w:val="Style17"/>
                <w:rFonts w:eastAsia="Calibri"/>
                <w:vanish w:val="false"/>
                <w:color w:val="000000"/>
                <w:sz w:val="24"/>
                <w:szCs w:val="24"/>
                <w:shd w:fill="auto" w:val="clear"/>
              </w:rPr>
              <w:t>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ab/>
            </w:r>
            <w:r>
              <w:rPr>
                <w:rStyle w:val="Style17"/>
                <w:rFonts w:eastAsia="Calibri"/>
                <w:color w:val="000000"/>
                <w:sz w:val="24"/>
                <w:szCs w:val="24"/>
                <w:shd w:fill="auto" w:val="clear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color w:val="000000"/>
                <w:sz w:val="24"/>
                <w:szCs w:val="24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2">
            <w:r>
              <w:rPr>
                <w:webHidden/>
                <w:rStyle w:val="Style17"/>
                <w:rFonts w:eastAsia="Calibri"/>
                <w:iCs/>
                <w:vanish w:val="false"/>
                <w:color w:val="000000"/>
                <w:sz w:val="24"/>
                <w:szCs w:val="24"/>
                <w:shd w:fill="auto" w:val="clear"/>
              </w:rPr>
              <w:t>1.1.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color w:val="000000"/>
                <w:sz w:val="24"/>
                <w:szCs w:val="24"/>
                <w:shd w:fill="auto" w:val="clear"/>
              </w:rPr>
              <w:tab/>
            </w:r>
            <w:r>
              <w:rPr>
                <w:rStyle w:val="Style17"/>
                <w:rFonts w:eastAsia="Calibri"/>
                <w:color w:val="000000"/>
                <w:sz w:val="24"/>
                <w:szCs w:val="24"/>
                <w:shd w:fill="auto" w:val="clear"/>
              </w:rPr>
              <w:t>Обозначения и сокращен</w:t>
            </w:r>
            <w:r>
              <w:rPr>
                <w:rStyle w:val="Style17"/>
                <w:rFonts w:eastAsia="Calibri"/>
                <w:color w:val="auto"/>
                <w:sz w:val="24"/>
                <w:szCs w:val="24"/>
              </w:rPr>
              <w:t>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3">
            <w:r>
              <w:rPr>
                <w:webHidden/>
                <w:rStyle w:val="Style17"/>
                <w:rFonts w:eastAsia="Calibri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7"/>
                <w:rFonts w:eastAsia="Calibri"/>
                <w:sz w:val="24"/>
                <w:szCs w:val="2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4">
            <w:r>
              <w:rPr>
                <w:webHidden/>
                <w:rStyle w:val="Style17"/>
                <w:rFonts w:eastAsia="Calibri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Цель аренды 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rFonts w:eastAsia="" w:eastAsiaTheme="minorEastAsia"/>
              <w:sz w:val="24"/>
              <w:szCs w:val="24"/>
            </w:rPr>
            <w:t xml:space="preserve">1.4.    </w:t>
          </w:r>
          <w:r>
            <w:rPr>
              <w:rFonts w:eastAsia="" w:eastAsiaTheme="minorEastAsia"/>
              <w:b/>
              <w:sz w:val="24"/>
              <w:szCs w:val="24"/>
            </w:rPr>
            <w:t>Существующее положение</w:t>
          </w:r>
          <w:r>
            <w:rPr>
              <w:rFonts w:eastAsia="" w:eastAsiaTheme="minorEastAsia"/>
              <w:sz w:val="24"/>
              <w:szCs w:val="24"/>
            </w:rPr>
            <w:t>…………..………………………………………………………..4</w:t>
          </w:r>
        </w:p>
        <w:p>
          <w:pPr>
            <w:pStyle w:val="TOC3"/>
            <w:rPr/>
          </w:pPr>
          <w:hyperlink w:anchor="_Toc157772675">
            <w:r>
              <w:rPr>
                <w:webHidden/>
                <w:rStyle w:val="Style17"/>
                <w:rFonts w:eastAsia="Calibri"/>
                <w:bCs/>
                <w:vanish w:val="false"/>
                <w:sz w:val="24"/>
                <w:szCs w:val="24"/>
                <w:lang w:eastAsia="x-none"/>
              </w:rPr>
              <w:t xml:space="preserve">1.4.1. </w:t>
            </w:r>
            <w:r>
              <w:rPr>
                <w:rStyle w:val="Style17"/>
                <w:rFonts w:eastAsia="Calibri"/>
                <w:bCs/>
                <w:sz w:val="24"/>
                <w:szCs w:val="24"/>
                <w:lang w:val="x-none" w:eastAsia="x-none"/>
              </w:rPr>
              <w:t>Арендатор</w:t>
            </w:r>
            <w:r>
              <w:rPr>
                <w:rStyle w:val="Style17"/>
                <w:rFonts w:eastAsia="Calibri"/>
                <w:bCs/>
                <w:sz w:val="24"/>
                <w:szCs w:val="24"/>
                <w:lang w:eastAsia="x-none"/>
              </w:rPr>
              <w:t xml:space="preserve"> (Подразделение Арендатора):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6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1.5.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57772677">
            <w:r>
              <w:rPr>
                <w:webHidden/>
                <w:rStyle w:val="Style17"/>
                <w:rFonts w:eastAsia="Calibri"/>
                <w:bCs/>
                <w:vanish w:val="false"/>
                <w:sz w:val="24"/>
                <w:szCs w:val="24"/>
              </w:rPr>
              <w:t>1.5.1.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Cs/>
                <w:sz w:val="24"/>
                <w:szCs w:val="24"/>
              </w:rPr>
              <w:t>Не допускается подача предложений на отдельные позиции или часть указанного объема аренды…………………..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ListParagraph"/>
            <w:ind w:left="0" w:hanging="0"/>
            <w:rPr>
              <w:sz w:val="24"/>
              <w:szCs w:val="24"/>
            </w:rPr>
          </w:pPr>
          <w:r>
            <w:rPr>
              <w:color w:val="000000" w:themeColor="text1"/>
              <w:sz w:val="24"/>
              <w:szCs w:val="24"/>
            </w:rPr>
            <w:t xml:space="preserve">1.6. Информация в отношении исполнения договора, которая должна быть </w:t>
          </w:r>
          <w:r>
            <w:rPr>
              <w:sz w:val="24"/>
              <w:szCs w:val="24"/>
            </w:rPr>
            <w:t>учтена при подготовке заявки (в том числе перечень ресурсов, услуг и документов, предоставляемых арендатором на этапе исполнения договора)</w:t>
          </w:r>
          <w:r>
            <w:rPr>
              <w:b w:val="false"/>
              <w:sz w:val="24"/>
              <w:szCs w:val="24"/>
            </w:rPr>
            <w:t xml:space="preserve">…………………………..…………………………1.6.1Арендатор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157772678">
            <w:r>
              <w:rPr>
                <w:webHidden/>
                <w:rStyle w:val="Style17"/>
                <w:rFonts w:eastAsia="Calibri"/>
                <w:caps/>
                <w:vanish w:val="false"/>
                <w:sz w:val="24"/>
                <w:szCs w:val="24"/>
              </w:rPr>
              <w:t>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9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объемам и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80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перечню и объему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57772681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Таблица 2. Перечень и объем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57772682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2.2.1.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57772683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Таблица 3. Требования к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84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качеству арендованной квартиры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bookmarkStart w:id="0" w:name="_Toc157772685_Копия_1"/>
          <w:r>
            <w:rPr>
              <w:rFonts w:eastAsia="Calibri"/>
              <w:vanish w:val="false"/>
              <w:sz w:val="24"/>
              <w:szCs w:val="24"/>
            </w:rPr>
            <w:t>Таблица </w:t>
          </w:r>
          <w:r>
            <w:rPr>
              <w:rFonts w:eastAsia="Calibri"/>
              <w:vanish w:val="false"/>
              <w:sz w:val="24"/>
              <w:szCs w:val="24"/>
              <w:lang w:val="ru-RU"/>
            </w:rPr>
            <w:t>4</w:t>
          </w:r>
          <w:r>
            <w:rPr>
              <w:rFonts w:eastAsia="Calibri"/>
              <w:vanish w:val="false"/>
              <w:sz w:val="24"/>
              <w:szCs w:val="24"/>
            </w:rPr>
            <w:t xml:space="preserve">. Требования к </w:t>
          </w:r>
          <w:r>
            <w:rPr>
              <w:rFonts w:eastAsia="Calibri"/>
              <w:vanish w:val="false"/>
              <w:sz w:val="24"/>
              <w:szCs w:val="24"/>
              <w:lang w:val="ru-RU"/>
            </w:rPr>
            <w:t>качеству арендованн</w:t>
          </w:r>
          <w:bookmarkEnd w:id="0"/>
          <w:r>
            <w:rPr>
              <w:rFonts w:eastAsia="Calibri"/>
              <w:vanish w:val="false"/>
              <w:sz w:val="24"/>
              <w:szCs w:val="24"/>
              <w:lang w:val="ru-RU"/>
            </w:rPr>
            <w:t>ой квартиры</w:t>
          </w:r>
          <w:hyperlink w:anchor="_Toc1577726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157772686">
            <w:r>
              <w:rPr>
                <w:webHidden/>
                <w:rStyle w:val="Style17"/>
                <w:rFonts w:eastAsia="Calibri"/>
                <w:vanish w:val="false"/>
                <w:kern w:val="2"/>
                <w:sz w:val="24"/>
                <w:szCs w:val="24"/>
              </w:rPr>
              <w:t xml:space="preserve">3. Требования к документации по ценообразованию </w:t>
            </w:r>
            <w:r>
              <w:rPr>
                <w:rStyle w:val="Style17"/>
                <w:rFonts w:eastAsia="Calibri"/>
                <w:kern w:val="2"/>
                <w:sz w:val="24"/>
                <w:szCs w:val="24"/>
                <w:lang w:val="x-none" w:eastAsia="x-none"/>
              </w:rPr>
              <w:t>на этапе закупки</w:t>
            </w:r>
            <w:r>
              <w:rPr>
                <w:rStyle w:val="Style17"/>
                <w:vanish w:val="false"/>
                <w:sz w:val="24"/>
                <w:szCs w:val="24"/>
              </w:rPr>
              <w:tab/>
              <w:t>9</w:t>
            </w:r>
          </w:hyperlink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r>
        <w:br w:type="page"/>
      </w:r>
      <w:bookmarkStart w:id="1" w:name="_Toc157772671"/>
      <w:bookmarkStart w:id="2" w:name="_Toc54643694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" w:name="_Toc54643695"/>
      <w:bookmarkStart w:id="4" w:name="_Toc46743505"/>
      <w:bookmarkStart w:id="5" w:name="_Toc157772672"/>
      <w:r>
        <w:rPr>
          <w:sz w:val="24"/>
          <w:szCs w:val="24"/>
        </w:rPr>
        <w:t>Обозначения и сокращения</w:t>
      </w:r>
      <w:bookmarkEnd w:id="3"/>
      <w:bookmarkEnd w:id="4"/>
      <w:bookmarkEnd w:id="5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4"/>
        <w:gridCol w:w="6205"/>
      </w:tblGrid>
      <w:tr>
        <w:trPr>
          <w:cantSplit w:val="true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4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6" w:name="_Toc157772673"/>
      <w:bookmarkStart w:id="7" w:name="_Toc54643696"/>
      <w:bookmarkStart w:id="8" w:name="_Toc46743506"/>
      <w:r>
        <w:rPr>
          <w:sz w:val="24"/>
          <w:szCs w:val="24"/>
        </w:rPr>
        <w:t>Наименование закупаемой продукции</w:t>
      </w:r>
      <w:bookmarkEnd w:id="7"/>
      <w:bookmarkEnd w:id="8"/>
      <w:r>
        <w:rPr>
          <w:sz w:val="24"/>
          <w:szCs w:val="24"/>
          <w:lang w:val="ru-RU"/>
        </w:rPr>
        <w:t>.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 2: 68.20.11 Услуги по сдаче в аренду (внаем) собственных или арендованных жилых помещений</w:t>
      </w: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9" w:name="_Toc157772674"/>
      <w:bookmarkStart w:id="10" w:name="_Toc46743507"/>
      <w:bookmarkStart w:id="11" w:name="_Toc54643697"/>
      <w:r>
        <w:rPr>
          <w:sz w:val="24"/>
          <w:szCs w:val="24"/>
        </w:rPr>
        <w:t>Цель</w:t>
      </w:r>
      <w:bookmarkEnd w:id="10"/>
      <w:bookmarkEnd w:id="11"/>
      <w:r>
        <w:rPr>
          <w:sz w:val="24"/>
          <w:szCs w:val="24"/>
        </w:rPr>
        <w:t xml:space="preserve"> аренды :</w:t>
      </w:r>
      <w:bookmarkEnd w:id="9"/>
    </w:p>
    <w:p>
      <w:pPr>
        <w:pStyle w:val="BodyText"/>
        <w:tabs>
          <w:tab w:val="clear" w:pos="720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>Целью является предоставление во временное пользование (аренда) изолированного жилого помещения (квартира)</w:t>
      </w:r>
      <w:r>
        <w:rPr>
          <w:rFonts w:eastAsia="Calibri"/>
          <w:bCs/>
          <w:color w:val="000000" w:themeColor="text1"/>
          <w:sz w:val="24"/>
          <w:szCs w:val="24"/>
          <w:shd w:fill="FFFFFF" w:val="clear"/>
        </w:rPr>
        <w:t xml:space="preserve"> сотруднику производственного участка в г. Партизанск.</w:t>
      </w:r>
    </w:p>
    <w:p>
      <w:pPr>
        <w:pStyle w:val="BodyText"/>
        <w:tabs>
          <w:tab w:val="clear" w:pos="720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  <w:r>
        <w:rPr>
          <w:rFonts w:eastAsia="Calibri"/>
          <w:b/>
          <w:bCs/>
          <w:sz w:val="24"/>
          <w:szCs w:val="24"/>
          <w:lang w:eastAsia="x-none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851" w:leader="none"/>
          <w:tab w:val="left" w:pos="993" w:leader="none"/>
          <w:tab w:val="left" w:pos="1701" w:leader="none"/>
        </w:tabs>
        <w:suppressAutoHyphens w:val="false"/>
        <w:spacing w:before="120" w:after="60"/>
        <w:ind w:left="0" w:hanging="0"/>
        <w:jc w:val="both"/>
        <w:outlineLvl w:val="2"/>
        <w:rPr>
          <w:sz w:val="24"/>
          <w:szCs w:val="24"/>
        </w:rPr>
      </w:pPr>
      <w:bookmarkStart w:id="12" w:name="_Toc157772675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2"/>
    </w:p>
    <w:p>
      <w:pPr>
        <w:pStyle w:val="Normal"/>
        <w:widowControl/>
        <w:tabs>
          <w:tab w:val="clear" w:pos="720"/>
          <w:tab w:val="left" w:pos="113" w:leader="none"/>
        </w:tabs>
        <w:suppressAutoHyphens w:val="false"/>
        <w:bidi w:val="0"/>
        <w:spacing w:before="0" w:after="0"/>
        <w:ind w:left="567" w:right="0" w:hanging="567"/>
        <w:jc w:val="both"/>
        <w:rPr>
          <w:rFonts w:ascii="Times New Roman" w:hAnsi="Times New Roman"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 xml:space="preserve">АО «Гидроремонт-ВКК», 603140, Нижегородская область, г. Нижний Новгород, пер. Мотальный, д. 8 помещение ВП 31, офис С1А </w:t>
      </w:r>
    </w:p>
    <w:p>
      <w:pPr>
        <w:pStyle w:val="Normal"/>
        <w:suppressAutoHyphens w:val="false"/>
        <w:ind w:left="567" w:hanging="567"/>
        <w:jc w:val="both"/>
        <w:rPr>
          <w:rFonts w:ascii="Times New Roman" w:hAnsi="Times New Roman"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>Саяно-Шушенский филиал АО «Гидроремонт-ВКК» в п. Черемушки.</w:t>
      </w:r>
    </w:p>
    <w:p>
      <w:pPr>
        <w:pStyle w:val="Normal"/>
        <w:rPr>
          <w:rFonts w:ascii="Times New Roman" w:hAnsi="Times New Roman"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>Адрес филиала: 655619, Республика Хакасия, г. Саяногорск, рп. Черемушки, д. 103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13" w:name="_Toc126046616_Копия_1"/>
      <w:bookmarkStart w:id="14" w:name="_Toc126046616_Копия_1"/>
      <w:bookmarkEnd w:id="14"/>
    </w:p>
    <w:p>
      <w:pPr>
        <w:pStyle w:val="Heading2"/>
        <w:numPr>
          <w:ilvl w:val="1"/>
          <w:numId w:val="13"/>
        </w:numPr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bookmarkStart w:id="15" w:name="_Toc157772676"/>
      <w:bookmarkStart w:id="16" w:name="_Toc54643701"/>
      <w:r>
        <w:rPr>
          <w:sz w:val="24"/>
          <w:szCs w:val="24"/>
        </w:rPr>
        <w:t>Иные требования и сведения общего характера</w:t>
      </w:r>
      <w:bookmarkEnd w:id="16"/>
      <w:r>
        <w:rPr>
          <w:sz w:val="24"/>
          <w:szCs w:val="24"/>
          <w:lang w:val="ru-RU"/>
        </w:rPr>
        <w:t>.</w:t>
      </w:r>
      <w:bookmarkEnd w:id="15"/>
    </w:p>
    <w:p>
      <w:pPr>
        <w:pStyle w:val="Heading3"/>
        <w:numPr>
          <w:ilvl w:val="2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/>
      </w:pPr>
      <w:bookmarkStart w:id="17" w:name="_Toc157772677"/>
      <w:r>
        <w:rPr>
          <w:rStyle w:val="Strong"/>
          <w:b/>
          <w:sz w:val="24"/>
          <w:szCs w:val="24"/>
        </w:rPr>
        <w:t>Не допускается подача предложений на отдельные позиции или часть указанного объема аренды.</w:t>
      </w:r>
      <w:bookmarkEnd w:id="17"/>
      <w:r>
        <w:rPr>
          <w:rStyle w:val="Strong"/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  <w:highlight w:val="yellow"/>
          <w:lang w:val="x-none" w:eastAsia="x-none"/>
        </w:rPr>
      </w:pPr>
      <w:r>
        <w:rPr>
          <w:sz w:val="24"/>
          <w:szCs w:val="24"/>
          <w:highlight w:val="yellow"/>
          <w:lang w:val="x-none" w:eastAsia="x-none"/>
        </w:rPr>
      </w:r>
    </w:p>
    <w:p>
      <w:pPr>
        <w:pStyle w:val="ListParagraph"/>
        <w:numPr>
          <w:ilvl w:val="1"/>
          <w:numId w:val="13"/>
        </w:numPr>
        <w:ind w:left="0" w:hanging="0"/>
        <w:rPr/>
      </w:pPr>
      <w:bookmarkStart w:id="18" w:name="_Toc46743509"/>
      <w:bookmarkStart w:id="19" w:name="_Hlk49857604"/>
      <w:bookmarkStart w:id="20" w:name="_Toc54643700"/>
      <w:r>
        <w:rPr>
          <w:rStyle w:val="Strong"/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21" w:name="_Hlk46492347"/>
      <w:r>
        <w:rPr>
          <w:rStyle w:val="Strong"/>
          <w:color w:val="000000" w:themeColor="text1"/>
          <w:sz w:val="24"/>
          <w:szCs w:val="24"/>
        </w:rPr>
        <w:t xml:space="preserve">которая должна быть </w:t>
      </w:r>
      <w:r>
        <w:rPr>
          <w:rStyle w:val="Strong"/>
          <w:sz w:val="24"/>
          <w:szCs w:val="24"/>
        </w:rPr>
        <w:t xml:space="preserve">учтена при подготовке заявки </w:t>
      </w:r>
      <w:bookmarkEnd w:id="21"/>
      <w:r>
        <w:rPr>
          <w:rStyle w:val="Strong"/>
          <w:sz w:val="24"/>
          <w:szCs w:val="24"/>
        </w:rPr>
        <w:t>(в том числе перечень ресурсов, услуг и документов, предоставляемых арендатором на этапе исполнения договора)</w:t>
      </w:r>
      <w:bookmarkEnd w:id="18"/>
      <w:bookmarkEnd w:id="19"/>
      <w:bookmarkEnd w:id="20"/>
      <w:r>
        <w:rPr>
          <w:rStyle w:val="Strong"/>
          <w:sz w:val="24"/>
          <w:szCs w:val="24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13"/>
        </w:numPr>
        <w:ind w:left="0" w:hanging="0"/>
        <w:jc w:val="both"/>
        <w:rPr/>
      </w:pPr>
      <w:r>
        <w:rPr>
          <w:rStyle w:val="Strong"/>
          <w:b w:val="false"/>
          <w:sz w:val="24"/>
          <w:szCs w:val="24"/>
        </w:rPr>
        <w:t xml:space="preserve">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</w:r>
    </w:p>
    <w:p>
      <w:pPr>
        <w:pStyle w:val="Heading1"/>
        <w:numPr>
          <w:ilvl w:val="0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>
          <w:sz w:val="24"/>
          <w:szCs w:val="24"/>
        </w:rPr>
      </w:pPr>
      <w:bookmarkStart w:id="22" w:name="_Toc54643702"/>
      <w:bookmarkStart w:id="23" w:name="_Toc157772678"/>
      <w:bookmarkStart w:id="24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</w:t>
      </w:r>
      <w:bookmarkEnd w:id="22"/>
      <w:bookmarkEnd w:id="23"/>
      <w:bookmarkEnd w:id="24"/>
      <w:r>
        <w:rPr>
          <w:sz w:val="24"/>
          <w:szCs w:val="24"/>
        </w:rPr>
        <w:t>квартире</w:t>
      </w:r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bookmarkStart w:id="25" w:name="_Toc54643703"/>
      <w:bookmarkStart w:id="26" w:name="_Toc157772679"/>
      <w:r>
        <w:rPr>
          <w:sz w:val="24"/>
          <w:szCs w:val="24"/>
        </w:rPr>
        <w:t xml:space="preserve">Требования к срокам </w:t>
      </w:r>
      <w:bookmarkEnd w:id="25"/>
      <w:r>
        <w:rPr>
          <w:sz w:val="24"/>
          <w:szCs w:val="24"/>
          <w:lang w:val="ru-RU"/>
        </w:rPr>
        <w:t>аренды</w:t>
      </w:r>
      <w:bookmarkEnd w:id="26"/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bookmarkStart w:id="27" w:name="_Toc157772680"/>
      <w:bookmarkStart w:id="28" w:name="_Toc54643704"/>
      <w:r>
        <w:rPr>
          <w:sz w:val="24"/>
          <w:szCs w:val="24"/>
        </w:rPr>
        <w:t xml:space="preserve">Требования к перечню и объему </w:t>
      </w:r>
      <w:bookmarkEnd w:id="28"/>
      <w:r>
        <w:rPr>
          <w:sz w:val="24"/>
          <w:szCs w:val="24"/>
        </w:rPr>
        <w:t>аренды</w:t>
      </w:r>
      <w:bookmarkEnd w:id="27"/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29" w:name="_Toc157772681"/>
      <w:bookmarkStart w:id="30" w:name="_Toc54643705"/>
      <w:bookmarkStart w:id="31" w:name="_Toc51339695"/>
      <w:r>
        <w:rPr>
          <w:sz w:val="24"/>
          <w:szCs w:val="24"/>
        </w:rPr>
        <w:t xml:space="preserve">Таблица 2. Перечень </w:t>
      </w:r>
      <w:bookmarkEnd w:id="31"/>
      <w:r>
        <w:rPr>
          <w:sz w:val="24"/>
          <w:szCs w:val="24"/>
        </w:rPr>
        <w:t xml:space="preserve">и объем </w:t>
      </w:r>
      <w:bookmarkEnd w:id="30"/>
      <w:r>
        <w:rPr>
          <w:sz w:val="24"/>
          <w:szCs w:val="24"/>
        </w:rPr>
        <w:t>аренды</w:t>
      </w:r>
      <w:bookmarkEnd w:id="29"/>
    </w:p>
    <w:tbl>
      <w:tblPr>
        <w:tblW w:w="9625" w:type="dxa"/>
        <w:jc w:val="left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"/>
        <w:gridCol w:w="1992"/>
        <w:gridCol w:w="3508"/>
        <w:gridCol w:w="1830"/>
        <w:gridCol w:w="1845"/>
      </w:tblGrid>
      <w:tr>
        <w:trPr>
          <w:trHeight w:val="85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426" w:leader="none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единиц </w:t>
            </w:r>
          </w:p>
        </w:tc>
      </w:tr>
      <w:tr>
        <w:trPr>
          <w:trHeight w:val="35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Место расположение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Партизанский городской округ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Количество жилых комнат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2 до 3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Общая площадь (в кв. м).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30 кв.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Расположение жилого помещения 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1 до 2 этаж.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Коммуникации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централизованные системы холодного водоотведения, теплоснабжения, электроснабжения .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Наружная дверь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металлическая или деревянная, с установленными замочным блоком и ручками)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Отделка жилого помещения -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не требует ремонта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Состояние квартиры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Пригодное для проживания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Техника, мебель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Обустроена технически исправными предметами мебели  и бытовой техники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Телевизор-1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Водонагреватель-1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Стиральная машина-1 Электроплита-1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Спальное место-1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Шкаф-1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письменный стол-1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Кухонный комплект мебели-1</w:t>
            </w:r>
          </w:p>
        </w:tc>
      </w:tr>
    </w:tbl>
    <w:p>
      <w:pPr>
        <w:pStyle w:val="Heading3"/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14"/>
        </w:numPr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bookmarkStart w:id="32" w:name="_Toc157772682"/>
      <w:r>
        <w:rPr>
          <w:sz w:val="24"/>
          <w:szCs w:val="24"/>
        </w:rPr>
        <w:t>Требования к срокам аренды</w:t>
      </w:r>
      <w:bookmarkEnd w:id="32"/>
    </w:p>
    <w:p>
      <w:pPr>
        <w:pStyle w:val="Heading1"/>
        <w:ind w:left="426" w:hanging="426"/>
        <w:rPr>
          <w:sz w:val="24"/>
          <w:szCs w:val="24"/>
        </w:rPr>
      </w:pPr>
      <w:bookmarkStart w:id="33" w:name="_Toc50125127"/>
      <w:bookmarkStart w:id="34" w:name="_Toc54643707"/>
      <w:bookmarkStart w:id="35" w:name="_Toc157772683"/>
      <w:bookmarkStart w:id="36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3"/>
      <w:bookmarkEnd w:id="34"/>
      <w:bookmarkEnd w:id="36"/>
      <w:bookmarkEnd w:id="37"/>
      <w:r>
        <w:rPr>
          <w:sz w:val="24"/>
          <w:szCs w:val="24"/>
          <w:lang w:val="ru-RU"/>
        </w:rPr>
        <w:t>аренды</w:t>
      </w:r>
      <w:bookmarkEnd w:id="35"/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0"/>
        <w:gridCol w:w="4260"/>
        <w:gridCol w:w="2551"/>
        <w:gridCol w:w="2836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183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 2: 68.20.11 Услуги по сдаче в аренду (внаем) собственных или арендованных жилых помещений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31.12.2026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bookmarkStart w:id="38" w:name="_Toc157772684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качеству арендованн</w:t>
      </w:r>
      <w:bookmarkEnd w:id="38"/>
      <w:r>
        <w:rPr>
          <w:sz w:val="24"/>
          <w:szCs w:val="24"/>
          <w:lang w:val="ru-RU"/>
        </w:rPr>
        <w:t>ой квартиры</w:t>
      </w:r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39" w:name="_Toc1577726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</w:t>
      </w:r>
      <w:bookmarkEnd w:id="39"/>
      <w:r>
        <w:rPr>
          <w:sz w:val="24"/>
          <w:szCs w:val="24"/>
          <w:lang w:val="ru-RU"/>
        </w:rPr>
        <w:t>ой квартиры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2 ТТ «Перечень и объем аренды» </w:t>
      </w:r>
    </w:p>
    <w:tbl>
      <w:tblPr>
        <w:tblStyle w:val="affff9"/>
        <w:tblW w:w="101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535"/>
        <w:gridCol w:w="175"/>
        <w:gridCol w:w="6609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0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0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left="360" w:hanging="36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67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использованию квартиры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целями и назначением жилого помещения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согласно Таблицы 2 «Перечень и объем аренды» и п.1.3 ТТ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39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все необходимые документы на квартиру (выписка из Единого государственного реестра недвижимости) и комплект ключей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3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нести все расходы, связанные с использованием квартиры, включая, расходы на оплату коммунальных услуг (электроэнергия, водоснабжение, отопление, пользование сетью интернет и прочее)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предоставлении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</w:t>
            </w:r>
          </w:p>
        </w:tc>
        <w:tc>
          <w:tcPr>
            <w:tcW w:w="6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Должно соответствовать предусмотренным санитарным нормам, содержится в порядке, соответствует противопожарным и иным нормам, установленными действующим законодательством.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 не продана, не подарена, не передана третьим лицам, не является предметом судебного спора, не находится под арестом, залогом, не сдана в найм. Дом на период аренды квартиры не подлежит сносу или капитальному ремонту с отселением.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предоставления объекта аренды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Партизанский городской округ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предоставления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предоставления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6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в течение 1 (одного) рабочих дней с даты подписания договора обязан передать по акту приема – передачи квартиру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 , Гражданский кодекс РФ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660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с арендной платы производит оплату коммунальных услуг: вывоз ТБО, содержаниеи ремонт общедомового имущества, капитальный ремонт МКД, а также оплату: электроэнергии, водоснабжения, водоотведения, отопления и др.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66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(и соарендодателям) и его обязательствам, влияющим на исполнение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для исполнения договора должен иметь квартиру в собственности.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10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40" w:name="_Toc125982017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ежемесячной арендной платы</w:t>
            </w:r>
            <w:bookmarkEnd w:id="40"/>
          </w:p>
        </w:tc>
        <w:tc>
          <w:tcPr>
            <w:tcW w:w="6609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-прочие расходы , связанные с выполнением договора;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/>
          <w:bCs/>
          <w:color w:val="000000"/>
          <w:kern w:val="2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TOC1"/>
        <w:tabs>
          <w:tab w:val="clear" w:pos="720"/>
          <w:tab w:val="right" w:pos="9911" w:leader="dot"/>
        </w:tabs>
        <w:rPr/>
      </w:pPr>
      <w:hyperlink w:anchor="_Toc157772686">
        <w:r>
          <w:rPr>
            <w:rStyle w:val="Hyperlink"/>
            <w:vanish w:val="false"/>
            <w:kern w:val="2"/>
          </w:rPr>
          <w:t xml:space="preserve">3. Требования к документации по ценообразованию </w:t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fldChar w:fldCharType="begin"/>
        </w:r>
        <w:r>
          <w:rPr>
            <w:rStyle w:val="Hyperlink"/>
            <w:kern w:val="2"/>
            <w:vanish w:val="false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separate"/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vanish w:val="false"/>
            <w:kern w:val="2"/>
          </w:rPr>
        </w:r>
        <w:r>
          <w:rPr>
            <w:rStyle w:val="Hyperlink"/>
            <w:kern w:val="2"/>
            <w:vanish w:val="false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_Toc157772686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_Toc157772686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Ошибка: источник перекрёстной ссылки не найден</w:t>
        </w:r>
        <w:r>
          <w:rPr>
            <w:rStyle w:val="Hyperlink"/>
            <w:vanish/>
          </w:rPr>
          <w:fldChar w:fldCharType="end"/>
        </w:r>
      </w:hyperlink>
    </w:p>
    <w:p>
      <w:pPr>
        <w:pStyle w:val="Normal"/>
        <w:tabs>
          <w:tab w:val="clear" w:pos="720"/>
          <w:tab w:val="right" w:pos="9911" w:leader="dot"/>
        </w:tabs>
        <w:rPr>
          <w:kern w:val="2"/>
          <w:lang w:val="x-none"/>
        </w:rPr>
      </w:pPr>
      <w:r>
        <w:rPr>
          <w:kern w:val="2"/>
          <w:lang w:val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0285975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20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20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20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031C-C5DD-4CDD-A991-0F1C34B4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AlterOffice/3.4.0.9$Linux_X86_64 LibreOffice_project/b8daf9e823b1a5463a2f48435ddc2e8696e7d4fc</Application>
  <AppVersion>15.0000</AppVersion>
  <Pages>7</Pages>
  <Words>875</Words>
  <Characters>5874</Characters>
  <CharactersWithSpaces>6553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2024-01-30T06:07:00Z</dcterms:created>
  <dc:creator>Быстров Олег Геннадьевич</dc:creator>
  <dc:description/>
  <dc:language>ru-RU</dc:language>
  <cp:lastModifiedBy>savilovoa@corp.gidroogk.com</cp:lastModifiedBy>
  <cp:lastPrinted>2024-02-02T10:24:00Z</cp:lastPrinted>
  <dcterms:modified xsi:type="dcterms:W3CDTF">2026-06-26T14:41:59Z</dcterms:modified>
  <cp:revision>58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