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D7" w:rsidRDefault="007417D7">
      <w:pPr>
        <w:ind w:left="5670"/>
        <w:jc w:val="right"/>
        <w:rPr>
          <w:b/>
          <w:sz w:val="24"/>
          <w:szCs w:val="24"/>
        </w:rPr>
      </w:pPr>
      <w:bookmarkStart w:id="0" w:name="_GoBack"/>
      <w:bookmarkEnd w:id="0"/>
    </w:p>
    <w:p w:rsidR="007417D7" w:rsidRDefault="007417D7">
      <w:pPr>
        <w:jc w:val="center"/>
        <w:rPr>
          <w:b/>
          <w:sz w:val="24"/>
          <w:szCs w:val="24"/>
        </w:rPr>
      </w:pPr>
    </w:p>
    <w:p w:rsidR="007417D7" w:rsidRDefault="004031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7417D7" w:rsidRDefault="007417D7">
      <w:pPr>
        <w:jc w:val="center"/>
        <w:rPr>
          <w:b/>
          <w:sz w:val="24"/>
          <w:szCs w:val="24"/>
        </w:rPr>
      </w:pPr>
    </w:p>
    <w:p w:rsidR="007417D7" w:rsidRDefault="00403154">
      <w:pPr>
        <w:ind w:left="284" w:right="282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ОКР «</w:t>
      </w:r>
      <w:r>
        <w:rPr>
          <w:sz w:val="24"/>
          <w:szCs w:val="24"/>
        </w:rPr>
        <w:t>Создание цифрового полигона для решения задач планирования судоходства и развития судостроения»</w:t>
      </w:r>
    </w:p>
    <w:p w:rsidR="007417D7" w:rsidRDefault="007417D7">
      <w:pPr>
        <w:tabs>
          <w:tab w:val="left" w:pos="960"/>
          <w:tab w:val="left" w:pos="10065"/>
        </w:tabs>
        <w:ind w:firstLine="351"/>
        <w:jc w:val="center"/>
        <w:rPr>
          <w:b/>
          <w:color w:val="000000"/>
          <w:sz w:val="24"/>
          <w:szCs w:val="24"/>
        </w:rPr>
      </w:pPr>
    </w:p>
    <w:p w:rsidR="007417D7" w:rsidRDefault="007417D7">
      <w:pPr>
        <w:ind w:firstLine="709"/>
        <w:jc w:val="both"/>
        <w:rPr>
          <w:sz w:val="24"/>
          <w:szCs w:val="24"/>
        </w:rPr>
      </w:pPr>
    </w:p>
    <w:p w:rsidR="007417D7" w:rsidRDefault="00403154">
      <w:pPr>
        <w:pStyle w:val="14"/>
        <w:numPr>
          <w:ilvl w:val="0"/>
          <w:numId w:val="2"/>
        </w:numPr>
        <w:tabs>
          <w:tab w:val="left" w:pos="0"/>
        </w:tabs>
        <w:spacing w:before="120"/>
        <w:ind w:left="0" w:firstLine="709"/>
        <w:jc w:val="both"/>
        <w:rPr>
          <w:rFonts w:ascii="Times New Roman" w:hAnsi="Times New Roman"/>
          <w:b/>
        </w:rPr>
      </w:pPr>
      <w:bookmarkStart w:id="1" w:name="_Hlk230884049"/>
      <w:bookmarkEnd w:id="1"/>
      <w:r>
        <w:rPr>
          <w:rFonts w:ascii="Times New Roman" w:hAnsi="Times New Roman"/>
          <w:b/>
        </w:rPr>
        <w:t>Цели, задачи и исходные данные для выполнения работ</w:t>
      </w:r>
    </w:p>
    <w:p w:rsidR="007417D7" w:rsidRDefault="00403154">
      <w:pPr>
        <w:pStyle w:val="14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 выполнения работ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и обоснование потребности в строительстве </w:t>
      </w:r>
      <w:r>
        <w:rPr>
          <w:sz w:val="24"/>
          <w:szCs w:val="24"/>
        </w:rPr>
        <w:t>гражданских судов и морской техники и планов по развитию судостроительной промышленности на основе транспортно-экономического баланса, состояния береговой и портовой инфраструктуры и характеристик внутренних и морских водных путей, включая перспективы разв</w:t>
      </w:r>
      <w:r>
        <w:rPr>
          <w:sz w:val="24"/>
          <w:szCs w:val="24"/>
        </w:rPr>
        <w:t>ития судоходства в акватории Северного морского пути.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Поддержка принятия обоснованных управленческих решений для выполнения задач планирования в части судостроения за счет разработки и внедрения цифровых технологий путем создания ЦП ИАЦ.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bookmarkStart w:id="2" w:name="_Hlk158905847"/>
      <w:r>
        <w:rPr>
          <w:sz w:val="24"/>
          <w:szCs w:val="24"/>
        </w:rPr>
        <w:t>Выполнение работ в</w:t>
      </w:r>
      <w:r>
        <w:rPr>
          <w:sz w:val="24"/>
          <w:szCs w:val="24"/>
        </w:rPr>
        <w:t xml:space="preserve"> рамках </w:t>
      </w:r>
      <w:bookmarkStart w:id="3" w:name="_Hlk189221327"/>
      <w:r>
        <w:rPr>
          <w:sz w:val="24"/>
          <w:szCs w:val="24"/>
        </w:rPr>
        <w:t>федерального проекта «Производство судов и судового оборудования» государственной программы Российской Федерации «Научно-технологическое развитие Российской Федерации».</w:t>
      </w:r>
      <w:bookmarkEnd w:id="2"/>
      <w:bookmarkEnd w:id="3"/>
    </w:p>
    <w:p w:rsidR="007417D7" w:rsidRDefault="007417D7">
      <w:pPr>
        <w:tabs>
          <w:tab w:val="left" w:pos="0"/>
        </w:tabs>
        <w:ind w:left="709"/>
        <w:jc w:val="both"/>
        <w:rPr>
          <w:sz w:val="12"/>
          <w:szCs w:val="12"/>
        </w:rPr>
      </w:pPr>
    </w:p>
    <w:p w:rsidR="007417D7" w:rsidRDefault="00403154">
      <w:pPr>
        <w:pStyle w:val="14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 выполнения работ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</w:t>
      </w:r>
      <w:bookmarkStart w:id="4" w:name="_Hlk231371903"/>
      <w:r>
        <w:rPr>
          <w:sz w:val="24"/>
          <w:szCs w:val="24"/>
        </w:rPr>
        <w:t>методического и организационного обеспечени</w:t>
      </w:r>
      <w:r>
        <w:rPr>
          <w:sz w:val="24"/>
          <w:szCs w:val="24"/>
        </w:rPr>
        <w:t>я для получения данных и комплексной оценки состояния и ресурсного потенциала действующего пассажирского и грузового гражданского флота Российской Федерации</w:t>
      </w:r>
      <w:bookmarkEnd w:id="4"/>
      <w:r>
        <w:rPr>
          <w:sz w:val="24"/>
          <w:szCs w:val="24"/>
        </w:rPr>
        <w:t xml:space="preserve">, включая анализ возрастной структуры, технического состояния, планов выбытия и распределения флота </w:t>
      </w:r>
      <w:r>
        <w:rPr>
          <w:sz w:val="24"/>
          <w:szCs w:val="24"/>
        </w:rPr>
        <w:t>по экономическим районам с учётом навигационных, сезонных и бассейновых ограничений.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</w:t>
      </w:r>
      <w:bookmarkStart w:id="5" w:name="_Hlk231371911"/>
      <w:r>
        <w:rPr>
          <w:sz w:val="24"/>
          <w:szCs w:val="24"/>
        </w:rPr>
        <w:t>методического и организационного обеспечения прогнозирования потребности в строительстве новых гражданских судов и морской техники</w:t>
      </w:r>
      <w:bookmarkEnd w:id="5"/>
      <w:r>
        <w:rPr>
          <w:sz w:val="24"/>
          <w:szCs w:val="24"/>
        </w:rPr>
        <w:t xml:space="preserve"> на основе сопоставления прогнозных объёмов грузовых и пассажирских перевозок с провозной способностью действующего флота с учётом планов его выбытия, с определением дефицита/профицита провозной способности по типам судов, экономическим районам, бассейнам </w:t>
      </w:r>
      <w:r>
        <w:rPr>
          <w:sz w:val="24"/>
          <w:szCs w:val="24"/>
        </w:rPr>
        <w:t>и временным периодам.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</w:t>
      </w:r>
      <w:bookmarkStart w:id="6" w:name="_Hlk231371923"/>
      <w:r>
        <w:rPr>
          <w:sz w:val="24"/>
          <w:szCs w:val="24"/>
        </w:rPr>
        <w:t>информационных и математических транспортных моделей</w:t>
      </w:r>
      <w:bookmarkEnd w:id="6"/>
      <w:r>
        <w:rPr>
          <w:sz w:val="24"/>
          <w:szCs w:val="24"/>
        </w:rPr>
        <w:t xml:space="preserve">, с учетом мультимодальных транспортных схем, с использованием водного и железнодорожного транспорта, а также </w:t>
      </w:r>
      <w:bookmarkStart w:id="7" w:name="_Hlk231371929"/>
      <w:r>
        <w:rPr>
          <w:sz w:val="24"/>
          <w:szCs w:val="24"/>
        </w:rPr>
        <w:t>цифровых транспортных моделей водного транспорта</w:t>
      </w:r>
      <w:bookmarkEnd w:id="7"/>
      <w:r>
        <w:rPr>
          <w:sz w:val="24"/>
          <w:szCs w:val="24"/>
        </w:rPr>
        <w:t>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</w:t>
      </w:r>
      <w:r>
        <w:rPr>
          <w:sz w:val="24"/>
          <w:szCs w:val="24"/>
        </w:rPr>
        <w:t xml:space="preserve">программного комплекса «Транспортно-экономический баланс» (ПК «ТЭБ»), включающего </w:t>
      </w:r>
      <w:bookmarkStart w:id="8" w:name="_Hlk231371940"/>
      <w:r>
        <w:rPr>
          <w:sz w:val="24"/>
          <w:szCs w:val="24"/>
        </w:rPr>
        <w:t>компьютерные транспортные модели</w:t>
      </w:r>
      <w:bookmarkEnd w:id="8"/>
      <w:r>
        <w:rPr>
          <w:sz w:val="24"/>
          <w:szCs w:val="24"/>
        </w:rPr>
        <w:t>, описывающие текущие и прогнозные объемы перевозок с учетом мультимодальных транспортных схем.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программного комплекса для импорта </w:t>
      </w:r>
      <w:r>
        <w:rPr>
          <w:sz w:val="24"/>
          <w:szCs w:val="24"/>
        </w:rPr>
        <w:t xml:space="preserve">картографических данных, задания и редактирования атрибутивной информации и расположения для объектов береговой и портовой инфраструктуры (ПК «Геоданные»). 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</w:t>
      </w:r>
      <w:bookmarkStart w:id="9" w:name="_Hlk231371952"/>
      <w:r>
        <w:rPr>
          <w:sz w:val="24"/>
          <w:szCs w:val="24"/>
        </w:rPr>
        <w:t xml:space="preserve">методического и организационного обеспечения для оценки производственно-технологических </w:t>
      </w:r>
      <w:r>
        <w:rPr>
          <w:sz w:val="24"/>
          <w:szCs w:val="24"/>
        </w:rPr>
        <w:t>возможностей судостроительных предприятий Российской Федерации</w:t>
      </w:r>
      <w:bookmarkEnd w:id="9"/>
      <w:r>
        <w:rPr>
          <w:sz w:val="24"/>
          <w:szCs w:val="24"/>
        </w:rPr>
        <w:t xml:space="preserve"> в целях планирования программы строительства гражданских судов и морской техники.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</w:t>
      </w:r>
      <w:bookmarkStart w:id="10" w:name="_Hlk231371964"/>
      <w:r>
        <w:rPr>
          <w:sz w:val="24"/>
          <w:szCs w:val="24"/>
        </w:rPr>
        <w:t>информационной, математической и компьютерной моделей оценки реализуемости производственной программ</w:t>
      </w:r>
      <w:r>
        <w:rPr>
          <w:sz w:val="24"/>
          <w:szCs w:val="24"/>
        </w:rPr>
        <w:t>ы судостроительной отрасли и распределения выявленной потребности в строительстве гражданских судов между предприятиями</w:t>
      </w:r>
      <w:bookmarkEnd w:id="10"/>
      <w:r>
        <w:rPr>
          <w:sz w:val="24"/>
          <w:szCs w:val="24"/>
        </w:rPr>
        <w:t xml:space="preserve"> с учётом их производственно-технологических возможностей, текущей и перспективной загрузки и межзаводской кооперации.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Доработка и включе</w:t>
      </w:r>
      <w:r>
        <w:rPr>
          <w:sz w:val="24"/>
          <w:szCs w:val="24"/>
        </w:rPr>
        <w:t>ние в состав комплекса средств автоматизации цифрового полигона «ИАЦ Гражданский флот» (КСА ЦП ИАЦ) программного комплекса системы поддержки принятия решений, разработанного в рамках ОКР «Горизонт-Судпром» (ПК СППР «Горизонт</w:t>
      </w:r>
      <w:r>
        <w:rPr>
          <w:sz w:val="24"/>
          <w:szCs w:val="24"/>
        </w:rPr>
        <w:noBreakHyphen/>
        <w:t>Судпром 2»).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Разработка програм</w:t>
      </w:r>
      <w:r>
        <w:rPr>
          <w:sz w:val="24"/>
          <w:szCs w:val="24"/>
        </w:rPr>
        <w:t>мно-аппаратного имитационно-моделирующего комплекса (ПАК ИМК) для выполнения моделирования в режиме реального и ускоренного времени различных сценариев реализации компьютерных транспортных моделей.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программного модуля 2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визуализации для отображ</w:t>
      </w:r>
      <w:r>
        <w:rPr>
          <w:sz w:val="24"/>
          <w:szCs w:val="24"/>
        </w:rPr>
        <w:t>ения хода моделирования в ПАК ИМК и редактирования и задания данных в ПК «Геоданные» (ПМ «2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Виз»).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автономные испытания КСА ЦП ИАЦ.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методического и организационного обеспечения деятельности персонала ЦП ИАЦ.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Сбор, анализ и наполнен</w:t>
      </w:r>
      <w:r>
        <w:rPr>
          <w:sz w:val="24"/>
          <w:szCs w:val="24"/>
        </w:rPr>
        <w:t>ие КСА ЦП ИАЦ входными данными для получения прогнозных значений объемов морских и речных перевозок с учетом различных сценариев развития.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bookmarkStart w:id="11" w:name="_Hlk230888303"/>
      <w:bookmarkStart w:id="12" w:name="OLE_LINK19"/>
      <w:bookmarkStart w:id="13" w:name="OLE_LINK14"/>
      <w:r>
        <w:rPr>
          <w:sz w:val="24"/>
          <w:szCs w:val="24"/>
        </w:rPr>
        <w:t>Ввод в действие ЦП ИАЦ, включая проведение опытной эксплуатации и приемочных испытаний.</w:t>
      </w:r>
      <w:bookmarkEnd w:id="11"/>
      <w:bookmarkEnd w:id="12"/>
      <w:bookmarkEnd w:id="13"/>
    </w:p>
    <w:p w:rsidR="007417D7" w:rsidRDefault="00403154">
      <w:pPr>
        <w:pStyle w:val="14"/>
        <w:keepNext/>
        <w:numPr>
          <w:ilvl w:val="1"/>
          <w:numId w:val="2"/>
        </w:numPr>
        <w:tabs>
          <w:tab w:val="left" w:pos="0"/>
        </w:tabs>
        <w:spacing w:before="120" w:after="120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Исходные данные для выполнени</w:t>
      </w:r>
      <w:r>
        <w:rPr>
          <w:rFonts w:ascii="Times New Roman" w:hAnsi="Times New Roman"/>
          <w:b/>
        </w:rPr>
        <w:t>я работ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Документы стратегического планирования Российской Федерации, разработанные в рамках целеполагания, планирования и программирования (согласно Федеральному закону от 28.06.2014 г. № 172-ФЗ (ред. от 17.02.2023) «О стратегическом планировании в Российс</w:t>
      </w:r>
      <w:r>
        <w:rPr>
          <w:sz w:val="24"/>
          <w:szCs w:val="24"/>
        </w:rPr>
        <w:t>кой Федерации») в части, касающейся судостроительной отрасли.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Национальные проекты Российской Федерации в части, касающейся судостроительной отрасли.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31 декабря 2014 г. №488-ФЗ «О промышленной политике в Российской Федерации».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</w:t>
      </w:r>
      <w:r>
        <w:rPr>
          <w:sz w:val="24"/>
          <w:szCs w:val="24"/>
        </w:rPr>
        <w:t xml:space="preserve">ление Правительства Российской Федерации от 17 июля 2015 г. № 719 «О подтверждении производства промышленной продукции на территории Российской Федерации». 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Стратегия развития судостроительной промышленности на период до 2036 года и на дальнейшую перспекти</w:t>
      </w:r>
      <w:r>
        <w:rPr>
          <w:sz w:val="24"/>
          <w:szCs w:val="24"/>
        </w:rPr>
        <w:t>ву до 2050 года (распоряжение Правительства Российской Федерации от 28 октября 2019 г. № 2553-р в редакции распоряжения Правительства Российской Федерации от 12 мая 2025 г. № 1181-р).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Государственная программа Российской Федерации «Развитие судостроения и </w:t>
      </w:r>
      <w:r>
        <w:rPr>
          <w:sz w:val="24"/>
          <w:szCs w:val="24"/>
        </w:rPr>
        <w:t>техники для освоения шельфовых месторождений» (постановление Правительства Российской Федерации от 15 апреля 2014 года № 304).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Транспортная стратегия Российской Федерации до 2030 года с прогнозом на период до 2035 года (Распоряжение Правительства Российско</w:t>
      </w:r>
      <w:r>
        <w:rPr>
          <w:sz w:val="24"/>
          <w:szCs w:val="24"/>
        </w:rPr>
        <w:t>й Федерации №3363-р от 27.11.2021).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ОКР «Разработка системы поддержки принятия решений планирования, мониторинга и оценки реализуемости производственной программы судостроительной отрасли», шифр «Горизонт-Судпром».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Перспективный план </w:t>
      </w:r>
      <w:r>
        <w:rPr>
          <w:sz w:val="24"/>
          <w:szCs w:val="24"/>
        </w:rPr>
        <w:t>строительства гражданских судов на период до 2035 года (утвержден Министром промышленности и торговли Российской Федерации Д.В. Мантуровым 13 декабря 2022г. №14998п-П7).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Перечни ключевых предприятий, утвержденные нормативно правовыми актами Российской Феде</w:t>
      </w:r>
      <w:r>
        <w:rPr>
          <w:sz w:val="24"/>
          <w:szCs w:val="24"/>
        </w:rPr>
        <w:t>рации в части, касающейся судостроительной отрасли.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 Департаменте судостроительной промышленности и морской техники Министерства промышленности и торговли Российской Федерации (утверждено Приказом Минпромторга России от 09.11.2017 г. № 3878). 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Действующие руководящие нормативно-технические документы, регулирующие развитие судостроительной отрасли и создание морской техники в России.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Реестры судов, регистровые книги классификационных обществ, реестр портов.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bookmarkStart w:id="14" w:name="_Hlk230888378"/>
      <w:r>
        <w:rPr>
          <w:sz w:val="24"/>
          <w:szCs w:val="24"/>
        </w:rPr>
        <w:t>Паспорта предприятий ОПК и материалы от</w:t>
      </w:r>
      <w:r>
        <w:rPr>
          <w:sz w:val="24"/>
          <w:szCs w:val="24"/>
        </w:rPr>
        <w:t>раслевой статистической отчетности.</w:t>
      </w:r>
      <w:bookmarkEnd w:id="14"/>
    </w:p>
    <w:p w:rsidR="007417D7" w:rsidRDefault="00403154">
      <w:pPr>
        <w:pStyle w:val="14"/>
        <w:keepNext/>
        <w:numPr>
          <w:ilvl w:val="0"/>
          <w:numId w:val="2"/>
        </w:numPr>
        <w:tabs>
          <w:tab w:val="left" w:pos="0"/>
        </w:tabs>
        <w:spacing w:before="240" w:after="120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Содержание работ</w:t>
      </w:r>
    </w:p>
    <w:p w:rsidR="007417D7" w:rsidRDefault="00403154">
      <w:pPr>
        <w:pStyle w:val="14"/>
        <w:keepNext/>
        <w:numPr>
          <w:ilvl w:val="1"/>
          <w:numId w:val="2"/>
        </w:numPr>
        <w:tabs>
          <w:tab w:val="left" w:pos="0"/>
        </w:tabs>
        <w:spacing w:before="120" w:after="120"/>
        <w:ind w:left="0" w:firstLine="709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u w:val="single"/>
        </w:rPr>
        <w:t xml:space="preserve">Этап 1. Разработка эскизного проекта комплекса средств автоматизации </w:t>
      </w:r>
      <w:r>
        <w:rPr>
          <w:rFonts w:ascii="Times New Roman" w:hAnsi="Times New Roman"/>
          <w:b/>
          <w:color w:val="000000"/>
          <w:u w:val="single"/>
        </w:rPr>
        <w:t>цифрового полигона «ИАЦ Гражданский флот».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Сбор и систематизация данных о текущих и перспективных грузо</w:t>
      </w:r>
      <w:r>
        <w:rPr>
          <w:sz w:val="24"/>
          <w:szCs w:val="24"/>
        </w:rPr>
        <w:noBreakHyphen/>
        <w:t> и пассажиропотоках, количеств</w:t>
      </w:r>
      <w:r>
        <w:rPr>
          <w:sz w:val="24"/>
          <w:szCs w:val="24"/>
        </w:rPr>
        <w:t>енных и качественных характеристиках действующего гражданского флота, а также о состоянии береговой и портовой инфраструктуры, характеристиках внутренних и морских водных путей (включая акваторию Северного морского пути), навигационных, сезонных и бассейно</w:t>
      </w:r>
      <w:r>
        <w:rPr>
          <w:sz w:val="24"/>
          <w:szCs w:val="24"/>
        </w:rPr>
        <w:t>вых ограничениях.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плана-проспекта методического и организационного обеспечения для получения данных и комплексной оценки состояния и ресурсного потенциала действующего пассажирского и грузового гражданского флота Российской Федерации.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</w:t>
      </w:r>
      <w:r>
        <w:rPr>
          <w:sz w:val="24"/>
          <w:szCs w:val="24"/>
        </w:rPr>
        <w:t xml:space="preserve"> плана-проспекта методического и организационного обеспечения прогнозирования потребности в строительстве новых гражданских судов и морской техники.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плана-проспекта методического и организационного обеспечения для оценки производственно-технолог</w:t>
      </w:r>
      <w:r>
        <w:rPr>
          <w:sz w:val="24"/>
          <w:szCs w:val="24"/>
        </w:rPr>
        <w:t>ических возможностей судостроительных предприятий Российской Федерации в целях планирования программы строительства гражданских судов и морской техники.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информационной модели оценки реализуемости производственной программы судостроительной отрас</w:t>
      </w:r>
      <w:r>
        <w:rPr>
          <w:sz w:val="24"/>
          <w:szCs w:val="24"/>
        </w:rPr>
        <w:t>ли и распределения выявленной потребности в строительстве гражданских судов между предприятиями.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эскизного проекта КСА ЦП ИАЦ.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Разработка демонстрационных материалов для презентации результатов по 1 этапу темы в формате </w:t>
      </w:r>
      <w:r>
        <w:rPr>
          <w:sz w:val="24"/>
          <w:szCs w:val="24"/>
        </w:rPr>
        <w:t>файла с расширением *.ppt</w:t>
      </w:r>
      <w:r>
        <w:rPr>
          <w:sz w:val="24"/>
          <w:szCs w:val="24"/>
        </w:rPr>
        <w:t>, *.pptx.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  <w:tab w:val="left" w:pos="567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bookmarkStart w:id="15" w:name="_Hlk221716061"/>
      <w:r>
        <w:rPr>
          <w:rFonts w:ascii="Times New Roman" w:eastAsia="Calibri" w:hAnsi="Times New Roman" w:cs="Times New Roman"/>
        </w:rPr>
        <w:t>Проведение патентных исследований.</w:t>
      </w:r>
      <w:bookmarkEnd w:id="15"/>
    </w:p>
    <w:p w:rsidR="007417D7" w:rsidRDefault="007417D7">
      <w:pPr>
        <w:tabs>
          <w:tab w:val="left" w:pos="960"/>
          <w:tab w:val="left" w:pos="10065"/>
        </w:tabs>
        <w:jc w:val="both"/>
        <w:rPr>
          <w:sz w:val="16"/>
          <w:szCs w:val="16"/>
          <w:u w:val="single"/>
        </w:rPr>
      </w:pPr>
    </w:p>
    <w:p w:rsidR="007417D7" w:rsidRDefault="00403154">
      <w:pPr>
        <w:tabs>
          <w:tab w:val="left" w:pos="960"/>
          <w:tab w:val="left" w:pos="10065"/>
        </w:tabs>
        <w:spacing w:after="120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  <w:u w:val="single"/>
        </w:rPr>
        <w:t>Заказчику представляются:</w:t>
      </w:r>
      <w:r>
        <w:rPr>
          <w:sz w:val="24"/>
          <w:szCs w:val="24"/>
        </w:rPr>
        <w:t xml:space="preserve"> </w:t>
      </w:r>
    </w:p>
    <w:p w:rsidR="007417D7" w:rsidRDefault="00403154">
      <w:pPr>
        <w:numPr>
          <w:ilvl w:val="0"/>
          <w:numId w:val="4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Промежуточный научно-технический отчет по результатам работы по 1 этапу ОКР с разделами, соответствующими содержанию всех перечисленных в ТТХ работ этапа.</w:t>
      </w:r>
    </w:p>
    <w:p w:rsidR="007417D7" w:rsidRDefault="00403154">
      <w:pPr>
        <w:numPr>
          <w:ilvl w:val="0"/>
          <w:numId w:val="4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Эскизный проект КСА ЦП ИАЦ.</w:t>
      </w:r>
    </w:p>
    <w:p w:rsidR="007417D7" w:rsidRDefault="00403154">
      <w:pPr>
        <w:numPr>
          <w:ilvl w:val="0"/>
          <w:numId w:val="4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Демонстрационные материалы для презентации результатов по 1 этапу темы.</w:t>
      </w:r>
    </w:p>
    <w:p w:rsidR="007417D7" w:rsidRDefault="00403154">
      <w:pPr>
        <w:numPr>
          <w:ilvl w:val="0"/>
          <w:numId w:val="4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Отчет о патентных исследованиях.</w:t>
      </w:r>
    </w:p>
    <w:p w:rsidR="007417D7" w:rsidRDefault="007417D7">
      <w:pPr>
        <w:tabs>
          <w:tab w:val="left" w:pos="960"/>
          <w:tab w:val="left" w:pos="10065"/>
        </w:tabs>
        <w:ind w:firstLine="709"/>
        <w:jc w:val="both"/>
        <w:rPr>
          <w:sz w:val="12"/>
          <w:szCs w:val="12"/>
        </w:rPr>
      </w:pPr>
    </w:p>
    <w:p w:rsidR="007417D7" w:rsidRDefault="00403154">
      <w:pPr>
        <w:tabs>
          <w:tab w:val="left" w:pos="10206"/>
        </w:tabs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Срок выполнения этапа: с даты заключения договора по 24 ноября 2026 г.</w:t>
      </w:r>
    </w:p>
    <w:p w:rsidR="007417D7" w:rsidRDefault="007417D7">
      <w:pPr>
        <w:tabs>
          <w:tab w:val="left" w:pos="960"/>
          <w:tab w:val="left" w:pos="10065"/>
        </w:tabs>
        <w:ind w:firstLine="709"/>
        <w:jc w:val="both"/>
        <w:rPr>
          <w:sz w:val="16"/>
          <w:szCs w:val="16"/>
        </w:rPr>
      </w:pPr>
    </w:p>
    <w:p w:rsidR="007417D7" w:rsidRDefault="00403154">
      <w:pPr>
        <w:pStyle w:val="14"/>
        <w:keepNext/>
        <w:numPr>
          <w:ilvl w:val="1"/>
          <w:numId w:val="2"/>
        </w:numPr>
        <w:tabs>
          <w:tab w:val="left" w:pos="0"/>
        </w:tabs>
        <w:spacing w:after="120"/>
        <w:ind w:left="0" w:firstLine="70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Этап 2. Разработка технического проекта комплекса средств автоматизации </w:t>
      </w:r>
      <w:r>
        <w:rPr>
          <w:rFonts w:ascii="Times New Roman" w:hAnsi="Times New Roman"/>
          <w:b/>
          <w:u w:val="single"/>
        </w:rPr>
        <w:t>цифрового полигона «ИАЦ Гражданский флот».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методического и организационного обеспечения для получения данных и комплексной оценки состояния и ресурсного потенциала действующего пассажирского и грузового гражданского флота Российской Федерации.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z w:val="24"/>
          <w:szCs w:val="24"/>
        </w:rPr>
        <w:t>азработка методического и организационного обеспечения прогнозирования потребности в строительстве новых гражданских судов и морской техники.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Сбор и систематизация данных о производственно-технологических возможностях судостроительных предприятий Российско</w:t>
      </w:r>
      <w:r>
        <w:rPr>
          <w:sz w:val="24"/>
          <w:szCs w:val="24"/>
        </w:rPr>
        <w:t>й Федерации, разработка формы и наполнение паспорта производственно-технологических возможностей предприятия.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методического и организационного обеспечения для оценки производственно-технологических возможностей судостроительных и судоремонтных п</w:t>
      </w:r>
      <w:r>
        <w:rPr>
          <w:sz w:val="24"/>
          <w:szCs w:val="24"/>
        </w:rPr>
        <w:t>редприятий Российской Федерации в целях планирования программы строительства гражданских судов и морской техники.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математической и компьютерной моделей оценки реализуемости производственной программы судостроительной отрасли и распределения </w:t>
      </w:r>
      <w:r>
        <w:rPr>
          <w:sz w:val="24"/>
          <w:szCs w:val="24"/>
        </w:rPr>
        <w:t>выявленной потребности в строительстве гражданских судов между предприятиями.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проекта классификаторов типов грузов и типовых маршрутов морского и речного судоходства.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Разработка информационных транспортных моделей, с учетом мультимодальных транс</w:t>
      </w:r>
      <w:r>
        <w:rPr>
          <w:sz w:val="24"/>
          <w:szCs w:val="24"/>
        </w:rPr>
        <w:t>портных схем и использованием водного и железнодорожного транспорта.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математических и компьютерных транспортных моделей для морского, речного и железнодорожного транспорта, описывающих текущие и прогнозные объёмы корреспонденции грузовых и пасса</w:t>
      </w:r>
      <w:r>
        <w:rPr>
          <w:sz w:val="24"/>
          <w:szCs w:val="24"/>
        </w:rPr>
        <w:t>жирских перевозок с учётом мультимодальных транспортных схем.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функционального макета ПК «ТЭБ».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функционального макета ПК «Геоданные».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функционального макета ПО ПАК ИМК для выполнения моделирования в режиме реального и ускор</w:t>
      </w:r>
      <w:r>
        <w:rPr>
          <w:sz w:val="24"/>
          <w:szCs w:val="24"/>
        </w:rPr>
        <w:t>енного времени различных сценариев реализации транспортных моделей.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функционального макета программного комплекса средств задания стоимостей тарифов на перевозки «Информационная система» (ПК «Информационная система»).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технического про</w:t>
      </w:r>
      <w:r>
        <w:rPr>
          <w:sz w:val="24"/>
          <w:szCs w:val="24"/>
        </w:rPr>
        <w:t>екта КСА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демонстрационных материалов для презентации результатов по 2 этапу темы.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патентных исследований.</w:t>
      </w:r>
    </w:p>
    <w:p w:rsidR="007417D7" w:rsidRDefault="007417D7">
      <w:pPr>
        <w:tabs>
          <w:tab w:val="left" w:pos="0"/>
          <w:tab w:val="left" w:pos="1276"/>
        </w:tabs>
        <w:ind w:firstLine="709"/>
        <w:jc w:val="both"/>
        <w:rPr>
          <w:sz w:val="12"/>
          <w:szCs w:val="12"/>
        </w:rPr>
      </w:pPr>
      <w:bookmarkStart w:id="16" w:name="_Hlk221716074"/>
      <w:bookmarkEnd w:id="16"/>
    </w:p>
    <w:p w:rsidR="007417D7" w:rsidRDefault="00403154">
      <w:pPr>
        <w:tabs>
          <w:tab w:val="left" w:pos="960"/>
          <w:tab w:val="left" w:pos="10065"/>
        </w:tabs>
        <w:spacing w:after="120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  <w:u w:val="single"/>
        </w:rPr>
        <w:t>Заказчику представляются:</w:t>
      </w:r>
      <w:r>
        <w:rPr>
          <w:sz w:val="24"/>
          <w:szCs w:val="24"/>
        </w:rPr>
        <w:t xml:space="preserve"> </w:t>
      </w:r>
    </w:p>
    <w:p w:rsidR="007417D7" w:rsidRDefault="00403154">
      <w:pPr>
        <w:pStyle w:val="a0"/>
        <w:widowControl w:val="0"/>
        <w:numPr>
          <w:ilvl w:val="0"/>
          <w:numId w:val="5"/>
        </w:numPr>
        <w:tabs>
          <w:tab w:val="left" w:pos="3826"/>
        </w:tabs>
        <w:ind w:left="993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Промежуточный научно-технический отчет по результатам работы по 2 этапу ОКР с разделами, соо</w:t>
      </w:r>
      <w:r>
        <w:rPr>
          <w:rFonts w:ascii="Times New Roman" w:hAnsi="Times New Roman" w:cs="Times New Roman"/>
          <w:color w:val="000000"/>
        </w:rPr>
        <w:t>тветствующими содержанию всех перечисленных в ТТХ работ этапа.</w:t>
      </w:r>
    </w:p>
    <w:p w:rsidR="007417D7" w:rsidRDefault="00403154">
      <w:pPr>
        <w:pStyle w:val="a0"/>
        <w:widowControl w:val="0"/>
        <w:numPr>
          <w:ilvl w:val="0"/>
          <w:numId w:val="5"/>
        </w:numPr>
        <w:tabs>
          <w:tab w:val="left" w:pos="3826"/>
        </w:tabs>
        <w:ind w:left="993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Технический проект КСА ЦП ИАЦ.</w:t>
      </w:r>
    </w:p>
    <w:p w:rsidR="007417D7" w:rsidRDefault="00403154">
      <w:pPr>
        <w:numPr>
          <w:ilvl w:val="0"/>
          <w:numId w:val="5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Демонстрационные материалы для презентации результатов по 2 этапу темы.</w:t>
      </w:r>
    </w:p>
    <w:p w:rsidR="007417D7" w:rsidRDefault="00403154">
      <w:pPr>
        <w:numPr>
          <w:ilvl w:val="0"/>
          <w:numId w:val="5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Отчет о патентных исследованиях.</w:t>
      </w:r>
    </w:p>
    <w:p w:rsidR="007417D7" w:rsidRDefault="007417D7">
      <w:pPr>
        <w:tabs>
          <w:tab w:val="left" w:pos="0"/>
          <w:tab w:val="left" w:pos="1276"/>
        </w:tabs>
        <w:ind w:firstLine="709"/>
        <w:jc w:val="both"/>
        <w:rPr>
          <w:sz w:val="12"/>
          <w:szCs w:val="12"/>
        </w:rPr>
      </w:pPr>
    </w:p>
    <w:p w:rsidR="007417D7" w:rsidRDefault="00403154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Срок выполнения этапа: с 26 ноября 2026 г. по 2 ноября </w:t>
      </w:r>
      <w:r>
        <w:rPr>
          <w:sz w:val="24"/>
          <w:szCs w:val="24"/>
          <w:u w:val="single"/>
        </w:rPr>
        <w:t>2027 г.</w:t>
      </w:r>
    </w:p>
    <w:p w:rsidR="007417D7" w:rsidRDefault="007417D7">
      <w:pPr>
        <w:tabs>
          <w:tab w:val="left" w:pos="0"/>
          <w:tab w:val="left" w:pos="1276"/>
        </w:tabs>
        <w:ind w:firstLine="709"/>
        <w:jc w:val="both"/>
        <w:rPr>
          <w:sz w:val="16"/>
          <w:szCs w:val="16"/>
        </w:rPr>
      </w:pPr>
    </w:p>
    <w:p w:rsidR="007417D7" w:rsidRDefault="00403154">
      <w:pPr>
        <w:pStyle w:val="14"/>
        <w:keepNext/>
        <w:numPr>
          <w:ilvl w:val="1"/>
          <w:numId w:val="2"/>
        </w:numPr>
        <w:tabs>
          <w:tab w:val="left" w:pos="0"/>
        </w:tabs>
        <w:spacing w:after="120"/>
        <w:ind w:left="0" w:firstLine="70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Этап 3. Разработка цифрового полигона «ИАЦ Гражданский флот».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методического и организационного обеспечения деятельности персонала ЦП ИАЦ, а также квалификационных требований для персонала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информационного обеспечения Ц</w:t>
      </w:r>
      <w:r>
        <w:rPr>
          <w:sz w:val="24"/>
          <w:szCs w:val="24"/>
        </w:rPr>
        <w:t>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Доработка программного комплекса системы поддержки принятия решений, созданного в рамках ОКР «Горизонт-Судпром», разработка технических решений по его включению в состав ПО КСА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цифровых транспортных моделей водного транспорта.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ПК «ТЭБ», включающего программные модули, реализующие цифровые транспортные модели.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ПМ «2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Виз».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ПК «Геоданные».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ПК «Информационная система».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ПО ПАК ИМК и его программных модулей.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программно</w:t>
      </w:r>
      <w:r>
        <w:rPr>
          <w:sz w:val="24"/>
          <w:szCs w:val="24"/>
        </w:rPr>
        <w:t>го модуля ПО КСА ЦП ИАЦ по контролю входных данных.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программной документации ПО КСА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КСА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автономных испытаний КСА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программы и методик опытной эксплуатации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программы и мет</w:t>
      </w:r>
      <w:r>
        <w:rPr>
          <w:sz w:val="24"/>
          <w:szCs w:val="24"/>
        </w:rPr>
        <w:t>одик приемочных испытаний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учебных материалов и плана подготовки персонала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персонала для обеспечения функционирования ЦП ИАЦ.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Сбор и подготовка данных, необходимых для функционирования КСА ЦП ИАЦ, и получения прогнозных</w:t>
      </w:r>
      <w:r>
        <w:rPr>
          <w:sz w:val="24"/>
          <w:szCs w:val="24"/>
        </w:rPr>
        <w:t xml:space="preserve"> значений объемов морских и речных перевозок с учетом различных сценариев развития, прогнозирования объективной потребности в гражданских судах и формирование проекта производственной программы судостроительной отрасли по состоянию на 2028 г.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bookmarkStart w:id="17" w:name="_Hlk221716109"/>
      <w:r>
        <w:rPr>
          <w:sz w:val="24"/>
          <w:szCs w:val="24"/>
        </w:rPr>
        <w:lastRenderedPageBreak/>
        <w:t>Разработка пр</w:t>
      </w:r>
      <w:r>
        <w:rPr>
          <w:sz w:val="24"/>
          <w:szCs w:val="24"/>
        </w:rPr>
        <w:t>едложений по совершенствованию межотраслевого информационного обмена, в том числе в целях повышения эффективности принятия решений в рамках реализации мероприятий государственной поддержки с использованием ЦП ИАЦ.</w:t>
      </w:r>
      <w:bookmarkEnd w:id="17"/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Разработка рекламного листа для презентаци</w:t>
      </w:r>
      <w:r>
        <w:rPr>
          <w:color w:val="000000"/>
          <w:sz w:val="24"/>
          <w:szCs w:val="24"/>
        </w:rPr>
        <w:t>и результатов работы в машиночитаемом формате (.doc, .docx, .odt).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демонстрационных материалов для презентации результатов по 3 этапу темы.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bookmarkStart w:id="18" w:name="_Hlk221716098"/>
      <w:r>
        <w:rPr>
          <w:sz w:val="24"/>
          <w:szCs w:val="24"/>
        </w:rPr>
        <w:t>Проведение патентных исследований.</w:t>
      </w:r>
      <w:bookmarkEnd w:id="18"/>
    </w:p>
    <w:p w:rsidR="007417D7" w:rsidRDefault="007417D7">
      <w:pPr>
        <w:tabs>
          <w:tab w:val="left" w:pos="960"/>
          <w:tab w:val="left" w:pos="10065"/>
        </w:tabs>
        <w:ind w:firstLine="709"/>
        <w:jc w:val="both"/>
        <w:rPr>
          <w:sz w:val="16"/>
          <w:szCs w:val="16"/>
          <w:u w:val="single"/>
        </w:rPr>
      </w:pPr>
    </w:p>
    <w:p w:rsidR="007417D7" w:rsidRDefault="007417D7">
      <w:pPr>
        <w:tabs>
          <w:tab w:val="left" w:pos="960"/>
          <w:tab w:val="left" w:pos="10065"/>
        </w:tabs>
        <w:ind w:firstLine="709"/>
        <w:jc w:val="both"/>
        <w:rPr>
          <w:sz w:val="16"/>
          <w:szCs w:val="16"/>
          <w:u w:val="single"/>
        </w:rPr>
      </w:pPr>
    </w:p>
    <w:p w:rsidR="007417D7" w:rsidRDefault="00403154">
      <w:pPr>
        <w:tabs>
          <w:tab w:val="left" w:pos="960"/>
          <w:tab w:val="left" w:pos="10065"/>
        </w:tabs>
        <w:spacing w:after="120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Заказчику представляются: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Промежуточный научно-технический отчет по </w:t>
      </w:r>
      <w:r>
        <w:rPr>
          <w:sz w:val="24"/>
          <w:szCs w:val="24"/>
        </w:rPr>
        <w:t>результатам работы по 3 этапу ОКР с разделами, соответствующими содержанию всех перечисленных в ТТХ работ этапа.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КСА ЦП ИАЦ</w:t>
      </w:r>
      <w:r>
        <w:rPr>
          <w:sz w:val="24"/>
          <w:szCs w:val="24"/>
          <w:lang w:val="en-US"/>
        </w:rPr>
        <w:t>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ПК «ТЭБ».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ПК «Геоданные».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ПК «Информационная система».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ПМ «2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Виз».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ПО ПАК ИМК.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ПО КСА ЦП ИАЦ.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Программная документация ПО КСА ЦП И</w:t>
      </w:r>
      <w:r>
        <w:rPr>
          <w:sz w:val="24"/>
          <w:szCs w:val="24"/>
        </w:rPr>
        <w:t>АЦ.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bookmarkStart w:id="19" w:name="_Hlk231373370"/>
      <w:r>
        <w:rPr>
          <w:sz w:val="24"/>
          <w:szCs w:val="24"/>
        </w:rPr>
        <w:t>Комплект методического и организационного обеспечения деятельности персонала ЦП ИАЦ, а также информационного обеспечения ЦП ИАЦ.</w:t>
      </w:r>
      <w:bookmarkEnd w:id="19"/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 и акт об автономных испытаниях КСА ЦП ИАЦ.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Программа и методики опытной эксплуатации ЦП ИАЦ.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и методики </w:t>
      </w:r>
      <w:r>
        <w:rPr>
          <w:sz w:val="24"/>
          <w:szCs w:val="24"/>
        </w:rPr>
        <w:t>приемочных испытаний ЦП ИАЦ.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Учебные материалы и план подготовки персонала ЦП ИАЦ.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Отчет о подготовке персонала ЦП ИАЦ.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Демонстрационные материалы для презентации результатов по 3 этапу темы.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Рекламный лист для презентации результатов работы в машиночитаем</w:t>
      </w:r>
      <w:r>
        <w:rPr>
          <w:sz w:val="24"/>
          <w:szCs w:val="24"/>
        </w:rPr>
        <w:t>ом формате (.doc, .docx, .odt).</w:t>
      </w:r>
    </w:p>
    <w:p w:rsidR="007417D7" w:rsidRDefault="00403154">
      <w:pPr>
        <w:numPr>
          <w:ilvl w:val="0"/>
          <w:numId w:val="11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Отчет о патентных исследованиях.</w:t>
      </w:r>
    </w:p>
    <w:p w:rsidR="007417D7" w:rsidRDefault="007417D7">
      <w:pPr>
        <w:ind w:left="1134"/>
        <w:jc w:val="both"/>
        <w:rPr>
          <w:sz w:val="12"/>
          <w:szCs w:val="12"/>
        </w:rPr>
      </w:pPr>
    </w:p>
    <w:p w:rsidR="007417D7" w:rsidRDefault="00403154">
      <w:pPr>
        <w:ind w:firstLine="709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Срок выполнения этапа: </w:t>
      </w:r>
      <w:r>
        <w:rPr>
          <w:sz w:val="24"/>
          <w:szCs w:val="24"/>
          <w:u w:val="single"/>
          <w:lang w:eastAsia="en-US"/>
        </w:rPr>
        <w:t>с 3 ноября 2027 г. по 21 сентября 2028 г</w:t>
      </w:r>
      <w:r>
        <w:rPr>
          <w:color w:val="000000" w:themeColor="dark1"/>
          <w:sz w:val="24"/>
          <w:szCs w:val="24"/>
          <w:u w:val="single"/>
        </w:rPr>
        <w:t>.</w:t>
      </w:r>
    </w:p>
    <w:p w:rsidR="007417D7" w:rsidRDefault="007417D7">
      <w:pPr>
        <w:ind w:left="1134"/>
        <w:jc w:val="both"/>
        <w:rPr>
          <w:sz w:val="12"/>
          <w:szCs w:val="12"/>
        </w:rPr>
      </w:pPr>
    </w:p>
    <w:p w:rsidR="007417D7" w:rsidRDefault="00403154">
      <w:pPr>
        <w:pStyle w:val="14"/>
        <w:keepNext/>
        <w:numPr>
          <w:ilvl w:val="1"/>
          <w:numId w:val="2"/>
        </w:numPr>
        <w:tabs>
          <w:tab w:val="left" w:pos="0"/>
        </w:tabs>
        <w:spacing w:after="120"/>
        <w:ind w:left="0" w:firstLine="70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Этап 4. Испытания и ввод в действие цифрового полигона «ИАЦ Гражданский флот».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опытной эксплуатации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КСА ЦП ИАЦ по результатам опытной эксплуатации.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приемочных испытаний ЦП ИАЦ.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Ввод в действие ЦП ИАЦ.</w:t>
      </w:r>
    </w:p>
    <w:p w:rsidR="007417D7" w:rsidRDefault="00403154">
      <w:pPr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Наполнение КСА ЦП ИАЦ входными данными для получения прогнозных значений объемов морских и речных перевозок с учетом различных вар</w:t>
      </w:r>
      <w:r>
        <w:rPr>
          <w:sz w:val="24"/>
          <w:szCs w:val="24"/>
        </w:rPr>
        <w:t>иантов развития.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 текущих и перспективных грузопотоков и комплексная оценка состояния и ресурсного потенциала действующего гражданского флота Российской Федерации, а также прогнозирование объективной потребности в гражданских судах по состоянию на 20</w:t>
      </w:r>
      <w:r>
        <w:rPr>
          <w:sz w:val="24"/>
          <w:szCs w:val="24"/>
        </w:rPr>
        <w:t>28 г.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проекта производственной программы судостроительной отрасли по состоянию на 2028 г.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рекомендаций по направлениям развития производственной базы судостроительных заводов и верфей, портовой инфраструктуры.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Разработка рекламного </w:t>
      </w:r>
      <w:r>
        <w:rPr>
          <w:color w:val="000000"/>
          <w:sz w:val="24"/>
          <w:szCs w:val="24"/>
        </w:rPr>
        <w:t>листа для презентации результатов работы в машиночитаемом формате (.doc, .docx, .odt).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демонстрационных материалов для презентации результатов по 4 этапу темы и теме в целом.</w:t>
      </w:r>
    </w:p>
    <w:p w:rsidR="007417D7" w:rsidRDefault="00403154">
      <w:pPr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патентных исследований.</w:t>
      </w:r>
    </w:p>
    <w:p w:rsidR="007417D7" w:rsidRDefault="007417D7">
      <w:pPr>
        <w:tabs>
          <w:tab w:val="left" w:pos="960"/>
          <w:tab w:val="left" w:pos="10065"/>
        </w:tabs>
        <w:ind w:firstLine="709"/>
        <w:jc w:val="both"/>
        <w:rPr>
          <w:sz w:val="12"/>
          <w:szCs w:val="12"/>
          <w:u w:val="single"/>
        </w:rPr>
      </w:pPr>
    </w:p>
    <w:p w:rsidR="007417D7" w:rsidRDefault="00403154">
      <w:pPr>
        <w:tabs>
          <w:tab w:val="left" w:pos="960"/>
          <w:tab w:val="left" w:pos="10065"/>
        </w:tabs>
        <w:spacing w:after="120"/>
        <w:ind w:firstLine="709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  <w:u w:val="single"/>
        </w:rPr>
        <w:lastRenderedPageBreak/>
        <w:t>Заказчику представляются:</w:t>
      </w:r>
    </w:p>
    <w:p w:rsidR="007417D7" w:rsidRDefault="00403154">
      <w:pPr>
        <w:numPr>
          <w:ilvl w:val="0"/>
          <w:numId w:val="12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Заключит</w:t>
      </w:r>
      <w:r>
        <w:rPr>
          <w:sz w:val="24"/>
          <w:szCs w:val="24"/>
        </w:rPr>
        <w:t>ельный научно-технический отчет по результатам работы по 4 этапу ОКР с разделами, соответствующими содержанию всех перечисленных в ТТХ работ этапа.</w:t>
      </w:r>
    </w:p>
    <w:p w:rsidR="007417D7" w:rsidRDefault="00403154">
      <w:pPr>
        <w:numPr>
          <w:ilvl w:val="0"/>
          <w:numId w:val="12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Акт об опытной эксплуатации ЦП ИАЦ.</w:t>
      </w:r>
    </w:p>
    <w:p w:rsidR="007417D7" w:rsidRDefault="00403154">
      <w:pPr>
        <w:numPr>
          <w:ilvl w:val="0"/>
          <w:numId w:val="12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 и акт о проведении приемочных испытаний ЦП ИАЦ.</w:t>
      </w:r>
    </w:p>
    <w:p w:rsidR="007417D7" w:rsidRDefault="00403154">
      <w:pPr>
        <w:numPr>
          <w:ilvl w:val="0"/>
          <w:numId w:val="12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Акт о вводе в д</w:t>
      </w:r>
      <w:r>
        <w:rPr>
          <w:sz w:val="24"/>
          <w:szCs w:val="24"/>
        </w:rPr>
        <w:t>ействие ЦП ИАЦ.</w:t>
      </w:r>
    </w:p>
    <w:p w:rsidR="007417D7" w:rsidRDefault="00403154">
      <w:pPr>
        <w:numPr>
          <w:ilvl w:val="0"/>
          <w:numId w:val="12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Материалы заявки на государственную регистрацию программы для ЭВМ: «Программный модуль прогнозирования потребности в гражданском флоте цифрового полигона для решения задач планирования судоходства и развития судостроения «ИАЦ Гражданский фл</w:t>
      </w:r>
      <w:r>
        <w:rPr>
          <w:sz w:val="24"/>
          <w:szCs w:val="24"/>
        </w:rPr>
        <w:t>от».</w:t>
      </w:r>
    </w:p>
    <w:p w:rsidR="007417D7" w:rsidRDefault="00403154">
      <w:pPr>
        <w:numPr>
          <w:ilvl w:val="0"/>
          <w:numId w:val="12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Материалы заявки на государственную регистрацию программы для ЭВМ: «Комплекс средств автоматизации цифрового полигона для решения задач планирования судоходства и развития судостроения «ИАЦ Гражданский флот».</w:t>
      </w:r>
    </w:p>
    <w:p w:rsidR="007417D7" w:rsidRDefault="00403154">
      <w:pPr>
        <w:numPr>
          <w:ilvl w:val="0"/>
          <w:numId w:val="12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Материалы заявки на государственную регист</w:t>
      </w:r>
      <w:r>
        <w:rPr>
          <w:sz w:val="24"/>
          <w:szCs w:val="24"/>
        </w:rPr>
        <w:t>рацию программы для ЭВМ: «Программное обеспечение имитационно-моделирующего комплекса для реализации транспортной модели цифрового полигона для решения задач планирования судоходства и развития судостроения «ИАЦ Гражданский флот».</w:t>
      </w:r>
    </w:p>
    <w:p w:rsidR="007417D7" w:rsidRDefault="00403154">
      <w:pPr>
        <w:numPr>
          <w:ilvl w:val="0"/>
          <w:numId w:val="12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Демонстрационные материал</w:t>
      </w:r>
      <w:r>
        <w:rPr>
          <w:sz w:val="24"/>
          <w:szCs w:val="24"/>
        </w:rPr>
        <w:t>ы для презентации результатов по 4 этапу темы и теме в целом.</w:t>
      </w:r>
    </w:p>
    <w:p w:rsidR="007417D7" w:rsidRDefault="00403154">
      <w:pPr>
        <w:numPr>
          <w:ilvl w:val="0"/>
          <w:numId w:val="12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Рекламный лист для презентации результатов работы в машиночитаемом формате (.doc, .docx, .odt).</w:t>
      </w:r>
    </w:p>
    <w:p w:rsidR="007417D7" w:rsidRDefault="00403154">
      <w:pPr>
        <w:numPr>
          <w:ilvl w:val="0"/>
          <w:numId w:val="12"/>
        </w:numPr>
        <w:ind w:left="1134" w:hanging="567"/>
        <w:jc w:val="both"/>
        <w:rPr>
          <w:sz w:val="24"/>
          <w:szCs w:val="24"/>
        </w:rPr>
      </w:pPr>
      <w:bookmarkStart w:id="20" w:name="_Hlk231229318"/>
      <w:r>
        <w:rPr>
          <w:sz w:val="24"/>
          <w:szCs w:val="24"/>
        </w:rPr>
        <w:t>Отчет о патентных исследованиях.</w:t>
      </w:r>
      <w:bookmarkEnd w:id="20"/>
    </w:p>
    <w:p w:rsidR="007417D7" w:rsidRDefault="00403154">
      <w:pPr>
        <w:tabs>
          <w:tab w:val="left" w:pos="960"/>
          <w:tab w:val="left" w:pos="10065"/>
        </w:tabs>
        <w:spacing w:before="120" w:after="120"/>
        <w:ind w:firstLine="68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Срок выполнения этапа: с 22 сентября 2028 г. по 23 ноября 2028 г.</w:t>
      </w:r>
    </w:p>
    <w:p w:rsidR="007417D7" w:rsidRDefault="00403154">
      <w:pPr>
        <w:tabs>
          <w:tab w:val="left" w:pos="960"/>
          <w:tab w:val="left" w:pos="10065"/>
        </w:tabs>
        <w:spacing w:before="240" w:after="120"/>
        <w:ind w:firstLine="68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По окончании всей работы Заказчику представляются: 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Промежуточный научно-технический отчет по результатам работы по 1 этапу ОКР с разделами, соответствующими содержанию всех перечисленных в ТТХ работ этапа.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Эскизный проект КСА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Демонстрационные </w:t>
      </w:r>
      <w:r>
        <w:rPr>
          <w:sz w:val="24"/>
          <w:szCs w:val="24"/>
        </w:rPr>
        <w:t>материалы для презентации результатов по 1 этапу темы.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bookmarkStart w:id="21" w:name="_Hlk230972832"/>
      <w:r>
        <w:rPr>
          <w:sz w:val="24"/>
          <w:szCs w:val="24"/>
        </w:rPr>
        <w:t>Отчет о патентных исследованиях.</w:t>
      </w:r>
      <w:bookmarkEnd w:id="21"/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Промежуточный научно-технический отчет по результатам работы по 2 этапу ОКР с разделами, соответствующими содержанию всех перечисленных в ТТХ работ этапа.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Технический п</w:t>
      </w:r>
      <w:r>
        <w:rPr>
          <w:sz w:val="24"/>
          <w:szCs w:val="24"/>
        </w:rPr>
        <w:t>роект КСА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Демонстрационные материалы для презентации результатов по 2 этапу темы.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Отчет о патентных исследованиях.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Промежуточный научно-технический отчет по результатам работы по 3 этапу ОКР с разделами, соответствующими содержанию всех перечисленн</w:t>
      </w:r>
      <w:r>
        <w:rPr>
          <w:sz w:val="24"/>
          <w:szCs w:val="24"/>
        </w:rPr>
        <w:t>ых в ТТХ работ этапа.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ПК «ТЭБ».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ПК «Геоданные».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ПК «Информационная система».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ПМ «2D Виз».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ПО ПАК ИМК.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ПО КСА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Комплект методического и организационного обеспечения деятельности персонала ЦП ИАЦ, а также информационного обеспечения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Программна</w:t>
      </w:r>
      <w:r>
        <w:rPr>
          <w:sz w:val="24"/>
          <w:szCs w:val="24"/>
        </w:rPr>
        <w:t>я документация ПО КСА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 и акт об автономных испытаниях КСА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Программа и методики опытной эксплуатации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Программа и методики приемочных испытаний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Учебные материалы и план подготовки персонала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Отчет о подготовке п</w:t>
      </w:r>
      <w:r>
        <w:rPr>
          <w:sz w:val="24"/>
          <w:szCs w:val="24"/>
        </w:rPr>
        <w:t>ерсонала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Демонстрационные материалы для презентации результатов по 3 этапу темы.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Рекламный лист для презентации результатов работы в машиночитаемом формате (.doc, .docx, .odt).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Отчет о патентных исследованиях.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Заключительный научно-технический </w:t>
      </w:r>
      <w:r>
        <w:rPr>
          <w:sz w:val="24"/>
          <w:szCs w:val="24"/>
        </w:rPr>
        <w:t>отчет по результатам работы по 4 этапу ОКР с разделами, соответствующими содержанию всех перечисленных в ТТХ работ этапа.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Акт об опытной эксплуатации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 и акт о проведении приемочных испытаний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Акт о вводе в действие ЦП ИАЦ.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Материалы </w:t>
      </w:r>
      <w:r>
        <w:rPr>
          <w:sz w:val="24"/>
          <w:szCs w:val="24"/>
        </w:rPr>
        <w:t>заявки на государственную регистрацию программы для ЭВМ: «Программный модуль прогнозирования потребности в гражданском флоте цифрового полигона для решения задач планирования судоходства и развития судостроения «ИАЦ Гражданский флот».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Материалы заявки на г</w:t>
      </w:r>
      <w:r>
        <w:rPr>
          <w:sz w:val="24"/>
          <w:szCs w:val="24"/>
        </w:rPr>
        <w:t>осударственную регистрацию программы для ЭВМ: «Комплекс средств автоматизации цифрового полигона для решения задач планирования судоходства и развития судостроения «ИАЦ Гражданский флот».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Материалы заявки на государственную регистрацию программы для ЭВМ: «</w:t>
      </w:r>
      <w:r>
        <w:rPr>
          <w:sz w:val="24"/>
          <w:szCs w:val="24"/>
        </w:rPr>
        <w:t>Программное обеспечение имитационно-моделирующего комплекса для реализации транспортной модели цифрового полигона для решения задач планирования судоходства и развития судостроения «ИАЦ Гражданский флот».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Демонстрационные материалы для презентации результа</w:t>
      </w:r>
      <w:r>
        <w:rPr>
          <w:sz w:val="24"/>
          <w:szCs w:val="24"/>
        </w:rPr>
        <w:t>тов по 4 этапу темы и теме в целом.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Рекламный лист для презентации результатов работы в машиночитаемом формате (.doc, .docx, .odt).</w:t>
      </w:r>
    </w:p>
    <w:p w:rsidR="007417D7" w:rsidRDefault="00403154">
      <w:pPr>
        <w:numPr>
          <w:ilvl w:val="0"/>
          <w:numId w:val="10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Отчет о патентных исследованиях.</w:t>
      </w:r>
    </w:p>
    <w:p w:rsidR="007417D7" w:rsidRDefault="00403154">
      <w:pPr>
        <w:pStyle w:val="14"/>
        <w:numPr>
          <w:ilvl w:val="0"/>
          <w:numId w:val="2"/>
        </w:numPr>
        <w:tabs>
          <w:tab w:val="left" w:pos="0"/>
        </w:tabs>
        <w:spacing w:before="120" w:after="120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Основные требования к выполнению исследования или разработки</w:t>
      </w:r>
    </w:p>
    <w:p w:rsidR="007417D7" w:rsidRDefault="00403154">
      <w:pPr>
        <w:pStyle w:val="a0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Технические требования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ЦП ИАЦ </w:t>
      </w:r>
      <w:r>
        <w:rPr>
          <w:rFonts w:ascii="Times New Roman" w:hAnsi="Times New Roman" w:cs="Times New Roman"/>
        </w:rPr>
        <w:t>должен представлять собой систему, состоящую из технических средств, программного, методического и организационного обеспечения и квалифицированного персонала, предназначенную для проведения испытаний как результата исследования свойств цифровой моделей.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Состав ЦП ИАЦ: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bookmarkStart w:id="22" w:name="_Hlk231371619"/>
      <w:r>
        <w:rPr>
          <w:sz w:val="24"/>
          <w:szCs w:val="24"/>
        </w:rPr>
        <w:t>КСА ЦП ИАЦ</w:t>
      </w:r>
      <w:bookmarkEnd w:id="22"/>
      <w:r>
        <w:rPr>
          <w:sz w:val="24"/>
          <w:szCs w:val="24"/>
        </w:rPr>
        <w:t>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bookmarkStart w:id="23" w:name="_Hlk231371624"/>
      <w:r>
        <w:rPr>
          <w:sz w:val="24"/>
          <w:szCs w:val="24"/>
        </w:rPr>
        <w:t>Методическое и организационное обеспечение деятельности персонала ЦП ИАЦ, квалификационные требования для персонала</w:t>
      </w:r>
      <w:bookmarkEnd w:id="23"/>
      <w:r>
        <w:rPr>
          <w:sz w:val="24"/>
          <w:szCs w:val="24"/>
        </w:rPr>
        <w:t>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 обеспечение ЦП ИАЦ, включая справочники, каталоги, классификаторы, БД районов, состояния гидротех</w:t>
      </w:r>
      <w:r>
        <w:rPr>
          <w:sz w:val="24"/>
          <w:szCs w:val="24"/>
        </w:rPr>
        <w:t>нических сооружений, расположения и состояния водных и железнодорожных путей.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bookmarkStart w:id="24" w:name="_Hlk231371629"/>
      <w:r>
        <w:rPr>
          <w:sz w:val="24"/>
          <w:szCs w:val="24"/>
        </w:rPr>
        <w:t>Обученный персонал для выполнения работ в составе ЦП ИАЦ</w:t>
      </w:r>
      <w:bookmarkEnd w:id="24"/>
      <w:r>
        <w:rPr>
          <w:sz w:val="24"/>
          <w:szCs w:val="24"/>
        </w:rPr>
        <w:t>.</w:t>
      </w:r>
    </w:p>
    <w:p w:rsidR="007417D7" w:rsidRDefault="00403154">
      <w:pPr>
        <w:pStyle w:val="a0"/>
        <w:keepNext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Состав КСА ЦП ИАЦ: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 «ТЭБ»</w:t>
      </w:r>
      <w:r>
        <w:rPr>
          <w:sz w:val="24"/>
          <w:szCs w:val="24"/>
          <w:lang w:val="en-US"/>
        </w:rPr>
        <w:t>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 «Геоданные»</w:t>
      </w:r>
      <w:r>
        <w:rPr>
          <w:sz w:val="24"/>
          <w:szCs w:val="24"/>
          <w:lang w:val="en-US"/>
        </w:rPr>
        <w:t>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 СППР «Горизонт-Судпром</w:t>
      </w:r>
      <w:r>
        <w:rPr>
          <w:sz w:val="24"/>
          <w:szCs w:val="24"/>
          <w:lang w:val="en-US"/>
        </w:rPr>
        <w:t xml:space="preserve"> 2</w:t>
      </w:r>
      <w:r>
        <w:rPr>
          <w:sz w:val="24"/>
          <w:szCs w:val="24"/>
        </w:rPr>
        <w:t>»</w:t>
      </w:r>
      <w:r>
        <w:rPr>
          <w:sz w:val="24"/>
          <w:szCs w:val="24"/>
          <w:lang w:val="en-US"/>
        </w:rPr>
        <w:t>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 «Информационная система»</w:t>
      </w:r>
      <w:r>
        <w:rPr>
          <w:sz w:val="24"/>
          <w:szCs w:val="24"/>
          <w:lang w:val="en-US"/>
        </w:rPr>
        <w:t>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ПМ «2</w:t>
      </w:r>
      <w:r>
        <w:rPr>
          <w:sz w:val="24"/>
          <w:szCs w:val="24"/>
          <w:lang w:val="en-US"/>
        </w:rPr>
        <w:t xml:space="preserve">D </w:t>
      </w:r>
      <w:r>
        <w:rPr>
          <w:sz w:val="24"/>
          <w:szCs w:val="24"/>
        </w:rPr>
        <w:t>Виз».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bookmarkStart w:id="25" w:name="_Hlk230970459"/>
      <w:r>
        <w:rPr>
          <w:sz w:val="24"/>
          <w:szCs w:val="24"/>
        </w:rPr>
        <w:t>ПАК</w:t>
      </w:r>
      <w:r>
        <w:rPr>
          <w:sz w:val="24"/>
          <w:szCs w:val="24"/>
        </w:rPr>
        <w:t xml:space="preserve"> ИМК.</w:t>
      </w:r>
      <w:bookmarkEnd w:id="25"/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bookmarkStart w:id="26" w:name="_Hlk231371643"/>
      <w:r>
        <w:rPr>
          <w:sz w:val="24"/>
          <w:szCs w:val="24"/>
        </w:rPr>
        <w:t>Техническое обеспечение, включая вычислительные средства и телекоммуникационное оборудование для работы с конфиденциальной информацией</w:t>
      </w:r>
      <w:bookmarkEnd w:id="26"/>
      <w:r>
        <w:rPr>
          <w:sz w:val="24"/>
          <w:szCs w:val="24"/>
        </w:rPr>
        <w:t>.</w:t>
      </w:r>
    </w:p>
    <w:p w:rsidR="007417D7" w:rsidRDefault="00403154">
      <w:pPr>
        <w:pStyle w:val="a0"/>
        <w:keepNext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требования к ПО КСА ЦП ИАЦ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КСА ЦП ИАЦ состоит ПК «ТЭБ», ПК «Геоданные», ПК СППР «Горизонт-Судпром 2», ПК </w:t>
      </w:r>
      <w:r>
        <w:rPr>
          <w:sz w:val="24"/>
          <w:szCs w:val="24"/>
        </w:rPr>
        <w:t>«Информационная система», ПМ «2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Виз» и ПО ПАК ИМК.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 «ТЭБ» должен содержать комплект параметризуемых транспортных моделей (в объеме и с адекватностью, достаточными для достижения целей работы).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 «Геоданные» должен содержать</w:t>
      </w:r>
      <w:r>
        <w:rPr>
          <w:sz w:val="24"/>
          <w:szCs w:val="24"/>
          <w:lang w:val="en-US"/>
        </w:rPr>
        <w:t>:</w:t>
      </w:r>
    </w:p>
    <w:p w:rsidR="007417D7" w:rsidRDefault="0040315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средства задания и редакт</w:t>
      </w:r>
      <w:r>
        <w:rPr>
          <w:sz w:val="24"/>
          <w:szCs w:val="24"/>
        </w:rPr>
        <w:t>ирования характеристик (включая расположение, габариты и технические характеристики) гидротехнических объектов;</w:t>
      </w:r>
    </w:p>
    <w:p w:rsidR="007417D7" w:rsidRDefault="0040315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средства для задания районов и характеристик, определяющих ледовую обстановку на водных путях в объеме достаточном для моделирования;</w:t>
      </w:r>
    </w:p>
    <w:p w:rsidR="007417D7" w:rsidRDefault="0040315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средст</w:t>
      </w:r>
      <w:r>
        <w:rPr>
          <w:sz w:val="24"/>
          <w:szCs w:val="24"/>
        </w:rPr>
        <w:t>ва привязки характеристик во времени.</w:t>
      </w:r>
    </w:p>
    <w:p w:rsidR="007417D7" w:rsidRDefault="00403154">
      <w:pPr>
        <w:keepNext/>
        <w:numPr>
          <w:ilvl w:val="3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ПК СППР «Горизонт-Судпром 2» должен обеспечивать выполнение функциональных требований СППР «Горизонт-Судпром» (разработанного в рамках государственного контракта № 22411.4732790019.09.002 от 31.10.2022 г. ОКР «Горизонт</w:t>
      </w:r>
      <w:r>
        <w:rPr>
          <w:sz w:val="24"/>
          <w:szCs w:val="24"/>
        </w:rPr>
        <w:t xml:space="preserve">-Судпром»). Состав ПК СППР «Горизонт-Судпром 2» и функциональные требования к нему должны быть уточнены на этапе технического проекта КСА ЦП ИАЦ. 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по учету межзаводской кооперации и перечню соответствующих данных должны быть определены по </w:t>
      </w:r>
      <w:r>
        <w:rPr>
          <w:sz w:val="24"/>
          <w:szCs w:val="24"/>
        </w:rPr>
        <w:t>результатам разработки технического проекта КСА ЦП ИАЦ.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 «Информационная система» должен содержать средства задания стоимостей тарифов на грузовые и пассажирские морские, речные и железнодорожные перевозки с учетом сезонности.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ПМ «2D Виз» должен позволят</w:t>
      </w:r>
      <w:r>
        <w:rPr>
          <w:sz w:val="24"/>
          <w:szCs w:val="24"/>
        </w:rPr>
        <w:t>ь:</w:t>
      </w:r>
    </w:p>
    <w:p w:rsidR="007417D7" w:rsidRDefault="0040315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визуализировать обстановку в 2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для отображения хода моделирования в ПАК ИМК;</w:t>
      </w:r>
    </w:p>
    <w:p w:rsidR="007417D7" w:rsidRDefault="0040315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отображать редактируемые данные в ПК «Геоданные»;</w:t>
      </w:r>
    </w:p>
    <w:p w:rsidR="007417D7" w:rsidRDefault="0040315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отображать ледовую обстановку на водных путях в объеме достаточном для моделирования;</w:t>
      </w:r>
    </w:p>
    <w:p w:rsidR="007417D7" w:rsidRDefault="0040315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отображать расположение, состоя</w:t>
      </w:r>
      <w:r>
        <w:rPr>
          <w:sz w:val="24"/>
          <w:szCs w:val="24"/>
        </w:rPr>
        <w:t>ние и траектории судов, моделируемых в рамках транспортных моделей водного транспорта.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ПАК ИМК предназначено для моделирования в режиме реального и ускоренного времени различных сценариев реализации транспортных моделей.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ПАК ИМК должно:</w:t>
      </w:r>
    </w:p>
    <w:p w:rsidR="007417D7" w:rsidRDefault="00403154">
      <w:pPr>
        <w:pStyle w:val="a0"/>
        <w:numPr>
          <w:ilvl w:val="0"/>
          <w:numId w:val="9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иметь </w:t>
      </w:r>
      <w:r>
        <w:rPr>
          <w:rFonts w:ascii="Times New Roman" w:hAnsi="Times New Roman" w:cs="Times New Roman"/>
        </w:rPr>
        <w:t>возможность вывода отладочной информации и состояния моделирования;</w:t>
      </w:r>
    </w:p>
    <w:p w:rsidR="007417D7" w:rsidRDefault="00403154">
      <w:pPr>
        <w:pStyle w:val="a0"/>
        <w:numPr>
          <w:ilvl w:val="0"/>
          <w:numId w:val="9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обеспечивать режим сохранения, загрузки и проигрывания результатов моделирования с их визуализацией с использованием ПМ «2D Виз»;</w:t>
      </w:r>
    </w:p>
    <w:p w:rsidR="007417D7" w:rsidRDefault="00403154">
      <w:pPr>
        <w:pStyle w:val="a0"/>
        <w:numPr>
          <w:ilvl w:val="0"/>
          <w:numId w:val="9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содержать </w:t>
      </w:r>
      <w:bookmarkStart w:id="27" w:name="_Hlk231371768"/>
      <w:r>
        <w:rPr>
          <w:rFonts w:ascii="Times New Roman" w:hAnsi="Times New Roman" w:cs="Times New Roman"/>
        </w:rPr>
        <w:t>программный модуль анализа результатов моделиров</w:t>
      </w:r>
      <w:r>
        <w:rPr>
          <w:rFonts w:ascii="Times New Roman" w:hAnsi="Times New Roman" w:cs="Times New Roman"/>
        </w:rPr>
        <w:t>ания и графического представления результатов</w:t>
      </w:r>
      <w:bookmarkEnd w:id="27"/>
      <w:r>
        <w:rPr>
          <w:rFonts w:ascii="Times New Roman" w:hAnsi="Times New Roman" w:cs="Times New Roman"/>
        </w:rPr>
        <w:t>;</w:t>
      </w:r>
    </w:p>
    <w:p w:rsidR="007417D7" w:rsidRDefault="00403154">
      <w:pPr>
        <w:pStyle w:val="a0"/>
        <w:numPr>
          <w:ilvl w:val="0"/>
          <w:numId w:val="9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содержать </w:t>
      </w:r>
      <w:bookmarkStart w:id="28" w:name="_Hlk231371780"/>
      <w:r>
        <w:rPr>
          <w:rFonts w:ascii="Times New Roman" w:hAnsi="Times New Roman" w:cs="Times New Roman"/>
        </w:rPr>
        <w:t>модуль экспорта результатов анализа моделирования в обменные форматы данных</w:t>
      </w:r>
      <w:bookmarkEnd w:id="28"/>
      <w:r>
        <w:rPr>
          <w:rFonts w:ascii="Times New Roman" w:hAnsi="Times New Roman" w:cs="Times New Roman"/>
        </w:rPr>
        <w:t>, определяемые на этапе технического проекта;</w:t>
      </w:r>
    </w:p>
    <w:p w:rsidR="007417D7" w:rsidRDefault="00403154">
      <w:pPr>
        <w:pStyle w:val="a0"/>
        <w:numPr>
          <w:ilvl w:val="0"/>
          <w:numId w:val="9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содержать </w:t>
      </w:r>
      <w:bookmarkStart w:id="29" w:name="_Hlk230970023"/>
      <w:bookmarkStart w:id="30" w:name="_Hlk231371792"/>
      <w:r>
        <w:rPr>
          <w:rFonts w:ascii="Times New Roman" w:hAnsi="Times New Roman" w:cs="Times New Roman"/>
        </w:rPr>
        <w:t>модуль информационного сопряжения со сторонними информационными сист</w:t>
      </w:r>
      <w:r>
        <w:rPr>
          <w:rFonts w:ascii="Times New Roman" w:hAnsi="Times New Roman" w:cs="Times New Roman"/>
        </w:rPr>
        <w:t>емами</w:t>
      </w:r>
      <w:bookmarkEnd w:id="29"/>
      <w:bookmarkEnd w:id="30"/>
      <w:r>
        <w:rPr>
          <w:rFonts w:ascii="Times New Roman" w:hAnsi="Times New Roman" w:cs="Times New Roman"/>
        </w:rPr>
        <w:t>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ПАК ИМК и вычислительные средства ПАК ИМК должны обеспечивать достаточную производительность для выполнения требований технического задания.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ПО ПАК ИМК должен входить </w:t>
      </w:r>
      <w:bookmarkStart w:id="31" w:name="_Hlk231371760"/>
      <w:r>
        <w:rPr>
          <w:sz w:val="24"/>
          <w:szCs w:val="24"/>
        </w:rPr>
        <w:t>программный модуль управления сценариями моделирования, позволяющих за</w:t>
      </w:r>
      <w:r>
        <w:rPr>
          <w:sz w:val="24"/>
          <w:szCs w:val="24"/>
        </w:rPr>
        <w:t>давать, редактировать, сохранять различные сценарии и результаты их моделирования</w:t>
      </w:r>
      <w:bookmarkEnd w:id="31"/>
      <w:r>
        <w:rPr>
          <w:sz w:val="24"/>
          <w:szCs w:val="24"/>
        </w:rPr>
        <w:t>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КСА ЦП ИАЦ должно содержать программные модули, обеспечивающие коллективную работу нескольких пользователей (до 10) с учетом: разграничения прав доступа, сохранения истор</w:t>
      </w:r>
      <w:r>
        <w:rPr>
          <w:sz w:val="24"/>
          <w:szCs w:val="24"/>
        </w:rPr>
        <w:t xml:space="preserve">ий изменений, прослеживаемости внесенных изменений. 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КСА ЦП ИАЦ должно обеспечивать формирование и получение оперативной, актуальной и достоверной информации:</w:t>
      </w:r>
    </w:p>
    <w:p w:rsidR="007417D7" w:rsidRDefault="00403154">
      <w:pPr>
        <w:pStyle w:val="a0"/>
        <w:numPr>
          <w:ilvl w:val="0"/>
          <w:numId w:val="6"/>
        </w:numPr>
        <w:tabs>
          <w:tab w:val="left" w:pos="0"/>
        </w:tabs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объеме потребности в гражданском флоте для достижения прогнозируемых показателей </w:t>
      </w:r>
      <w:r>
        <w:rPr>
          <w:rFonts w:ascii="Times New Roman" w:hAnsi="Times New Roman" w:cs="Times New Roman"/>
        </w:rPr>
        <w:t>грузооборота,</w:t>
      </w:r>
    </w:p>
    <w:p w:rsidR="007417D7" w:rsidRDefault="00403154">
      <w:pPr>
        <w:pStyle w:val="a0"/>
        <w:numPr>
          <w:ilvl w:val="0"/>
          <w:numId w:val="6"/>
        </w:numPr>
        <w:tabs>
          <w:tab w:val="left" w:pos="0"/>
        </w:tabs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перечне основных заказчиков судов, а также крупнейших судоходных и судовладельческих организациях,</w:t>
      </w:r>
    </w:p>
    <w:p w:rsidR="007417D7" w:rsidRDefault="00403154">
      <w:pPr>
        <w:pStyle w:val="a0"/>
        <w:numPr>
          <w:ilvl w:val="0"/>
          <w:numId w:val="6"/>
        </w:numPr>
        <w:tabs>
          <w:tab w:val="left" w:pos="0"/>
        </w:tabs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перечне основных предприятий судостроительной отрасли, задействованных в реализации текущей программы строительства судов, а также основных</w:t>
      </w:r>
      <w:r>
        <w:rPr>
          <w:rFonts w:ascii="Times New Roman" w:hAnsi="Times New Roman" w:cs="Times New Roman"/>
        </w:rPr>
        <w:t xml:space="preserve"> характеристиках их производственных мощностей,</w:t>
      </w:r>
    </w:p>
    <w:p w:rsidR="007417D7" w:rsidRDefault="00403154">
      <w:pPr>
        <w:pStyle w:val="a0"/>
        <w:numPr>
          <w:ilvl w:val="0"/>
          <w:numId w:val="6"/>
        </w:numPr>
        <w:tabs>
          <w:tab w:val="left" w:pos="0"/>
        </w:tabs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перечне и основных технических и эксплуатационных характеристиках судов текущей программы строительства и выявленной потребности,</w:t>
      </w:r>
    </w:p>
    <w:p w:rsidR="007417D7" w:rsidRDefault="00403154">
      <w:pPr>
        <w:pStyle w:val="a0"/>
        <w:numPr>
          <w:ilvl w:val="0"/>
          <w:numId w:val="6"/>
        </w:numPr>
        <w:tabs>
          <w:tab w:val="left" w:pos="0"/>
        </w:tabs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загрузке производственных мощностей судостроительной отрасли и соблюдении </w:t>
      </w:r>
      <w:r>
        <w:rPr>
          <w:rFonts w:ascii="Times New Roman" w:hAnsi="Times New Roman" w:cs="Times New Roman"/>
        </w:rPr>
        <w:t>сроков выполнения программ строительства судов,</w:t>
      </w:r>
    </w:p>
    <w:p w:rsidR="007417D7" w:rsidRDefault="00403154">
      <w:pPr>
        <w:pStyle w:val="a0"/>
        <w:numPr>
          <w:ilvl w:val="0"/>
          <w:numId w:val="6"/>
        </w:numPr>
        <w:tabs>
          <w:tab w:val="left" w:pos="0"/>
        </w:tabs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 возможностях предприятий судостроительной отрасли по строительству новых судов из выявленной потребности, в том числе с учетом сведений о планах по развитию производственных мощностей,</w:t>
      </w:r>
    </w:p>
    <w:p w:rsidR="007417D7" w:rsidRDefault="00403154">
      <w:pPr>
        <w:pStyle w:val="a0"/>
        <w:numPr>
          <w:ilvl w:val="0"/>
          <w:numId w:val="6"/>
        </w:numPr>
        <w:tabs>
          <w:tab w:val="left" w:pos="0"/>
        </w:tabs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состоянии и характе</w:t>
      </w:r>
      <w:r>
        <w:rPr>
          <w:rFonts w:ascii="Times New Roman" w:hAnsi="Times New Roman" w:cs="Times New Roman"/>
        </w:rPr>
        <w:t>ристиках транспортных систем (морских и речных),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КСА ЦП ИАЦ должно содержать </w:t>
      </w:r>
      <w:bookmarkStart w:id="32" w:name="_Hlk231371835"/>
      <w:r>
        <w:rPr>
          <w:sz w:val="24"/>
          <w:szCs w:val="24"/>
        </w:rPr>
        <w:t>программный модуль по контролю входных данных</w:t>
      </w:r>
      <w:bookmarkEnd w:id="32"/>
      <w:r>
        <w:rPr>
          <w:sz w:val="24"/>
          <w:szCs w:val="24"/>
        </w:rPr>
        <w:t>, который должен на основе методического и информационного обеспечения реализовывать требования по полноте, непротиворечивости и до</w:t>
      </w:r>
      <w:r>
        <w:rPr>
          <w:sz w:val="24"/>
          <w:szCs w:val="24"/>
        </w:rPr>
        <w:t>стоверности вводимых данных.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Отчеты, формируемые КСА ЦП ИАЦ должны формироваться ежемесячно, ежеквартально, ежегодно и по требованию.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ПО могут быть уточнены по результатам разработки технического проекта.</w:t>
      </w:r>
    </w:p>
    <w:p w:rsidR="007417D7" w:rsidRDefault="007417D7">
      <w:pPr>
        <w:pStyle w:val="a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7417D7" w:rsidRDefault="00403154">
      <w:pPr>
        <w:pStyle w:val="a0"/>
        <w:keepNext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Требования к информационным, математи</w:t>
      </w:r>
      <w:r>
        <w:rPr>
          <w:rFonts w:ascii="Times New Roman" w:hAnsi="Times New Roman" w:cs="Times New Roman"/>
          <w:b/>
          <w:bCs/>
        </w:rPr>
        <w:t>ческим, компьютерным и цифровым моделям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Цифровая модель - система математических и компьютерных моделей, а также электронных документов изделия, описывающая структуру, функциональность и поведение вновь разрабатываемого или эксплуатируемого изделия на разл</w:t>
      </w:r>
      <w:r>
        <w:rPr>
          <w:sz w:val="24"/>
          <w:szCs w:val="24"/>
        </w:rPr>
        <w:t>ичных стадиях жизненного цикла, для которой на основании результатов цифровых и (или) иных испытаний по ГОСТ 16504 выполнена оценка соответствия предъявляемым к изделию требованиям (ГОСТ Р 57700.37-2021).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Информационные, математические и компьютерные тран</w:t>
      </w:r>
      <w:r>
        <w:rPr>
          <w:sz w:val="24"/>
          <w:szCs w:val="24"/>
        </w:rPr>
        <w:t>спортные модели для воздушного и автомобильного транспорта разрабатываются на макро-уровне и только в том случае, когда они вносят существенный вклад в транспортно-экономический баланс в рамках мультимодальных перевозок с участием водного транспорта. Урове</w:t>
      </w:r>
      <w:r>
        <w:rPr>
          <w:sz w:val="24"/>
          <w:szCs w:val="24"/>
        </w:rPr>
        <w:t xml:space="preserve">нь детализации таких моделей определяется на этапе технического проекта. 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Информационные, математические, компьютерные транспортные модели для железнодорожного транспорта разрабатываются в объеме достаточном для разработки информационных, математических, к</w:t>
      </w:r>
      <w:r>
        <w:rPr>
          <w:sz w:val="24"/>
          <w:szCs w:val="24"/>
        </w:rPr>
        <w:t xml:space="preserve">омпьютерных и цифровых транспортных моделей водного транспорта с достаточной степенью адекватности. Уровень детализации таких моделей определяется на этапе технического проекта. 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 соответствия (валидация) разработанных компьютерных и цифровых транспо</w:t>
      </w:r>
      <w:r>
        <w:rPr>
          <w:sz w:val="24"/>
          <w:szCs w:val="24"/>
        </w:rPr>
        <w:t>ртных моделей выполняется на основе ретроспективных данных по фактическим объемам грузоперевозок по типам грузов, а также на основе анализа данных результатов прогноза в рамках выполнения работы.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разработке транспортной модели необходимо учитывать хара</w:t>
      </w:r>
      <w:r>
        <w:rPr>
          <w:sz w:val="24"/>
          <w:szCs w:val="24"/>
        </w:rPr>
        <w:t>ктеристики водных путей с учетом усредненных данных о ледовой обстановке для районов моделирования.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Транспортные модели водного транспорта при движении по внутренним водным путям должны обеспечивать детализацию до судна, его характеристик, расположения, ус</w:t>
      </w:r>
      <w:r>
        <w:rPr>
          <w:sz w:val="24"/>
          <w:szCs w:val="24"/>
        </w:rPr>
        <w:t xml:space="preserve">редненной скорости, состояния (погрузка, разгрузка, ожидания и др.), объема груза и его номенклатуры. Операции по бункеровке не моделируются. 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Железнодорожный транспорт моделируется усредненным способом без моделирования расположения и характеристик </w:t>
      </w:r>
      <w:r>
        <w:rPr>
          <w:sz w:val="24"/>
          <w:szCs w:val="24"/>
        </w:rPr>
        <w:t>соответствующих транспортных средств.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Воздушный и автомобильный транспорт учитываются способом достаточным для моделирования мультимодальных перевозок с участием водного транспорта. 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Транспортные модели перевозок водным транспортом, в том числе транзитных </w:t>
      </w:r>
      <w:r>
        <w:rPr>
          <w:sz w:val="24"/>
          <w:szCs w:val="24"/>
        </w:rPr>
        <w:t>и экспортных, должны учитывать объемы экспортной грузовой базы.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Валидация транспортных моделей может быть осуществлена с использованием доступных ретроспективных данных на период до 2022 г.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Цифровая модель, разработанная в рамках ОКР «Горизонт-Судпром», мо</w:t>
      </w:r>
      <w:r>
        <w:rPr>
          <w:sz w:val="24"/>
          <w:szCs w:val="24"/>
        </w:rPr>
        <w:t>жет быть уточнена по результатам анализа валидационного базиса, полученного за время выполнения работы. Соответствующие требования по доработке программного комплекса системы поддержки принятия решений, созданного в рамках ОКР «Горизонт-Судпром», должны бы</w:t>
      </w:r>
      <w:r>
        <w:rPr>
          <w:sz w:val="24"/>
          <w:szCs w:val="24"/>
        </w:rPr>
        <w:t>ть определены на этапе 2 работы.</w:t>
      </w:r>
    </w:p>
    <w:p w:rsidR="007417D7" w:rsidRDefault="00403154">
      <w:pPr>
        <w:keepNext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Параметры углеродного следа от эксплуатации транспорта не учитываются.</w:t>
      </w:r>
    </w:p>
    <w:p w:rsidR="007417D7" w:rsidRDefault="007417D7">
      <w:pPr>
        <w:pStyle w:val="a0"/>
        <w:tabs>
          <w:tab w:val="left" w:pos="0"/>
        </w:tabs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Требования к методическому, организационному и информационному обеспечению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Методическое обеспечение в целях прогнозирования потребности отраслей эконом</w:t>
      </w:r>
      <w:r>
        <w:rPr>
          <w:sz w:val="24"/>
          <w:szCs w:val="24"/>
        </w:rPr>
        <w:t>ики в строительстве гражданского флота Российской Федерации должно учитывать оценку степени обеспеченности прогнозируемых грузоперевозок параметрами действующего гражданского флота.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составе информационного обеспечения должны быть предусмотрены классифика</w:t>
      </w:r>
      <w:r>
        <w:rPr>
          <w:sz w:val="24"/>
          <w:szCs w:val="24"/>
        </w:rPr>
        <w:t>торы типов грузов и типовых маршрутов морского и речного судоходства.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грузов должна быть построена на основе перечня видов грузов, представленного в Приложении 5 Транспортной стратегии Российской Федерации до 2030 года с прогнозом на период д</w:t>
      </w:r>
      <w:r>
        <w:rPr>
          <w:sz w:val="24"/>
          <w:szCs w:val="24"/>
        </w:rPr>
        <w:t>о 2035 года.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Классификатор типовых маршрутов морского и речного судоходства должен быть сформирован с привязкой к портам отправления и назначения.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Информационное обеспечение ЦП должно включать базы данных, справочники и классификаторы, содержащие сведения </w:t>
      </w:r>
      <w:r>
        <w:rPr>
          <w:sz w:val="24"/>
          <w:szCs w:val="24"/>
        </w:rPr>
        <w:t>о гражданских судах текущей программы строительства и их основных технико-эксплуатационных характеристиках, о гражданских судах выявленной потребности и их основных технико-эксплуатационных характеристиках, о производственных характеристиках судостроительн</w:t>
      </w:r>
      <w:r>
        <w:rPr>
          <w:sz w:val="24"/>
          <w:szCs w:val="24"/>
        </w:rPr>
        <w:t>ых предприятий Российской Федерации и загрузке их производственных мощностей, о показателях реализации текущей программы строительства судов на судостроительных предприятиях Российской Федерации, о судах действующего гражданского флота Российской Федерации</w:t>
      </w:r>
      <w:r>
        <w:rPr>
          <w:sz w:val="24"/>
          <w:szCs w:val="24"/>
        </w:rPr>
        <w:t xml:space="preserve"> и их основных технико-эксплуатационных характеристиках, об объемах морских и речных перевозок.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Производственно-технологические возможности судостроительных предприятий Российской Федерации при разработке методического и организационного обеспечения опреде</w:t>
      </w:r>
      <w:r>
        <w:rPr>
          <w:sz w:val="24"/>
          <w:szCs w:val="24"/>
        </w:rPr>
        <w:t>ляются на макро-уровне как совокупность параметров технологически и организационно взаимосвязанных объектов, используемых в производственной деятельности при постройке судов и плавсредств и обеспечивающих непрерывный производственный процесс. Уровень и сте</w:t>
      </w:r>
      <w:r>
        <w:rPr>
          <w:sz w:val="24"/>
          <w:szCs w:val="24"/>
        </w:rPr>
        <w:t>пень декомпозиции соответствующих объектов и их параметров должны быть определены при разработке формы паспорта производственно-технологических возможностей предприятия на этапе 1.</w:t>
      </w:r>
    </w:p>
    <w:p w:rsidR="007417D7" w:rsidRDefault="00403154">
      <w:pPr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Методическое и организационное обеспечение деятельности персонала ЦП ИАЦ до</w:t>
      </w:r>
      <w:r>
        <w:rPr>
          <w:sz w:val="24"/>
          <w:szCs w:val="24"/>
        </w:rPr>
        <w:t>лжно быть разработано с использованием результатов ОКР «Горизонт-Судпром».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Требования эргономики, обитаемости и технической эстетики</w:t>
      </w:r>
      <w:r>
        <w:rPr>
          <w:rFonts w:ascii="Times New Roman" w:hAnsi="Times New Roman" w:cs="Times New Roman"/>
        </w:rPr>
        <w:t xml:space="preserve"> не предъявляются.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Требования по радиоэлектронной защите (электромагнитной совместимости)</w:t>
      </w:r>
      <w:r>
        <w:rPr>
          <w:rFonts w:ascii="Times New Roman" w:hAnsi="Times New Roman" w:cs="Times New Roman"/>
        </w:rPr>
        <w:t xml:space="preserve"> не предъявляются.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Требования по жи</w:t>
      </w:r>
      <w:r>
        <w:rPr>
          <w:rFonts w:ascii="Times New Roman" w:hAnsi="Times New Roman" w:cs="Times New Roman"/>
          <w:b/>
          <w:bCs/>
        </w:rPr>
        <w:t>вучести и стойкости к внешним воздействиям (механическим, климатическим)</w:t>
      </w:r>
      <w:r>
        <w:rPr>
          <w:rFonts w:ascii="Times New Roman" w:hAnsi="Times New Roman" w:cs="Times New Roman"/>
        </w:rPr>
        <w:t xml:space="preserve"> не предъявляются.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Требования по надежности и сроку службы.</w:t>
      </w:r>
    </w:p>
    <w:p w:rsidR="007417D7" w:rsidRDefault="00403154">
      <w:pPr>
        <w:pStyle w:val="a0"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rStyle w:val="24"/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Должно быть предусмотрено выполнение процедур резервирования и восстановления работоспособности </w:t>
      </w:r>
      <w:r>
        <w:rPr>
          <w:rFonts w:ascii="Times New Roman" w:hAnsi="Times New Roman" w:cs="Times New Roman"/>
        </w:rPr>
        <w:t xml:space="preserve">ПО КСА ЦП ИАЦ 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</w:rPr>
        <w:t>после сбоев.</w:t>
      </w:r>
    </w:p>
    <w:p w:rsidR="007417D7" w:rsidRDefault="00403154">
      <w:pPr>
        <w:pStyle w:val="a0"/>
        <w:numPr>
          <w:ilvl w:val="3"/>
          <w:numId w:val="2"/>
        </w:numPr>
        <w:tabs>
          <w:tab w:val="left" w:pos="0"/>
        </w:tabs>
        <w:ind w:left="0" w:firstLine="709"/>
        <w:jc w:val="both"/>
        <w:rPr>
          <w:rStyle w:val="24"/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color w:val="000000"/>
          <w:sz w:val="24"/>
          <w:szCs w:val="24"/>
        </w:rPr>
        <w:t>Регламент резервирования данных должен быть приведен в программной документации КСА ЦП ИАЦ.</w:t>
      </w:r>
    </w:p>
    <w:p w:rsidR="007417D7" w:rsidRDefault="00403154">
      <w:pPr>
        <w:pStyle w:val="a0"/>
        <w:numPr>
          <w:ilvl w:val="3"/>
          <w:numId w:val="2"/>
        </w:numPr>
        <w:ind w:left="0" w:firstLine="709"/>
        <w:jc w:val="both"/>
        <w:rPr>
          <w:rStyle w:val="24"/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sz w:val="24"/>
          <w:szCs w:val="24"/>
        </w:rPr>
        <w:t xml:space="preserve">Допустимый уровень потери данных </w:t>
      </w:r>
      <w:r>
        <w:rPr>
          <w:rFonts w:ascii="Times New Roman" w:hAnsi="Times New Roman" w:cs="Times New Roman"/>
        </w:rPr>
        <w:t xml:space="preserve">ПО КСА ЦП ИАЦ </w:t>
      </w:r>
      <w:r>
        <w:rPr>
          <w:rStyle w:val="24"/>
          <w:rFonts w:ascii="Times New Roman" w:hAnsi="Times New Roman" w:cs="Times New Roman"/>
          <w:sz w:val="24"/>
          <w:szCs w:val="24"/>
        </w:rPr>
        <w:t>в случае физического уничтожения / отказа аппаратного обеспечения КСА ЦП ИАЦ, порчи / уничтожения баз данных не долже</w:t>
      </w:r>
      <w:r>
        <w:rPr>
          <w:rStyle w:val="24"/>
          <w:rFonts w:ascii="Times New Roman" w:hAnsi="Times New Roman" w:cs="Times New Roman"/>
          <w:sz w:val="24"/>
          <w:szCs w:val="24"/>
        </w:rPr>
        <w:t>н быть больше, чем данные за 1 рабочий день, предшествующий инциденту.</w:t>
      </w:r>
    </w:p>
    <w:p w:rsidR="007417D7" w:rsidRDefault="007417D7">
      <w:pPr>
        <w:pStyle w:val="a0"/>
        <w:ind w:left="709"/>
        <w:jc w:val="both"/>
        <w:rPr>
          <w:rStyle w:val="24"/>
          <w:rFonts w:ascii="Times New Roman" w:hAnsi="Times New Roman" w:cs="Times New Roman"/>
          <w:sz w:val="12"/>
          <w:szCs w:val="12"/>
        </w:rPr>
      </w:pPr>
    </w:p>
    <w:p w:rsidR="007417D7" w:rsidRDefault="00403154">
      <w:pPr>
        <w:pStyle w:val="a0"/>
        <w:keepNext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Требования по безопасности.</w:t>
      </w:r>
    </w:p>
    <w:p w:rsidR="007417D7" w:rsidRDefault="00403154">
      <w:pPr>
        <w:pStyle w:val="a0"/>
        <w:numPr>
          <w:ilvl w:val="3"/>
          <w:numId w:val="2"/>
        </w:numPr>
        <w:ind w:left="0" w:firstLine="709"/>
        <w:jc w:val="both"/>
        <w:rPr>
          <w:rStyle w:val="2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ПО КСА ЦП ИАЦ</w:t>
      </w:r>
      <w:r>
        <w:rPr>
          <w:rStyle w:val="24"/>
          <w:rFonts w:ascii="Times New Roman" w:hAnsi="Times New Roman" w:cs="Times New Roman"/>
          <w:sz w:val="24"/>
          <w:szCs w:val="24"/>
        </w:rPr>
        <w:t xml:space="preserve"> должно обеспечивать централизованное администрирование с обеспечением разграничения прав доступа к категориям данных с учетом ролевой политики</w:t>
      </w:r>
      <w:r>
        <w:rPr>
          <w:rStyle w:val="24"/>
          <w:rFonts w:ascii="Times New Roman" w:hAnsi="Times New Roman" w:cs="Times New Roman"/>
          <w:sz w:val="24"/>
          <w:szCs w:val="24"/>
        </w:rPr>
        <w:t>.</w:t>
      </w:r>
    </w:p>
    <w:p w:rsidR="007417D7" w:rsidRDefault="00403154">
      <w:pPr>
        <w:pStyle w:val="a0"/>
        <w:numPr>
          <w:ilvl w:val="3"/>
          <w:numId w:val="2"/>
        </w:numPr>
        <w:ind w:left="0" w:firstLine="709"/>
        <w:jc w:val="both"/>
        <w:rPr>
          <w:rStyle w:val="24"/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sz w:val="24"/>
          <w:szCs w:val="24"/>
        </w:rPr>
        <w:t xml:space="preserve">В составе </w:t>
      </w:r>
      <w:r>
        <w:rPr>
          <w:rFonts w:ascii="Times New Roman" w:hAnsi="Times New Roman" w:cs="Times New Roman"/>
        </w:rPr>
        <w:t>ПО КСА ЦП</w:t>
      </w:r>
      <w:r>
        <w:rPr>
          <w:rStyle w:val="24"/>
          <w:rFonts w:ascii="Times New Roman" w:hAnsi="Times New Roman" w:cs="Times New Roman"/>
          <w:sz w:val="24"/>
          <w:szCs w:val="24"/>
        </w:rPr>
        <w:t xml:space="preserve"> ИАЦ должны быть предусмотрены электронные средства защиты информации и программ от несанкционированного доступа и копирования.</w:t>
      </w:r>
    </w:p>
    <w:p w:rsidR="007417D7" w:rsidRDefault="00403154">
      <w:pPr>
        <w:pStyle w:val="a0"/>
        <w:numPr>
          <w:ilvl w:val="3"/>
          <w:numId w:val="2"/>
        </w:numPr>
        <w:ind w:left="0" w:firstLine="709"/>
        <w:jc w:val="both"/>
        <w:rPr>
          <w:rStyle w:val="2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ПО КСА ЦП</w:t>
      </w:r>
      <w:r>
        <w:rPr>
          <w:rStyle w:val="24"/>
          <w:rFonts w:ascii="Times New Roman" w:hAnsi="Times New Roman" w:cs="Times New Roman"/>
          <w:sz w:val="24"/>
          <w:szCs w:val="24"/>
        </w:rPr>
        <w:t xml:space="preserve"> ИАЦ должно предусматривать защиту от уничтожения информации при ошибочных действиях персонала.</w:t>
      </w:r>
    </w:p>
    <w:p w:rsidR="007417D7" w:rsidRDefault="00403154">
      <w:pPr>
        <w:pStyle w:val="a0"/>
        <w:numPr>
          <w:ilvl w:val="3"/>
          <w:numId w:val="2"/>
        </w:numPr>
        <w:ind w:left="0" w:firstLine="709"/>
        <w:jc w:val="both"/>
        <w:rPr>
          <w:rStyle w:val="24"/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sz w:val="24"/>
          <w:szCs w:val="24"/>
        </w:rPr>
        <w:t>Тр</w:t>
      </w:r>
      <w:r>
        <w:rPr>
          <w:rStyle w:val="24"/>
          <w:rFonts w:ascii="Times New Roman" w:hAnsi="Times New Roman" w:cs="Times New Roman"/>
          <w:sz w:val="24"/>
          <w:szCs w:val="24"/>
        </w:rPr>
        <w:t xml:space="preserve">ебования к защите информации </w:t>
      </w:r>
      <w:r>
        <w:rPr>
          <w:rFonts w:ascii="Times New Roman" w:hAnsi="Times New Roman" w:cs="Times New Roman"/>
        </w:rPr>
        <w:t>ПО КСА ЦП ИАЦ</w:t>
      </w:r>
      <w:r>
        <w:rPr>
          <w:rStyle w:val="24"/>
          <w:rFonts w:ascii="Times New Roman" w:hAnsi="Times New Roman" w:cs="Times New Roman"/>
          <w:sz w:val="24"/>
          <w:szCs w:val="24"/>
        </w:rPr>
        <w:t xml:space="preserve"> для решения задач планирования судоходства и развития судостроения должны быть уточнены на этапе технического проекта.</w:t>
      </w:r>
    </w:p>
    <w:p w:rsidR="007417D7" w:rsidRDefault="007417D7">
      <w:pPr>
        <w:tabs>
          <w:tab w:val="left" w:pos="0"/>
        </w:tabs>
        <w:jc w:val="both"/>
        <w:rPr>
          <w:b/>
          <w:bCs/>
          <w:sz w:val="12"/>
          <w:szCs w:val="12"/>
        </w:rPr>
      </w:pPr>
    </w:p>
    <w:p w:rsidR="007417D7" w:rsidRDefault="00403154">
      <w:pPr>
        <w:pStyle w:val="a0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Требования к программному обеспечению и техническим средствам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 КСА ЦП ИАЦ </w:t>
      </w:r>
      <w:r>
        <w:rPr>
          <w:rFonts w:ascii="Times New Roman" w:hAnsi="Times New Roman" w:cs="Times New Roman"/>
          <w:bCs/>
        </w:rPr>
        <w:t>должно функционир</w:t>
      </w:r>
      <w:r>
        <w:rPr>
          <w:rFonts w:ascii="Times New Roman" w:hAnsi="Times New Roman" w:cs="Times New Roman"/>
          <w:bCs/>
        </w:rPr>
        <w:t>овать на операционной системе семейства Astra Linux.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Программный модуль управления базами данных</w:t>
      </w:r>
      <w:r>
        <w:rPr>
          <w:rFonts w:ascii="Times New Roman" w:hAnsi="Times New Roman" w:cs="Times New Roman"/>
          <w:bCs/>
        </w:rPr>
        <w:t xml:space="preserve"> должен функционировать на основе СУБД PostgreSQL.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Технические средства должны обеспечивать функционирование ПО КСА ЦП ИАЦ как в локальном, так и в сетевом </w:t>
      </w:r>
      <w:r>
        <w:rPr>
          <w:rFonts w:ascii="Times New Roman" w:hAnsi="Times New Roman" w:cs="Times New Roman"/>
        </w:rPr>
        <w:t>режиме.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работы должны быть определены требования к техническим средствам автоматизации, необходимым для функционирования ПО КСА ЦП ИАЦ.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технического обеспечения определяется на этапе технического проекта.</w:t>
      </w:r>
    </w:p>
    <w:p w:rsidR="007417D7" w:rsidRDefault="007417D7">
      <w:pPr>
        <w:pStyle w:val="a0"/>
        <w:tabs>
          <w:tab w:val="left" w:pos="0"/>
        </w:tabs>
        <w:ind w:left="709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7417D7" w:rsidRDefault="00403154">
      <w:pPr>
        <w:pStyle w:val="a0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Прочие требования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выполнения работы должны быть достигнуты цели и задачи, указанные в пункте 1 настоящих Требований.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работы и ее результаты по этапам должны соответствовать пункту 2 настоящих Требований.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перечне и содержании статистическ</w:t>
      </w:r>
      <w:r>
        <w:rPr>
          <w:rFonts w:ascii="Times New Roman" w:hAnsi="Times New Roman" w:cs="Times New Roman"/>
        </w:rPr>
        <w:t>их данных, используемых при формировании отчетности по направлениям судостроения и судоходства и направляемых в адрес федеральных органов исполнительной власти и их подведомственных структур предоставляется Заказчиком по запросу Исполнителя. Заказчик обесп</w:t>
      </w:r>
      <w:r>
        <w:rPr>
          <w:rFonts w:ascii="Times New Roman" w:hAnsi="Times New Roman" w:cs="Times New Roman"/>
        </w:rPr>
        <w:t>ечивает отправку соответствующих запросов в адрес федеральных органов исполнительной власти и их подведомственных структур.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текущих и перспективных грузо- и пассажиропотоках, количественных и качественных характеристиках действующего гражданск</w:t>
      </w:r>
      <w:r>
        <w:rPr>
          <w:rFonts w:ascii="Times New Roman" w:hAnsi="Times New Roman" w:cs="Times New Roman"/>
        </w:rPr>
        <w:t>ого флота, результатах производственной деятельности предприятий судостроительной отрасли, планах их инвестиционного развития, состоянии портовой и береговой инфраструктуры должна включать сведения из отраслевой статистической отчетности и из иных источник</w:t>
      </w:r>
      <w:r>
        <w:rPr>
          <w:rFonts w:ascii="Times New Roman" w:hAnsi="Times New Roman" w:cs="Times New Roman"/>
        </w:rPr>
        <w:t>ов, предоставляемых Заказчиком Исполнителю по запросу или по результатам рассылки, которую обеспечивает Заказчик на основании форм, разрабатываемых Исполнителем.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и планирование объемов грузоперевозок осуществляется в отношении массовых однородных гр</w:t>
      </w:r>
      <w:r>
        <w:rPr>
          <w:rFonts w:ascii="Times New Roman" w:hAnsi="Times New Roman" w:cs="Times New Roman"/>
        </w:rPr>
        <w:t>узов по укрупненной номенклатуре в соответствии с классификатором типов грузов с учетом данных транспортно-экономического баланса.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Исследования характеристик действующего гражданского флота Российской Федерации, а также оценка текущих и перспективных грузо</w:t>
      </w:r>
      <w:r>
        <w:rPr>
          <w:rFonts w:ascii="Times New Roman" w:hAnsi="Times New Roman" w:cs="Times New Roman"/>
        </w:rPr>
        <w:t>потоков должны проводиться в разрезе экономических районов, определенных на основе Общероссийского классификатора экономических регионов (ОК 024-95), применительно к судам, эксплуатирующимся под флагом Российской Федерации и находящимся на учете российских</w:t>
      </w:r>
      <w:r>
        <w:rPr>
          <w:rFonts w:ascii="Times New Roman" w:hAnsi="Times New Roman" w:cs="Times New Roman"/>
        </w:rPr>
        <w:t xml:space="preserve"> классификационных обществ.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Исходные данные о производственно-технологических возможностях судостроительных и судоремонтных предприятий Российской Федерации должны включать сведения о составе и состоянии производственных мощностей, специализации предприяти</w:t>
      </w:r>
      <w:r>
        <w:rPr>
          <w:rFonts w:ascii="Times New Roman" w:hAnsi="Times New Roman" w:cs="Times New Roman"/>
        </w:rPr>
        <w:t>й, параметрах текущей и планируемой загрузки, а также должны учитываться при разработке паспорта производственно-технологических возможностей предприятия.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проекта производственной программы судостроительной отрасли должно быть осуществлено с и</w:t>
      </w:r>
      <w:r>
        <w:rPr>
          <w:rFonts w:ascii="Times New Roman" w:hAnsi="Times New Roman" w:cs="Times New Roman"/>
        </w:rPr>
        <w:t>спользованием ПО КСА ЦП ИАЦ.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Опытная эксплуатация ЦП ИАЦ может быть проведена на учебно-условных данных, представляющих собой типовые тестовые наборы, сформированные по результатам сбор исходных данных для функционирования КСА ЦП ИАЦ.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и методика </w:t>
      </w:r>
      <w:r>
        <w:rPr>
          <w:rFonts w:ascii="Times New Roman" w:hAnsi="Times New Roman" w:cs="Times New Roman"/>
        </w:rPr>
        <w:t>приемочных испытаний ЦП ИАЦ должна быть согласована с Заказчиком.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Приемочные испытания ЦП ИАЦ могут быть проведены на учебно-условных данных.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Разрабатываемые предложения должны обеспечивать повышение обоснованности выработки решений в сфере государственной</w:t>
      </w:r>
      <w:r>
        <w:rPr>
          <w:rFonts w:ascii="Times New Roman" w:hAnsi="Times New Roman" w:cs="Times New Roman"/>
        </w:rPr>
        <w:t xml:space="preserve"> политики в части судостроительной отрасли.</w:t>
      </w:r>
    </w:p>
    <w:p w:rsidR="007417D7" w:rsidRDefault="007417D7">
      <w:pPr>
        <w:pStyle w:val="a0"/>
        <w:tabs>
          <w:tab w:val="left" w:pos="0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7417D7" w:rsidRDefault="00403154">
      <w:pPr>
        <w:pStyle w:val="a0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Требования к документации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Разрабатываемая в рамках ОКР документация должна быть выполнена в соответствии с требованиями стандартов ЕСКД, включая:</w:t>
      </w:r>
    </w:p>
    <w:p w:rsidR="007417D7" w:rsidRDefault="00403154">
      <w:pPr>
        <w:pStyle w:val="a0"/>
        <w:numPr>
          <w:ilvl w:val="0"/>
          <w:numId w:val="8"/>
        </w:numPr>
        <w:tabs>
          <w:tab w:val="left" w:pos="0"/>
        </w:tabs>
        <w:ind w:left="0"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ГОСТ 2.102-2023 «Виды и комплектность конструкторской документаци</w:t>
      </w:r>
      <w:r>
        <w:rPr>
          <w:rFonts w:ascii="Times New Roman" w:hAnsi="Times New Roman" w:cs="Times New Roman"/>
        </w:rPr>
        <w:t xml:space="preserve">и», </w:t>
      </w:r>
    </w:p>
    <w:p w:rsidR="007417D7" w:rsidRDefault="00403154">
      <w:pPr>
        <w:pStyle w:val="a0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ГОСТ 2.103-2013 «Единая система конструкторской документации. Стадии разработки»,</w:t>
      </w:r>
    </w:p>
    <w:p w:rsidR="007417D7" w:rsidRDefault="00403154">
      <w:pPr>
        <w:pStyle w:val="a0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разрабатываемой программной документации определяется Исполнителем в соответствии с ГОСТ 19.101-2024.</w:t>
      </w:r>
    </w:p>
    <w:p w:rsidR="007417D7" w:rsidRDefault="00403154">
      <w:pPr>
        <w:pStyle w:val="14"/>
        <w:keepNext/>
        <w:numPr>
          <w:ilvl w:val="0"/>
          <w:numId w:val="2"/>
        </w:numPr>
        <w:tabs>
          <w:tab w:val="left" w:pos="0"/>
        </w:tabs>
        <w:spacing w:before="120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Порядок рассмотрения и приемки работ </w:t>
      </w:r>
    </w:p>
    <w:p w:rsidR="007417D7" w:rsidRDefault="0040315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Организация, </w:t>
      </w:r>
      <w:r>
        <w:rPr>
          <w:sz w:val="24"/>
          <w:szCs w:val="24"/>
        </w:rPr>
        <w:t>выполнение и отчетность по этапам ОКР и работе в целом осуществляются в соответствии с действующими стандартными нормативными требованиями:</w:t>
      </w:r>
    </w:p>
    <w:p w:rsidR="007417D7" w:rsidRDefault="004031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ГОСТ Р 15.301-2016 «Система разработки и постановки продукции на производство. Продукция производственно-техническог</w:t>
      </w:r>
      <w:r>
        <w:rPr>
          <w:iCs/>
          <w:sz w:val="24"/>
          <w:szCs w:val="24"/>
        </w:rPr>
        <w:t>о назначения. Порядок разработки и постановки продукции на производство»,</w:t>
      </w:r>
    </w:p>
    <w:p w:rsidR="007417D7" w:rsidRDefault="004031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ГОСТ 2.102-2023 «Виды и комплектность конструкторской документации», </w:t>
      </w:r>
    </w:p>
    <w:p w:rsidR="007417D7" w:rsidRDefault="004031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ГОСТ 2.103-2013 «</w:t>
      </w:r>
      <w:r>
        <w:rPr>
          <w:iCs/>
          <w:spacing w:val="-12"/>
          <w:sz w:val="24"/>
          <w:szCs w:val="24"/>
        </w:rPr>
        <w:t>Единая система конструкторской документации. Стадии разработки»,</w:t>
      </w:r>
    </w:p>
    <w:p w:rsidR="007417D7" w:rsidRDefault="004031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ГОСТ 19.101-2024 «Виды </w:t>
      </w:r>
      <w:r>
        <w:rPr>
          <w:iCs/>
          <w:sz w:val="24"/>
          <w:szCs w:val="24"/>
        </w:rPr>
        <w:t>программ и программных документов»,</w:t>
      </w:r>
    </w:p>
    <w:p w:rsidR="007417D7" w:rsidRDefault="004031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ГОСТ 19.102-77 «Единая система программной документации. Стадии разработки»,</w:t>
      </w:r>
    </w:p>
    <w:p w:rsidR="007417D7" w:rsidRDefault="00403154">
      <w:pPr>
        <w:pStyle w:val="a0"/>
        <w:widowControl w:val="0"/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ГОСТ 19.301-79 «Единая система программной документации. Программа и методика испытаний. Требования к содержанию и оформлению»,</w:t>
      </w:r>
    </w:p>
    <w:p w:rsidR="007417D7" w:rsidRDefault="004031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ГОСТ 7.32-2017 </w:t>
      </w:r>
      <w:r>
        <w:rPr>
          <w:iCs/>
          <w:sz w:val="24"/>
          <w:szCs w:val="24"/>
        </w:rPr>
        <w:t>«Система стандартов по информации, библиотечному и издательскому делу. Отчет о научно-исследовательской работе. Структура и правила оформления»,</w:t>
      </w:r>
    </w:p>
    <w:p w:rsidR="007417D7" w:rsidRDefault="004031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ГОСТ Р 15.011-2024 «Интеллектуальная собственность. Патентные исследования. Содержание и порядок проведения».</w:t>
      </w:r>
    </w:p>
    <w:p w:rsidR="007417D7" w:rsidRDefault="004031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</w:t>
      </w:r>
      <w:r>
        <w:rPr>
          <w:iCs/>
          <w:sz w:val="24"/>
          <w:szCs w:val="24"/>
        </w:rPr>
        <w:t>ОСТ 34.601-90 «Автоматизированные системы. Стадии создания».</w:t>
      </w:r>
    </w:p>
    <w:p w:rsidR="007417D7" w:rsidRDefault="00403154">
      <w:pPr>
        <w:numPr>
          <w:ilvl w:val="0"/>
          <w:numId w:val="3"/>
        </w:numPr>
        <w:shd w:val="clear" w:color="auto" w:fill="FFFFFF"/>
        <w:spacing w:after="120"/>
        <w:ind w:left="0" w:firstLine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ГОСТ Р 57700.37-2021 «Компьютерные модели и моделирование. Цифровые двойники изделий. Общие положения».</w:t>
      </w:r>
    </w:p>
    <w:p w:rsidR="007417D7" w:rsidRDefault="00403154">
      <w:pPr>
        <w:pStyle w:val="14"/>
        <w:keepNext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Предложения по внедрению созданной продукции  </w:t>
      </w:r>
    </w:p>
    <w:p w:rsidR="007417D7" w:rsidRDefault="00403154">
      <w:pPr>
        <w:pStyle w:val="ac"/>
        <w:widowControl w:val="0"/>
        <w:tabs>
          <w:tab w:val="left" w:pos="709"/>
        </w:tabs>
        <w:rPr>
          <w:rFonts w:eastAsia="Aptos"/>
          <w:color w:val="000000"/>
          <w:lang w:eastAsia="en-US"/>
        </w:rPr>
      </w:pPr>
      <w:r>
        <w:rPr>
          <w:rFonts w:eastAsia="Aptos"/>
          <w:color w:val="000000"/>
          <w:lang w:eastAsia="en-US"/>
        </w:rPr>
        <w:t xml:space="preserve">Основные результаты работ по теме должны </w:t>
      </w:r>
      <w:r>
        <w:rPr>
          <w:rFonts w:eastAsia="Aptos"/>
          <w:color w:val="000000"/>
          <w:lang w:eastAsia="en-US"/>
        </w:rPr>
        <w:t>быть переданы Заказчику для осуществления деятельности Департамента судостроительной промышленности и морской техники Минпромторга России в обеспечение решения задач комплексного планирования развития отрасли, осуществления координации в рамках обеспечения</w:t>
      </w:r>
      <w:r>
        <w:rPr>
          <w:rFonts w:eastAsia="Aptos"/>
          <w:color w:val="000000"/>
          <w:lang w:eastAsia="en-US"/>
        </w:rPr>
        <w:t xml:space="preserve"> инвестиционного развития судостроительных и</w:t>
      </w:r>
      <w:r>
        <w:rPr>
          <w:rFonts w:eastAsia="Aptos"/>
          <w:color w:val="000000"/>
          <w:lang w:val="ru-RU" w:eastAsia="en-US"/>
        </w:rPr>
        <w:t> </w:t>
      </w:r>
      <w:r>
        <w:rPr>
          <w:rFonts w:eastAsia="Aptos"/>
          <w:color w:val="000000"/>
          <w:lang w:eastAsia="en-US"/>
        </w:rPr>
        <w:t>судоремонтных предприятий, а также для формирования предложений по выработке государственной политики в части судостроительной отрасли.</w:t>
      </w:r>
    </w:p>
    <w:p w:rsidR="007417D7" w:rsidRDefault="00403154">
      <w:pPr>
        <w:pStyle w:val="ac"/>
        <w:widowControl w:val="0"/>
        <w:tabs>
          <w:tab w:val="left" w:pos="709"/>
        </w:tabs>
        <w:rPr>
          <w:rFonts w:eastAsia="Aptos"/>
          <w:color w:val="000000"/>
          <w:lang w:eastAsia="en-US"/>
        </w:rPr>
      </w:pPr>
      <w:r>
        <w:t>Результаты работы предполагается использовать в деятельности федеральных ор</w:t>
      </w:r>
      <w:r>
        <w:t xml:space="preserve">ганов исполнительной власти (в том числе, Минтранса России), органов государственной власти субъектов Российской Федерации и организаций судостроительной и смежных отраслей промышленности в целях повышения эффективности принимаемых решений по планированию </w:t>
      </w:r>
      <w:r>
        <w:t>судоходства и развитию судостроения.</w:t>
      </w:r>
    </w:p>
    <w:p w:rsidR="007417D7" w:rsidRDefault="00403154">
      <w:pPr>
        <w:pStyle w:val="ac"/>
        <w:widowControl w:val="0"/>
        <w:tabs>
          <w:tab w:val="left" w:pos="709"/>
        </w:tabs>
        <w:rPr>
          <w:rFonts w:eastAsia="Aptos"/>
          <w:color w:val="000000"/>
          <w:lang w:eastAsia="en-US"/>
        </w:rPr>
      </w:pPr>
      <w:r>
        <w:rPr>
          <w:rFonts w:eastAsia="Aptos"/>
          <w:color w:val="000000"/>
          <w:lang w:eastAsia="en-US"/>
        </w:rPr>
        <w:t>Результаты ОКР могут быть использованы в дальнейшем в других НИР и ОКР.</w:t>
      </w:r>
    </w:p>
    <w:p w:rsidR="007417D7" w:rsidRDefault="007417D7">
      <w:pPr>
        <w:pStyle w:val="ac"/>
        <w:widowControl w:val="0"/>
        <w:tabs>
          <w:tab w:val="left" w:pos="709"/>
        </w:tabs>
        <w:rPr>
          <w:rFonts w:eastAsia="Aptos"/>
          <w:color w:val="000000"/>
          <w:sz w:val="12"/>
          <w:szCs w:val="12"/>
          <w:lang w:eastAsia="en-US"/>
        </w:rPr>
      </w:pPr>
    </w:p>
    <w:p w:rsidR="007417D7" w:rsidRDefault="00403154">
      <w:pPr>
        <w:pStyle w:val="14"/>
        <w:keepNext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Индикаторы и показатели</w:t>
      </w:r>
    </w:p>
    <w:p w:rsidR="007417D7" w:rsidRDefault="00403154">
      <w:pPr>
        <w:pStyle w:val="a0"/>
        <w:tabs>
          <w:tab w:val="left" w:pos="0"/>
        </w:tabs>
        <w:spacing w:before="120" w:after="12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работе должны быть достигнуты следующие индикаторы и показатели:</w:t>
      </w:r>
    </w:p>
    <w:p w:rsidR="007417D7" w:rsidRDefault="00403154">
      <w:pPr>
        <w:pStyle w:val="15"/>
        <w:numPr>
          <w:ilvl w:val="3"/>
          <w:numId w:val="7"/>
        </w:numPr>
        <w:tabs>
          <w:tab w:val="left" w:pos="993"/>
          <w:tab w:val="left" w:pos="3402"/>
        </w:tabs>
        <w:spacing w:beforeAutospacing="0" w:afterAutospacing="0"/>
        <w:ind w:left="0" w:firstLine="709"/>
        <w:jc w:val="both"/>
        <w:rPr>
          <w:iCs/>
        </w:rPr>
      </w:pPr>
      <w:bookmarkStart w:id="33" w:name="_Hlk230613551"/>
      <w:r>
        <w:rPr>
          <w:iCs/>
        </w:rPr>
        <w:t xml:space="preserve">Программа для ЭВМ: «Программный модуль </w:t>
      </w:r>
      <w:r>
        <w:t xml:space="preserve">прогнозирования </w:t>
      </w:r>
      <w:r>
        <w:t>потребности в гражданском флоте цифрового полигона для решения задач планирования судоходства и развития судостроения «ИАЦ Гражданский флот»</w:t>
      </w:r>
      <w:r>
        <w:rPr>
          <w:iCs/>
        </w:rPr>
        <w:t xml:space="preserve"> (этап 3, 2028 год).</w:t>
      </w:r>
    </w:p>
    <w:p w:rsidR="007417D7" w:rsidRDefault="00403154">
      <w:pPr>
        <w:pStyle w:val="15"/>
        <w:numPr>
          <w:ilvl w:val="3"/>
          <w:numId w:val="7"/>
        </w:numPr>
        <w:tabs>
          <w:tab w:val="left" w:pos="993"/>
          <w:tab w:val="left" w:pos="3402"/>
        </w:tabs>
        <w:spacing w:beforeAutospacing="0" w:afterAutospacing="0"/>
        <w:ind w:left="0" w:firstLine="709"/>
        <w:jc w:val="both"/>
        <w:rPr>
          <w:iCs/>
        </w:rPr>
      </w:pPr>
      <w:r>
        <w:t xml:space="preserve">Программа для ЭВМ: «Программное обеспечение имитационно-моделирующего комплекса для реализации </w:t>
      </w:r>
      <w:r>
        <w:t>транспортной модели цифрового полигона для решения задач планирования судоходства и развития судостроения «ИАЦ Гражданский флот»</w:t>
      </w:r>
      <w:r>
        <w:rPr>
          <w:rFonts w:eastAsia="Calibri"/>
        </w:rPr>
        <w:t xml:space="preserve"> </w:t>
      </w:r>
      <w:r>
        <w:rPr>
          <w:iCs/>
        </w:rPr>
        <w:t>(этап 3, 2028 год).</w:t>
      </w:r>
    </w:p>
    <w:p w:rsidR="007417D7" w:rsidRDefault="00403154">
      <w:pPr>
        <w:pStyle w:val="15"/>
        <w:numPr>
          <w:ilvl w:val="3"/>
          <w:numId w:val="7"/>
        </w:numPr>
        <w:tabs>
          <w:tab w:val="left" w:pos="993"/>
          <w:tab w:val="left" w:pos="3402"/>
        </w:tabs>
        <w:spacing w:beforeAutospacing="0" w:afterAutospacing="0"/>
        <w:ind w:left="0" w:firstLine="709"/>
        <w:jc w:val="both"/>
        <w:rPr>
          <w:iCs/>
        </w:rPr>
      </w:pPr>
      <w:r>
        <w:t>Программа для ЭВМ: «Комплекс средств автоматизации цифрового полигона для решения задач планирования судохо</w:t>
      </w:r>
      <w:r>
        <w:t>дства и развития судостроения «ИАЦ Гражданский флот»</w:t>
      </w:r>
      <w:r>
        <w:rPr>
          <w:rFonts w:eastAsia="Calibri"/>
        </w:rPr>
        <w:t xml:space="preserve"> </w:t>
      </w:r>
      <w:r>
        <w:rPr>
          <w:iCs/>
        </w:rPr>
        <w:t>(этап 3, 2028 год).</w:t>
      </w:r>
      <w:bookmarkEnd w:id="33"/>
    </w:p>
    <w:p w:rsidR="007417D7" w:rsidRDefault="007417D7">
      <w:pPr>
        <w:pStyle w:val="15"/>
        <w:tabs>
          <w:tab w:val="left" w:pos="993"/>
        </w:tabs>
        <w:spacing w:beforeAutospacing="0" w:afterAutospacing="0"/>
        <w:ind w:left="709"/>
        <w:jc w:val="both"/>
        <w:rPr>
          <w:iCs/>
          <w:sz w:val="12"/>
          <w:szCs w:val="12"/>
        </w:rPr>
      </w:pPr>
    </w:p>
    <w:tbl>
      <w:tblPr>
        <w:tblW w:w="1019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6661"/>
        <w:gridCol w:w="852"/>
        <w:gridCol w:w="992"/>
        <w:gridCol w:w="850"/>
      </w:tblGrid>
      <w:tr w:rsidR="007417D7">
        <w:trPr>
          <w:trHeight w:hRule="exact" w:val="388"/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индикатора, показателя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17D7" w:rsidRDefault="00403154">
            <w:pPr>
              <w:ind w:left="23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2026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2027 г.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17D7" w:rsidRDefault="00403154">
            <w:pPr>
              <w:ind w:left="23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2028 г.</w:t>
            </w:r>
          </w:p>
        </w:tc>
      </w:tr>
      <w:tr w:rsidR="007417D7">
        <w:trPr>
          <w:trHeight w:hRule="exact" w:val="33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rPr>
                <w:spacing w:val="2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Количество вновь разработанных </w:t>
            </w:r>
            <w:r>
              <w:rPr>
                <w:spacing w:val="2"/>
                <w:sz w:val="24"/>
                <w:szCs w:val="24"/>
              </w:rPr>
              <w:t>технологий,</w:t>
            </w:r>
          </w:p>
          <w:p w:rsidR="007417D7" w:rsidRDefault="007417D7">
            <w:pPr>
              <w:ind w:left="23"/>
              <w:rPr>
                <w:spacing w:val="2"/>
                <w:sz w:val="24"/>
                <w:szCs w:val="24"/>
              </w:rPr>
            </w:pPr>
          </w:p>
          <w:p w:rsidR="007417D7" w:rsidRDefault="007417D7">
            <w:pPr>
              <w:ind w:left="23"/>
              <w:rPr>
                <w:spacing w:val="2"/>
                <w:sz w:val="24"/>
                <w:szCs w:val="24"/>
              </w:rPr>
            </w:pPr>
          </w:p>
          <w:p w:rsidR="007417D7" w:rsidRDefault="007417D7">
            <w:pPr>
              <w:ind w:left="23"/>
              <w:rPr>
                <w:spacing w:val="2"/>
                <w:sz w:val="24"/>
                <w:szCs w:val="24"/>
              </w:rPr>
            </w:pPr>
          </w:p>
          <w:p w:rsidR="007417D7" w:rsidRDefault="007417D7">
            <w:pPr>
              <w:ind w:left="23"/>
              <w:rPr>
                <w:spacing w:val="2"/>
                <w:sz w:val="24"/>
                <w:szCs w:val="24"/>
              </w:rPr>
            </w:pPr>
          </w:p>
          <w:p w:rsidR="007417D7" w:rsidRDefault="007417D7">
            <w:pPr>
              <w:ind w:left="23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17D7">
        <w:trPr>
          <w:trHeight w:hRule="exact" w:val="323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соответствующих </w:t>
            </w:r>
            <w:r>
              <w:rPr>
                <w:spacing w:val="-1"/>
                <w:sz w:val="24"/>
                <w:szCs w:val="24"/>
              </w:rPr>
              <w:t>мировому уровню.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17D7">
        <w:trPr>
          <w:trHeight w:hRule="exact" w:val="68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Количество патентов и других </w:t>
            </w:r>
            <w:r>
              <w:rPr>
                <w:spacing w:val="-1"/>
                <w:sz w:val="24"/>
                <w:szCs w:val="24"/>
              </w:rPr>
              <w:t xml:space="preserve">документов, удостоверяющих </w:t>
            </w:r>
            <w:r>
              <w:rPr>
                <w:spacing w:val="-3"/>
                <w:sz w:val="24"/>
                <w:szCs w:val="24"/>
              </w:rPr>
              <w:t>новизну технологических решений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417D7">
        <w:trPr>
          <w:trHeight w:hRule="exact" w:val="49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4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в том числе права, на которые закреплены за Российской Федерацией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17D7" w:rsidRDefault="00403154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7417D7" w:rsidRDefault="007417D7">
      <w:pPr>
        <w:spacing w:after="200" w:line="276" w:lineRule="auto"/>
        <w:rPr>
          <w:sz w:val="24"/>
          <w:szCs w:val="24"/>
        </w:rPr>
      </w:pPr>
    </w:p>
    <w:sectPr w:rsidR="007417D7">
      <w:headerReference w:type="even" r:id="rId7"/>
      <w:headerReference w:type="default" r:id="rId8"/>
      <w:headerReference w:type="first" r:id="rId9"/>
      <w:pgSz w:w="11906" w:h="16838"/>
      <w:pgMar w:top="709" w:right="707" w:bottom="709" w:left="993" w:header="56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3154">
      <w:r>
        <w:separator/>
      </w:r>
    </w:p>
  </w:endnote>
  <w:endnote w:type="continuationSeparator" w:id="0">
    <w:p w:rsidR="00000000" w:rsidRDefault="0040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3154">
      <w:r>
        <w:separator/>
      </w:r>
    </w:p>
  </w:footnote>
  <w:footnote w:type="continuationSeparator" w:id="0">
    <w:p w:rsidR="00000000" w:rsidRDefault="0040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D7" w:rsidRDefault="007417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213872"/>
      <w:docPartObj>
        <w:docPartGallery w:val="Page Numbers (Top of Page)"/>
        <w:docPartUnique/>
      </w:docPartObj>
    </w:sdtPr>
    <w:sdtEndPr/>
    <w:sdtContent>
      <w:p w:rsidR="007417D7" w:rsidRDefault="0040315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D7" w:rsidRDefault="007417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BE9"/>
    <w:multiLevelType w:val="multilevel"/>
    <w:tmpl w:val="30080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FA24ED"/>
    <w:multiLevelType w:val="multilevel"/>
    <w:tmpl w:val="C4EAEDC2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" w15:restartNumberingAfterBreak="0">
    <w:nsid w:val="1CD53E2E"/>
    <w:multiLevelType w:val="multilevel"/>
    <w:tmpl w:val="434C2596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24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50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15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9030D27"/>
    <w:multiLevelType w:val="multilevel"/>
    <w:tmpl w:val="60CE4352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2F3535AE"/>
    <w:multiLevelType w:val="multilevel"/>
    <w:tmpl w:val="16BA37E8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8A2A5F"/>
    <w:multiLevelType w:val="multilevel"/>
    <w:tmpl w:val="8586C8B4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1068" w:hanging="70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0"/>
        </w:tabs>
        <w:ind w:left="1134" w:hanging="70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0"/>
        </w:tabs>
        <w:ind w:left="1288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57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6" w15:restartNumberingAfterBreak="0">
    <w:nsid w:val="42365070"/>
    <w:multiLevelType w:val="multilevel"/>
    <w:tmpl w:val="59048408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7" w15:restartNumberingAfterBreak="0">
    <w:nsid w:val="4D8823F7"/>
    <w:multiLevelType w:val="multilevel"/>
    <w:tmpl w:val="D9AE6B0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27631D"/>
    <w:multiLevelType w:val="multilevel"/>
    <w:tmpl w:val="4328E322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9" w15:restartNumberingAfterBreak="0">
    <w:nsid w:val="4E72429B"/>
    <w:multiLevelType w:val="multilevel"/>
    <w:tmpl w:val="0D721D4E"/>
    <w:lvl w:ilvl="0">
      <w:start w:val="4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4B0E30"/>
    <w:multiLevelType w:val="multilevel"/>
    <w:tmpl w:val="D8DE361E"/>
    <w:lvl w:ilvl="0">
      <w:start w:val="1"/>
      <w:numFmt w:val="bullet"/>
      <w:lvlText w:val="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DC2B95"/>
    <w:multiLevelType w:val="multilevel"/>
    <w:tmpl w:val="5892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151D69"/>
    <w:multiLevelType w:val="multilevel"/>
    <w:tmpl w:val="DA6E28E8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12"/>
  </w:num>
  <w:num w:numId="6">
    <w:abstractNumId w:val="7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D7"/>
    <w:rsid w:val="00403154"/>
    <w:rsid w:val="0074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28849-7AA6-40D1-B806-4BE4EE92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"/>
    <w:link w:val="10"/>
    <w:qFormat/>
    <w:rsid w:val="00532AAA"/>
    <w:pPr>
      <w:numPr>
        <w:numId w:val="1"/>
      </w:numPr>
      <w:tabs>
        <w:tab w:val="left" w:pos="1134"/>
      </w:tabs>
      <w:spacing w:before="120" w:after="120" w:line="360" w:lineRule="auto"/>
      <w:jc w:val="both"/>
      <w:outlineLvl w:val="0"/>
    </w:pPr>
    <w:rPr>
      <w:rFonts w:ascii="Times New Roman" w:eastAsiaTheme="minorEastAsia" w:hAnsi="Times New Roman" w:cs="Times New Roman"/>
      <w:b/>
      <w:sz w:val="26"/>
      <w:szCs w:val="26"/>
    </w:rPr>
  </w:style>
  <w:style w:type="paragraph" w:styleId="20">
    <w:name w:val="heading 2"/>
    <w:basedOn w:val="a"/>
    <w:next w:val="a"/>
    <w:link w:val="21"/>
    <w:semiHidden/>
    <w:unhideWhenUsed/>
    <w:qFormat/>
    <w:rsid w:val="00532A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0"/>
    <w:next w:val="a"/>
    <w:link w:val="30"/>
    <w:uiPriority w:val="9"/>
    <w:unhideWhenUsed/>
    <w:qFormat/>
    <w:rsid w:val="00532AAA"/>
    <w:pPr>
      <w:keepNext w:val="0"/>
      <w:keepLines w:val="0"/>
      <w:numPr>
        <w:ilvl w:val="2"/>
        <w:numId w:val="1"/>
      </w:numPr>
      <w:tabs>
        <w:tab w:val="left" w:pos="1276"/>
      </w:tabs>
      <w:spacing w:before="120" w:after="120" w:line="360" w:lineRule="auto"/>
      <w:contextualSpacing/>
      <w:jc w:val="both"/>
      <w:outlineLvl w:val="2"/>
    </w:pPr>
    <w:rPr>
      <w:rFonts w:ascii="Times New Roman" w:eastAsiaTheme="minorEastAsia" w:hAnsi="Times New Roman" w:cs="Times New Roman"/>
      <w:color w:val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0"/>
    <w:uiPriority w:val="34"/>
    <w:qFormat/>
    <w:rsid w:val="001063C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Верхний колонтитул Знак"/>
    <w:link w:val="a6"/>
    <w:uiPriority w:val="99"/>
    <w:qFormat/>
    <w:locked/>
    <w:rsid w:val="001063C6"/>
  </w:style>
  <w:style w:type="character" w:customStyle="1" w:styleId="11">
    <w:name w:val="Верхний колонтитул Знак1"/>
    <w:basedOn w:val="a1"/>
    <w:qFormat/>
    <w:rsid w:val="001063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-wikidata">
    <w:name w:val="no-wikidata"/>
    <w:qFormat/>
    <w:rsid w:val="004C14C4"/>
  </w:style>
  <w:style w:type="character" w:customStyle="1" w:styleId="ts-comment-commentedtext">
    <w:name w:val="ts-comment-commentedtext"/>
    <w:qFormat/>
    <w:rsid w:val="004C14C4"/>
  </w:style>
  <w:style w:type="character" w:customStyle="1" w:styleId="a7">
    <w:name w:val="Текст выноски Знак"/>
    <w:basedOn w:val="a1"/>
    <w:link w:val="a8"/>
    <w:qFormat/>
    <w:rsid w:val="009E6C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qFormat/>
    <w:rsid w:val="00532AAA"/>
    <w:rPr>
      <w:rFonts w:ascii="Times New Roman" w:eastAsiaTheme="minorEastAsia" w:hAnsi="Times New Roman" w:cs="Times New Roman"/>
      <w:b/>
      <w:sz w:val="26"/>
      <w:szCs w:val="26"/>
      <w:lang w:eastAsia="ru-RU"/>
    </w:rPr>
  </w:style>
  <w:style w:type="character" w:customStyle="1" w:styleId="21">
    <w:name w:val="Заголовок 2 Знак"/>
    <w:basedOn w:val="a1"/>
    <w:link w:val="20"/>
    <w:semiHidden/>
    <w:qFormat/>
    <w:rsid w:val="00532A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sid w:val="00532AAA"/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1"/>
    <w:link w:val="aa"/>
    <w:qFormat/>
    <w:rsid w:val="00532AA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qFormat/>
    <w:rsid w:val="00532AA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Знак"/>
    <w:link w:val="ac"/>
    <w:qFormat/>
    <w:locked/>
    <w:rsid w:val="00532A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Основной текст 3 Знак"/>
    <w:basedOn w:val="a1"/>
    <w:link w:val="32"/>
    <w:qFormat/>
    <w:rsid w:val="00532A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Strong"/>
    <w:uiPriority w:val="22"/>
    <w:qFormat/>
    <w:rsid w:val="00532AAA"/>
    <w:rPr>
      <w:b/>
      <w:bCs/>
    </w:rPr>
  </w:style>
  <w:style w:type="character" w:styleId="ae">
    <w:name w:val="annotation reference"/>
    <w:qFormat/>
    <w:rsid w:val="00532AAA"/>
    <w:rPr>
      <w:sz w:val="16"/>
      <w:szCs w:val="16"/>
    </w:rPr>
  </w:style>
  <w:style w:type="character" w:customStyle="1" w:styleId="af">
    <w:name w:val="Текст примечания Знак"/>
    <w:basedOn w:val="a1"/>
    <w:link w:val="af0"/>
    <w:qFormat/>
    <w:rsid w:val="00532A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qFormat/>
    <w:rsid w:val="00532A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Нижний колонтитул Знак"/>
    <w:basedOn w:val="a1"/>
    <w:link w:val="af4"/>
    <w:uiPriority w:val="99"/>
    <w:qFormat/>
    <w:rsid w:val="00532A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2"/>
    <w:qFormat/>
    <w:rsid w:val="00532AAA"/>
    <w:rPr>
      <w:shd w:val="clear" w:color="auto" w:fill="FFFFFF"/>
    </w:rPr>
  </w:style>
  <w:style w:type="character" w:customStyle="1" w:styleId="24">
    <w:name w:val="Основной текст (2)_"/>
    <w:basedOn w:val="a1"/>
    <w:link w:val="210"/>
    <w:uiPriority w:val="99"/>
    <w:qFormat/>
    <w:rsid w:val="009648F6"/>
    <w:rPr>
      <w:sz w:val="26"/>
      <w:szCs w:val="26"/>
      <w:shd w:val="clear" w:color="auto" w:fill="FFFFFF"/>
    </w:rPr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"/>
    <w:rsid w:val="00532AAA"/>
    <w:pPr>
      <w:tabs>
        <w:tab w:val="left" w:pos="720"/>
      </w:tabs>
      <w:spacing w:after="60"/>
      <w:ind w:left="283" w:hanging="283"/>
      <w:jc w:val="both"/>
    </w:pPr>
    <w:rPr>
      <w:rFonts w:ascii="Arial" w:hAnsi="Arial" w:cs="Arial"/>
      <w:sz w:val="24"/>
      <w:szCs w:val="24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List Paragraph"/>
    <w:basedOn w:val="a"/>
    <w:link w:val="a4"/>
    <w:uiPriority w:val="34"/>
    <w:qFormat/>
    <w:rsid w:val="001063C6"/>
    <w:pPr>
      <w:ind w:left="720"/>
    </w:pPr>
    <w:rPr>
      <w:rFonts w:ascii="Arial" w:hAnsi="Arial" w:cs="Arial"/>
      <w:sz w:val="24"/>
      <w:szCs w:val="24"/>
    </w:rPr>
  </w:style>
  <w:style w:type="paragraph" w:customStyle="1" w:styleId="afb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1063C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qFormat/>
    <w:rsid w:val="004C14C4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4C14C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Столбец2"/>
    <w:basedOn w:val="a"/>
    <w:uiPriority w:val="99"/>
    <w:qFormat/>
    <w:rsid w:val="004C14C4"/>
    <w:pPr>
      <w:widowControl w:val="0"/>
      <w:spacing w:before="60" w:after="60"/>
      <w:ind w:left="-57" w:right="-57" w:firstLine="113"/>
    </w:pPr>
    <w:rPr>
      <w:sz w:val="24"/>
      <w:szCs w:val="24"/>
    </w:rPr>
  </w:style>
  <w:style w:type="paragraph" w:styleId="a8">
    <w:name w:val="Balloon Text"/>
    <w:basedOn w:val="a"/>
    <w:link w:val="a7"/>
    <w:unhideWhenUsed/>
    <w:qFormat/>
    <w:rsid w:val="009E6C7E"/>
    <w:rPr>
      <w:rFonts w:ascii="Segoe UI" w:hAnsi="Segoe UI" w:cs="Segoe UI"/>
      <w:sz w:val="18"/>
      <w:szCs w:val="18"/>
    </w:rPr>
  </w:style>
  <w:style w:type="paragraph" w:customStyle="1" w:styleId="afd">
    <w:name w:val="Спис_заголовок"/>
    <w:basedOn w:val="a"/>
    <w:next w:val="af8"/>
    <w:qFormat/>
    <w:rsid w:val="00532AAA"/>
    <w:pPr>
      <w:keepNext/>
      <w:keepLines/>
      <w:tabs>
        <w:tab w:val="left" w:pos="0"/>
        <w:tab w:val="left" w:pos="360"/>
      </w:tabs>
      <w:spacing w:before="60" w:after="60"/>
      <w:jc w:val="both"/>
    </w:pPr>
    <w:rPr>
      <w:rFonts w:ascii="Arial" w:hAnsi="Arial" w:cs="Arial"/>
      <w:sz w:val="22"/>
      <w:szCs w:val="22"/>
    </w:rPr>
  </w:style>
  <w:style w:type="paragraph" w:customStyle="1" w:styleId="13">
    <w:name w:val="Номер1"/>
    <w:basedOn w:val="af8"/>
    <w:qFormat/>
    <w:rsid w:val="00532AAA"/>
    <w:pPr>
      <w:tabs>
        <w:tab w:val="clear" w:pos="720"/>
        <w:tab w:val="left" w:pos="1077"/>
        <w:tab w:val="left" w:pos="1440"/>
      </w:tabs>
      <w:spacing w:before="40" w:after="40"/>
      <w:ind w:left="1224" w:hanging="504"/>
    </w:pPr>
    <w:rPr>
      <w:sz w:val="22"/>
      <w:szCs w:val="22"/>
    </w:rPr>
  </w:style>
  <w:style w:type="paragraph" w:customStyle="1" w:styleId="afe">
    <w:name w:val="МойСтиль"/>
    <w:basedOn w:val="a"/>
    <w:autoRedefine/>
    <w:qFormat/>
    <w:rsid w:val="00532AAA"/>
    <w:pPr>
      <w:tabs>
        <w:tab w:val="left" w:pos="397"/>
        <w:tab w:val="left" w:pos="990"/>
      </w:tabs>
      <w:ind w:left="770"/>
      <w:jc w:val="both"/>
    </w:pPr>
    <w:rPr>
      <w:sz w:val="24"/>
      <w:szCs w:val="24"/>
    </w:rPr>
  </w:style>
  <w:style w:type="paragraph" w:styleId="aa">
    <w:name w:val="Body Text Indent"/>
    <w:basedOn w:val="a"/>
    <w:link w:val="a9"/>
    <w:rsid w:val="00532AAA"/>
    <w:pPr>
      <w:spacing w:after="120"/>
      <w:ind w:left="283"/>
    </w:pPr>
    <w:rPr>
      <w:rFonts w:ascii="Arial" w:hAnsi="Arial" w:cs="Arial"/>
    </w:rPr>
  </w:style>
  <w:style w:type="paragraph" w:customStyle="1" w:styleId="FR3">
    <w:name w:val="FR3"/>
    <w:qFormat/>
    <w:rsid w:val="00532AAA"/>
    <w:pPr>
      <w:widowControl w:val="0"/>
      <w:spacing w:line="300" w:lineRule="auto"/>
      <w:ind w:left="800" w:right="600"/>
      <w:jc w:val="center"/>
    </w:pPr>
    <w:rPr>
      <w:rFonts w:ascii="Arial" w:eastAsia="Times New Roman" w:hAnsi="Arial" w:cs="Arial"/>
      <w:sz w:val="40"/>
      <w:szCs w:val="40"/>
      <w:lang w:eastAsia="ru-RU"/>
    </w:rPr>
  </w:style>
  <w:style w:type="paragraph" w:styleId="23">
    <w:name w:val="Body Text Indent 2"/>
    <w:basedOn w:val="a"/>
    <w:link w:val="22"/>
    <w:qFormat/>
    <w:rsid w:val="00532AAA"/>
    <w:pPr>
      <w:tabs>
        <w:tab w:val="left" w:pos="960"/>
        <w:tab w:val="left" w:pos="10065"/>
      </w:tabs>
      <w:ind w:firstLine="709"/>
      <w:jc w:val="both"/>
    </w:pPr>
    <w:rPr>
      <w:sz w:val="26"/>
      <w:szCs w:val="26"/>
    </w:rPr>
  </w:style>
  <w:style w:type="paragraph" w:customStyle="1" w:styleId="ac">
    <w:name w:val="Основной"/>
    <w:basedOn w:val="a"/>
    <w:link w:val="ab"/>
    <w:qFormat/>
    <w:rsid w:val="00532AAA"/>
    <w:pPr>
      <w:ind w:firstLine="709"/>
      <w:jc w:val="both"/>
    </w:pPr>
    <w:rPr>
      <w:sz w:val="24"/>
      <w:szCs w:val="24"/>
      <w:lang w:val="x-none" w:eastAsia="x-none"/>
    </w:rPr>
  </w:style>
  <w:style w:type="paragraph" w:styleId="32">
    <w:name w:val="Body Text 3"/>
    <w:basedOn w:val="a"/>
    <w:link w:val="31"/>
    <w:qFormat/>
    <w:rsid w:val="00532AAA"/>
    <w:pPr>
      <w:spacing w:after="120"/>
    </w:pPr>
    <w:rPr>
      <w:sz w:val="16"/>
      <w:szCs w:val="16"/>
    </w:rPr>
  </w:style>
  <w:style w:type="paragraph" w:styleId="af0">
    <w:name w:val="annotation text"/>
    <w:basedOn w:val="a"/>
    <w:link w:val="af"/>
    <w:rsid w:val="00532AAA"/>
  </w:style>
  <w:style w:type="paragraph" w:styleId="af2">
    <w:name w:val="annotation subject"/>
    <w:basedOn w:val="af0"/>
    <w:next w:val="af0"/>
    <w:link w:val="af1"/>
    <w:qFormat/>
    <w:rsid w:val="00532AAA"/>
    <w:rPr>
      <w:b/>
      <w:bCs/>
    </w:rPr>
  </w:style>
  <w:style w:type="paragraph" w:styleId="af4">
    <w:name w:val="footer"/>
    <w:basedOn w:val="a"/>
    <w:link w:val="af3"/>
    <w:uiPriority w:val="99"/>
    <w:rsid w:val="00532AAA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2">
    <w:name w:val="Основной текст1"/>
    <w:basedOn w:val="a"/>
    <w:link w:val="af5"/>
    <w:qFormat/>
    <w:rsid w:val="00532AAA"/>
    <w:pPr>
      <w:widowControl w:val="0"/>
      <w:shd w:val="clear" w:color="auto" w:fill="FFFFFF"/>
      <w:spacing w:line="312" w:lineRule="auto"/>
      <w:ind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заголовок 2"/>
    <w:basedOn w:val="a0"/>
    <w:next w:val="a"/>
    <w:qFormat/>
    <w:rsid w:val="00532AAA"/>
    <w:pPr>
      <w:numPr>
        <w:ilvl w:val="1"/>
        <w:numId w:val="1"/>
      </w:numPr>
      <w:tabs>
        <w:tab w:val="left" w:pos="1276"/>
      </w:tabs>
      <w:spacing w:before="120" w:after="120" w:line="360" w:lineRule="auto"/>
      <w:contextualSpacing/>
      <w:jc w:val="both"/>
      <w:outlineLvl w:val="1"/>
    </w:pPr>
    <w:rPr>
      <w:rFonts w:ascii="Times New Roman" w:eastAsiaTheme="minorEastAsia" w:hAnsi="Times New Roman" w:cs="Times New Roman"/>
      <w:b/>
      <w:sz w:val="26"/>
      <w:szCs w:val="26"/>
    </w:rPr>
  </w:style>
  <w:style w:type="paragraph" w:customStyle="1" w:styleId="14">
    <w:name w:val="Абзац списка1"/>
    <w:basedOn w:val="a"/>
    <w:uiPriority w:val="34"/>
    <w:qFormat/>
    <w:rsid w:val="009648F6"/>
    <w:pPr>
      <w:ind w:left="720"/>
    </w:pPr>
    <w:rPr>
      <w:rFonts w:ascii="Arial" w:hAnsi="Arial"/>
      <w:sz w:val="24"/>
      <w:szCs w:val="24"/>
    </w:rPr>
  </w:style>
  <w:style w:type="paragraph" w:customStyle="1" w:styleId="15">
    <w:name w:val="Обычный (веб)1"/>
    <w:basedOn w:val="a"/>
    <w:uiPriority w:val="99"/>
    <w:qFormat/>
    <w:rsid w:val="009648F6"/>
    <w:pPr>
      <w:spacing w:beforeAutospacing="1" w:afterAutospacing="1"/>
    </w:pPr>
    <w:rPr>
      <w:sz w:val="24"/>
      <w:szCs w:val="24"/>
    </w:rPr>
  </w:style>
  <w:style w:type="paragraph" w:customStyle="1" w:styleId="210">
    <w:name w:val="Основной текст (2)1"/>
    <w:basedOn w:val="a"/>
    <w:link w:val="24"/>
    <w:uiPriority w:val="99"/>
    <w:qFormat/>
    <w:rsid w:val="009648F6"/>
    <w:pPr>
      <w:widowControl w:val="0"/>
      <w:shd w:val="clear" w:color="auto" w:fill="FFFFFF"/>
      <w:spacing w:line="322" w:lineRule="exact"/>
      <w:ind w:hanging="46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af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5698</Words>
  <Characters>32479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Медведев Вячеслав Евгеньевич</cp:lastModifiedBy>
  <cp:revision>2</cp:revision>
  <cp:lastPrinted>2025-07-30T17:01:00Z</cp:lastPrinted>
  <dcterms:created xsi:type="dcterms:W3CDTF">2026-06-26T02:02:00Z</dcterms:created>
  <dcterms:modified xsi:type="dcterms:W3CDTF">2026-06-26T02:02:00Z</dcterms:modified>
  <dc:language>ru-RU</dc:language>
</cp:coreProperties>
</file>