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45EE" w:rsidRDefault="00F12FBA">
      <w:pPr>
        <w:tabs>
          <w:tab w:val="left" w:pos="6735"/>
        </w:tabs>
        <w:jc w:val="right"/>
        <w:rPr>
          <w:rFonts w:ascii="Times New Roman" w:hAnsi="Times New Roman" w:cs="Times New Roman"/>
          <w:b/>
          <w:sz w:val="26"/>
          <w:szCs w:val="26"/>
        </w:rPr>
      </w:pPr>
      <w:bookmarkStart w:id="0" w:name="П2"/>
      <w:r>
        <w:rPr>
          <w:rFonts w:ascii="Times New Roman" w:hAnsi="Times New Roman" w:cs="Times New Roman"/>
          <w:b/>
          <w:sz w:val="26"/>
          <w:szCs w:val="26"/>
        </w:rPr>
        <w:t>Приложение № 3 к Документации</w:t>
      </w:r>
      <w:bookmarkEnd w:id="0"/>
    </w:p>
    <w:p w:rsidR="006445EE" w:rsidRDefault="006445EE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445EE" w:rsidRDefault="00F12FBA">
      <w:pPr>
        <w:pStyle w:val="af2"/>
        <w:spacing w:line="17" w:lineRule="atLeast"/>
        <w:ind w:firstLine="709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ТЕХНИЧЕСКОЕ ЗАДАНИЕ</w:t>
      </w:r>
    </w:p>
    <w:p w:rsidR="006445EE" w:rsidRDefault="00F12FBA">
      <w:pPr>
        <w:pStyle w:val="ListParagraph1"/>
        <w:widowControl w:val="0"/>
        <w:tabs>
          <w:tab w:val="left" w:pos="993"/>
        </w:tabs>
        <w:spacing w:line="17" w:lineRule="atLeast"/>
        <w:ind w:left="0"/>
        <w:jc w:val="both"/>
        <w:outlineLvl w:val="0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1. Требования к Оборудованию.</w:t>
      </w:r>
    </w:p>
    <w:p w:rsidR="006445EE" w:rsidRDefault="006445EE">
      <w:pPr>
        <w:pStyle w:val="NoSpacing1"/>
        <w:spacing w:line="17" w:lineRule="atLeast"/>
        <w:ind w:firstLine="720"/>
        <w:jc w:val="both"/>
        <w:rPr>
          <w:rFonts w:ascii="Times New Roman" w:hAnsi="Times New Roman" w:cs="Times New Roman"/>
          <w:b/>
          <w:sz w:val="26"/>
        </w:rPr>
      </w:pPr>
    </w:p>
    <w:p w:rsidR="006445EE" w:rsidRDefault="00F12FBA">
      <w:pPr>
        <w:pStyle w:val="NoSpacing1"/>
        <w:spacing w:line="17" w:lineRule="atLeast"/>
        <w:ind w:firstLine="720"/>
        <w:jc w:val="both"/>
        <w:rPr>
          <w:rFonts w:ascii="Times New Roman" w:hAnsi="Times New Roman" w:cs="Times New Roman"/>
          <w:b/>
          <w:sz w:val="26"/>
        </w:rPr>
      </w:pPr>
      <w:r>
        <w:rPr>
          <w:rFonts w:ascii="Times New Roman" w:hAnsi="Times New Roman" w:cs="Times New Roman"/>
          <w:b/>
          <w:sz w:val="26"/>
        </w:rPr>
        <w:t>Требования к объему оборудования установлены:</w:t>
      </w:r>
    </w:p>
    <w:p w:rsidR="006445EE" w:rsidRDefault="00F12FBA">
      <w:pPr>
        <w:pStyle w:val="NoSpacing1"/>
        <w:spacing w:line="17" w:lineRule="atLeast"/>
        <w:ind w:firstLine="720"/>
        <w:jc w:val="both"/>
        <w:rPr>
          <w:rFonts w:ascii="Times New Roman" w:hAnsi="Times New Roman" w:cs="Times New Roman"/>
          <w:bCs/>
          <w:sz w:val="26"/>
        </w:rPr>
      </w:pPr>
      <w:r>
        <w:rPr>
          <w:rFonts w:ascii="Times New Roman" w:hAnsi="Times New Roman" w:cs="Times New Roman"/>
          <w:bCs/>
          <w:sz w:val="26"/>
        </w:rPr>
        <w:t>В спецификации (прилагается отдельным файлом)</w:t>
      </w:r>
    </w:p>
    <w:p w:rsidR="006445EE" w:rsidRDefault="006445EE">
      <w:pPr>
        <w:pStyle w:val="NoSpacing1"/>
        <w:spacing w:line="17" w:lineRule="atLeast"/>
        <w:ind w:firstLine="720"/>
        <w:jc w:val="both"/>
        <w:rPr>
          <w:rFonts w:ascii="Times New Roman" w:hAnsi="Times New Roman" w:cs="Times New Roman"/>
          <w:sz w:val="26"/>
        </w:rPr>
      </w:pPr>
    </w:p>
    <w:p w:rsidR="006445EE" w:rsidRDefault="00F12FBA">
      <w:pPr>
        <w:pStyle w:val="NoSpacing1"/>
        <w:spacing w:line="17" w:lineRule="atLeast"/>
        <w:ind w:firstLine="72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 xml:space="preserve">Все Оборудование должно быть новым, которое не было в употреблении, в ремонте, в том числе, которое не было восстановлено, у которого не была осуществлена замена составных частей, не были восстановлены потребительские свойства, не находиться в залоге, под </w:t>
      </w:r>
      <w:r>
        <w:rPr>
          <w:rFonts w:ascii="Times New Roman" w:hAnsi="Times New Roman" w:cs="Times New Roman"/>
          <w:sz w:val="26"/>
        </w:rPr>
        <w:t xml:space="preserve">арестом или иным обременением.  Оборудование, подлежащее обязательной сертификации в соответствии с действующим законодательством РФ, должно иметь сертификат и знак соответствия. </w:t>
      </w:r>
    </w:p>
    <w:p w:rsidR="006445EE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</w:p>
    <w:p w:rsidR="006445EE" w:rsidRDefault="00F12FBA">
      <w:pPr>
        <w:pStyle w:val="ListParagraph1"/>
        <w:tabs>
          <w:tab w:val="left" w:pos="993"/>
        </w:tabs>
        <w:spacing w:line="17" w:lineRule="atLeast"/>
        <w:ind w:left="0"/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b/>
          <w:sz w:val="26"/>
        </w:rPr>
        <w:t>2. Требования к техническим, функциональным характеристикам и эксплуатацион</w:t>
      </w:r>
      <w:r>
        <w:rPr>
          <w:rFonts w:ascii="Times New Roman" w:hAnsi="Times New Roman" w:cs="Times New Roman"/>
          <w:b/>
          <w:sz w:val="26"/>
        </w:rPr>
        <w:t>ным характеристикам (потребительским свойствам) Оборудования. Требования к качеству и безопасности Оборудования. Требования энергетической эффективности Оборудования.</w:t>
      </w:r>
    </w:p>
    <w:p w:rsidR="006445EE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</w:p>
    <w:tbl>
      <w:tblPr>
        <w:tblW w:w="9662" w:type="dxa"/>
        <w:tblInd w:w="79" w:type="dxa"/>
        <w:tblLayout w:type="fixed"/>
        <w:tblLook w:val="04A0" w:firstRow="1" w:lastRow="0" w:firstColumn="1" w:lastColumn="0" w:noHBand="0" w:noVBand="1"/>
      </w:tblPr>
      <w:tblGrid>
        <w:gridCol w:w="503"/>
        <w:gridCol w:w="1955"/>
        <w:gridCol w:w="7204"/>
      </w:tblGrid>
      <w:tr w:rsidR="006445EE">
        <w:trPr>
          <w:trHeight w:val="20"/>
          <w:tblHeader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EE" w:rsidRDefault="00F12FBA">
            <w:pPr>
              <w:keepNext/>
              <w:widowControl w:val="0"/>
              <w:jc w:val="right"/>
              <w:outlineLvl w:val="0"/>
              <w:rPr>
                <w:rFonts w:ascii="Times New Roman" w:hAnsi="Times New Roman" w:cs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>№</w:t>
            </w:r>
          </w:p>
          <w:p w:rsidR="006445EE" w:rsidRDefault="00F12FBA">
            <w:pPr>
              <w:keepNext/>
              <w:widowControl w:val="0"/>
              <w:jc w:val="right"/>
              <w:outlineLvl w:val="0"/>
              <w:rPr>
                <w:rFonts w:ascii="Times New Roman" w:hAnsi="Times New Roman" w:cs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>п/п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EE" w:rsidRDefault="00F12FBA">
            <w:pPr>
              <w:jc w:val="center"/>
              <w:rPr>
                <w:rFonts w:ascii="Times New Roman" w:hAnsi="Times New Roman" w:cs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>Наименование Оборудования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445EE" w:rsidRDefault="00F12FBA">
            <w:pPr>
              <w:keepNext/>
              <w:widowControl w:val="0"/>
              <w:jc w:val="center"/>
              <w:outlineLvl w:val="0"/>
              <w:rPr>
                <w:rFonts w:ascii="Times New Roman" w:hAnsi="Times New Roman" w:cs="Times New Roman"/>
                <w:b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b/>
                <w:sz w:val="20"/>
                <w:highlight w:val="white"/>
              </w:rPr>
              <w:t>Характеристики</w:t>
            </w:r>
          </w:p>
        </w:tc>
      </w:tr>
      <w:tr w:rsidR="006445EE">
        <w:trPr>
          <w:trHeight w:val="312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EE" w:rsidRDefault="006445EE">
            <w:pPr>
              <w:numPr>
                <w:ilvl w:val="0"/>
                <w:numId w:val="1"/>
              </w:numPr>
              <w:ind w:left="0" w:hanging="357"/>
              <w:jc w:val="right"/>
              <w:rPr>
                <w:rFonts w:ascii="Times New Roman" w:hAnsi="Times New Roman" w:cs="Times New Roman"/>
                <w:sz w:val="20"/>
                <w:highlight w:val="white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Светодиодный светильник Гроза 150 M v2 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U-L24 5000К 155×70° VII DIM NEMA  совместимый с системой управления наружным освещением г.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Лабытнанги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и работающий в цифровой платформе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SUNRiSE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Умный город.</w:t>
            </w:r>
          </w:p>
        </w:tc>
        <w:tc>
          <w:tcPr>
            <w:tcW w:w="7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Световой поток (с учетом потерь на оптике): 26 000 лм;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Цветовая температура: 5000 К;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 xml:space="preserve">Индекс 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цветопередачи (</w:t>
            </w:r>
            <w:proofErr w:type="spellStart"/>
            <w:r>
              <w:rPr>
                <w:rFonts w:ascii="Times New Roman" w:hAnsi="Times New Roman" w:cs="Times New Roman"/>
                <w:sz w:val="20"/>
                <w:highlight w:val="white"/>
              </w:rPr>
              <w:t>Ra</w:t>
            </w:r>
            <w:proofErr w:type="spellEnd"/>
            <w:r>
              <w:rPr>
                <w:rFonts w:ascii="Times New Roman" w:hAnsi="Times New Roman" w:cs="Times New Roman"/>
                <w:sz w:val="20"/>
                <w:highlight w:val="white"/>
              </w:rPr>
              <w:t>): 70;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Угол излучения, в поперечной/продольной плоскости: 155°*70°;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Потребляемая мощность в номинальном режиме: 150 Вт;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Класс защиты от поражения электрическим током: I;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Источник света: светодиод;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Степень защиты от внешних воздействий: IP 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66;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Диапазон рабочих температур: от -60 до +50 С°;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Вид климатического исполнения: УХЛ1;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Пульсация светового потока: 1%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Напряжение питающей сети: 100-305 </w:t>
            </w:r>
            <w:proofErr w:type="gram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Частота питающей сети: 47-63 Гц;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Коэффициент мощности (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cos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φ): 0,95;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Наличие защиты от короткого 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замыкания по выходу;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Наличие защиты от холостого хода по выходу;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Наличие защиты от воздействия повышенного напряжения (до 380 В) в течение 48 часов;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Грозозащита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: L–N 6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/ L/N-PE 10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Материал корпуса: сплав алюминия, литой под давлением;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Материал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рассе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ивателя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: закаленное стекло;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br/>
              <w:t>Материал линзы - ПММА</w:t>
            </w:r>
          </w:p>
          <w:p w:rsidR="006445EE" w:rsidRDefault="00F12FBA">
            <w:pPr>
              <w:pBdr>
                <w:bottom w:val="single" w:sz="6" w:space="0" w:color="E0E0E0"/>
              </w:pBd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Регулировка в стороны относительно перпендикулярности консоли оси дороги ±20 градусов с шагом 5 градусов;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Наличие возможности регулировки яркости светильника от 0 до 100 %, с шагом изменения яркости 0,5 % ч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ерез цифровую платформу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SUNRiSE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Умный город;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Наличие функции передачи мощности (Вт) светильника в цифровую платформу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SUNRiSE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Умный город;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Наличие функции передачи потребления тока (А) светильника в цифровую платформу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SUNRiSE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Умный город;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Наличие функции пе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редачи информации о состоянии светильника (на связи, не на связи, включён, выключен) в цифровую платформу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SUNRiSE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 xml:space="preserve"> Умный город;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Светильник при выпадении инея с последующим его оттаиванием должен выдерживать в течение 1 часа приложенное номинальное напряжени</w:t>
            </w: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е сети, на которое рассчитан светильник;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lastRenderedPageBreak/>
              <w:t xml:space="preserve">Габаритные размеры </w:t>
            </w:r>
            <w:proofErr w:type="spellStart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ДхШхВ</w:t>
            </w:r>
            <w:proofErr w:type="spellEnd"/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: 703×272×158;</w:t>
            </w:r>
          </w:p>
          <w:p w:rsidR="006445EE" w:rsidRDefault="00F12FBA">
            <w:pP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pacing w:val="2"/>
                <w:sz w:val="20"/>
                <w:highlight w:val="white"/>
              </w:rPr>
              <w:t>Масса светильника: 5,5 кг;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Каждый светодиод или группа светодиодов оснащены вторичной оптикой (линзой);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Источник питания должен быть установлен в специальном отсеке для коммута</w:t>
            </w:r>
            <w:r>
              <w:rPr>
                <w:rFonts w:ascii="Times New Roman" w:hAnsi="Times New Roman" w:cs="Times New Roman"/>
                <w:sz w:val="20"/>
                <w:highlight w:val="white"/>
              </w:rPr>
              <w:t>ции;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Наличие отсека коммутации доступ, к которому может осуществляться без инструмента</w:t>
            </w:r>
          </w:p>
          <w:p w:rsidR="006445EE" w:rsidRDefault="00F12FBA">
            <w:pPr>
              <w:rPr>
                <w:rFonts w:ascii="Times New Roman" w:hAnsi="Times New Roman" w:cs="Times New Roman"/>
                <w:sz w:val="20"/>
                <w:highlight w:val="white"/>
              </w:rPr>
            </w:pPr>
            <w:r>
              <w:rPr>
                <w:rFonts w:ascii="Times New Roman" w:hAnsi="Times New Roman" w:cs="Times New Roman"/>
                <w:sz w:val="20"/>
                <w:highlight w:val="white"/>
              </w:rPr>
              <w:t>Наличие возможности горячей замены источника питания.</w:t>
            </w:r>
          </w:p>
          <w:p w:rsidR="006445EE" w:rsidRDefault="006445EE">
            <w:pPr>
              <w:rPr>
                <w:rFonts w:ascii="Times New Roman" w:hAnsi="Times New Roman" w:cs="Times New Roman"/>
                <w:color w:val="FF0000"/>
                <w:sz w:val="20"/>
                <w:highlight w:val="white"/>
              </w:rPr>
            </w:pPr>
          </w:p>
        </w:tc>
      </w:tr>
    </w:tbl>
    <w:p w:rsidR="006445EE" w:rsidRPr="00F12FBA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18"/>
        </w:rPr>
      </w:pPr>
    </w:p>
    <w:p w:rsidR="006445EE" w:rsidRPr="00F12FBA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18"/>
        </w:rPr>
      </w:pPr>
    </w:p>
    <w:p w:rsidR="006445EE" w:rsidRDefault="00F12FBA">
      <w:pPr>
        <w:spacing w:line="17" w:lineRule="atLeast"/>
        <w:ind w:firstLine="709"/>
        <w:contextualSpacing/>
        <w:rPr>
          <w:sz w:val="26"/>
        </w:rPr>
      </w:pPr>
      <w:r>
        <w:rPr>
          <w:sz w:val="26"/>
        </w:rPr>
        <w:t xml:space="preserve">Исполнение условий Договора должно осуществляется в точном соответствии с Постановлением Правительства </w:t>
      </w:r>
      <w:r>
        <w:rPr>
          <w:sz w:val="26"/>
        </w:rPr>
        <w:t>Российской Федерации от 23 декабря 2024 года № 1875. В случае если Правительством РФ установлен запрет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</w:t>
      </w:r>
      <w:r>
        <w:rPr>
          <w:sz w:val="26"/>
        </w:rPr>
        <w:t>уг, соответственно выполняемых, оказываемых иностранными лицами, при исполнении Договора допускается замена товара исключительно на товар российского происхождения, если Договор предусматривает применение товара российского происхождения.</w:t>
      </w:r>
    </w:p>
    <w:p w:rsidR="006445EE" w:rsidRDefault="00F12FBA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Оборудование долж</w:t>
      </w:r>
      <w:r>
        <w:rPr>
          <w:rFonts w:ascii="Times New Roman" w:hAnsi="Times New Roman" w:cs="Times New Roman"/>
          <w:sz w:val="26"/>
        </w:rPr>
        <w:t>но отвечать требованиям Закона Российской Федерации от 07.02.1992 № 2300-1 «О защите прав потребителей», Федерального закона от 30 марта 1999 года № 52-ФЗ «О санитарно-эпидемиологическом благополучии населения», Оборудование должно отвечать требованиям эко</w:t>
      </w:r>
      <w:r>
        <w:rPr>
          <w:rFonts w:ascii="Times New Roman" w:hAnsi="Times New Roman" w:cs="Times New Roman"/>
          <w:sz w:val="26"/>
        </w:rPr>
        <w:t>логической безопасности, безопасности жизни и здоровья граждан, также иным требованиям безопасности, установленным действующим законодательством РФ.</w:t>
      </w:r>
    </w:p>
    <w:p w:rsidR="006445EE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</w:p>
    <w:p w:rsidR="006445EE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</w:p>
    <w:p w:rsidR="006445EE" w:rsidRDefault="00F12FBA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В случае если Техническое задание содержит указания, ссылки на недействующие, утратившие силу нормативные</w:t>
      </w:r>
      <w:r>
        <w:rPr>
          <w:rFonts w:ascii="Times New Roman" w:hAnsi="Times New Roman" w:cs="Times New Roman"/>
          <w:sz w:val="26"/>
        </w:rPr>
        <w:t xml:space="preserve"> документы (ГОСТ, СНиП, СП, СанПиН и т.д.), следует применять действующие документы, в том числе введённые взамен утративших силу.</w:t>
      </w:r>
    </w:p>
    <w:p w:rsidR="006445EE" w:rsidRDefault="006445EE">
      <w:pPr>
        <w:spacing w:line="17" w:lineRule="atLeast"/>
        <w:ind w:firstLine="709"/>
        <w:contextualSpacing/>
        <w:rPr>
          <w:rFonts w:ascii="Times New Roman" w:hAnsi="Times New Roman" w:cs="Times New Roman"/>
          <w:sz w:val="26"/>
        </w:rPr>
      </w:pPr>
    </w:p>
    <w:p w:rsidR="006445EE" w:rsidRPr="00F12FBA" w:rsidRDefault="00F12FBA">
      <w:pPr>
        <w:spacing w:line="17" w:lineRule="atLeast"/>
        <w:ind w:firstLine="70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12FBA">
        <w:rPr>
          <w:rFonts w:ascii="Times New Roman" w:hAnsi="Times New Roman" w:cs="Times New Roman"/>
          <w:sz w:val="26"/>
        </w:rPr>
        <w:t>Срок поставки: с даты заключения Договора до 24.07.2026</w:t>
      </w:r>
    </w:p>
    <w:p w:rsidR="006445EE" w:rsidRDefault="00F12FBA">
      <w:pPr>
        <w:spacing w:line="17" w:lineRule="atLeast"/>
        <w:ind w:firstLine="709"/>
        <w:contextualSpacing/>
        <w:rPr>
          <w:rFonts w:ascii="Times New Roman" w:hAnsi="Times New Roman" w:cs="Times New Roman"/>
          <w:b/>
          <w:bCs/>
          <w:sz w:val="26"/>
          <w:szCs w:val="26"/>
        </w:rPr>
      </w:pPr>
      <w:r w:rsidRPr="00F12FBA">
        <w:rPr>
          <w:rFonts w:ascii="Times New Roman" w:hAnsi="Times New Roman" w:cs="Times New Roman"/>
          <w:b/>
          <w:bCs/>
          <w:sz w:val="26"/>
          <w:szCs w:val="26"/>
        </w:rPr>
        <w:t xml:space="preserve">Адрес доставки: город </w:t>
      </w:r>
      <w:proofErr w:type="spellStart"/>
      <w:r w:rsidRPr="00F12FBA">
        <w:rPr>
          <w:rFonts w:ascii="Times New Roman" w:hAnsi="Times New Roman" w:cs="Times New Roman"/>
          <w:b/>
          <w:bCs/>
          <w:sz w:val="26"/>
          <w:szCs w:val="26"/>
        </w:rPr>
        <w:t>Лабытн</w:t>
      </w:r>
      <w:bookmarkStart w:id="1" w:name="_GoBack"/>
      <w:bookmarkEnd w:id="1"/>
      <w:r w:rsidRPr="00F12FBA">
        <w:rPr>
          <w:rFonts w:ascii="Times New Roman" w:hAnsi="Times New Roman" w:cs="Times New Roman"/>
          <w:b/>
          <w:bCs/>
          <w:sz w:val="26"/>
          <w:szCs w:val="26"/>
        </w:rPr>
        <w:t>анги</w:t>
      </w:r>
      <w:proofErr w:type="spellEnd"/>
      <w:r w:rsidRPr="00F12FBA">
        <w:rPr>
          <w:rFonts w:ascii="Times New Roman" w:hAnsi="Times New Roman" w:cs="Times New Roman"/>
          <w:b/>
          <w:bCs/>
          <w:sz w:val="26"/>
          <w:szCs w:val="26"/>
        </w:rPr>
        <w:t xml:space="preserve">, </w:t>
      </w:r>
      <w:proofErr w:type="spellStart"/>
      <w:r w:rsidRPr="00F12FBA">
        <w:rPr>
          <w:rFonts w:ascii="Times New Roman" w:hAnsi="Times New Roman" w:cs="Times New Roman"/>
          <w:b/>
          <w:bCs/>
          <w:sz w:val="26"/>
          <w:szCs w:val="26"/>
        </w:rPr>
        <w:t>ул</w:t>
      </w:r>
      <w:proofErr w:type="spellEnd"/>
      <w:r w:rsidRPr="00F12FBA">
        <w:rPr>
          <w:rFonts w:ascii="Times New Roman" w:hAnsi="Times New Roman" w:cs="Times New Roman"/>
          <w:b/>
          <w:bCs/>
          <w:sz w:val="26"/>
          <w:szCs w:val="26"/>
        </w:rPr>
        <w:t xml:space="preserve"> 40 лет Победы, д. 2</w:t>
      </w:r>
    </w:p>
    <w:sectPr w:rsidR="006445EE">
      <w:pgSz w:w="11906" w:h="16838"/>
      <w:pgMar w:top="1134" w:right="737" w:bottom="1134" w:left="130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CC"/>
    <w:family w:val="swiss"/>
    <w:pitch w:val="variable"/>
    <w:sig w:usb0="E00082FF" w:usb1="4000205F" w:usb2="0800002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altName w:val="Liberation Mono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A4370"/>
    <w:multiLevelType w:val="multilevel"/>
    <w:tmpl w:val="B6F2EA7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29DA4C5B"/>
    <w:multiLevelType w:val="multilevel"/>
    <w:tmpl w:val="FEAEE7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5EE"/>
    <w:rsid w:val="006445EE"/>
    <w:rsid w:val="00F1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BAF99E-B7EE-4EDC-9852-C7C48C46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ahoma" w:hAnsi="XO Thames" w:cs="Noto Sans"/>
        <w:color w:val="000000"/>
        <w:sz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sz w:val="28"/>
    </w:rPr>
  </w:style>
  <w:style w:type="paragraph" w:styleId="1">
    <w:name w:val="heading 1"/>
    <w:next w:val="a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Heading31">
    <w:name w:val="Heading 31"/>
    <w:qFormat/>
    <w:rPr>
      <w:rFonts w:ascii="XO Thames" w:hAnsi="XO Thames"/>
      <w:b/>
      <w:sz w:val="26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Heading51">
    <w:name w:val="Heading 51"/>
    <w:qFormat/>
    <w:rPr>
      <w:rFonts w:ascii="XO Thames" w:hAnsi="XO Thames"/>
      <w:b/>
      <w:sz w:val="22"/>
    </w:rPr>
  </w:style>
  <w:style w:type="character" w:customStyle="1" w:styleId="Heading11">
    <w:name w:val="Heading 11"/>
    <w:qFormat/>
    <w:rPr>
      <w:rFonts w:ascii="XO Thames" w:hAnsi="XO Thames"/>
      <w:b/>
      <w:sz w:val="32"/>
    </w:rPr>
  </w:style>
  <w:style w:type="character" w:styleId="a3">
    <w:name w:val="Hyperlink"/>
    <w:rPr>
      <w:color w:val="0000FF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  <w:sz w:val="28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Subtitle1">
    <w:name w:val="Subtitle1"/>
    <w:qFormat/>
    <w:rPr>
      <w:rFonts w:ascii="XO Thames" w:hAnsi="XO Thames"/>
      <w:i/>
      <w:sz w:val="24"/>
    </w:rPr>
  </w:style>
  <w:style w:type="character" w:customStyle="1" w:styleId="Title1">
    <w:name w:val="Title1"/>
    <w:qFormat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Pr>
      <w:rFonts w:ascii="XO Thames" w:hAnsi="XO Thames"/>
      <w:b/>
      <w:sz w:val="24"/>
    </w:rPr>
  </w:style>
  <w:style w:type="character" w:customStyle="1" w:styleId="Heading21">
    <w:name w:val="Heading 21"/>
    <w:qFormat/>
    <w:rPr>
      <w:rFonts w:ascii="XO Thames" w:hAnsi="XO Thames"/>
      <w:b/>
      <w:sz w:val="28"/>
    </w:rPr>
  </w:style>
  <w:style w:type="character" w:customStyle="1" w:styleId="10">
    <w:name w:val="Без интервала1"/>
    <w:link w:val="NoSpacing1"/>
    <w:qFormat/>
    <w:rsid w:val="00A655F0"/>
  </w:style>
  <w:style w:type="character" w:customStyle="1" w:styleId="11">
    <w:name w:val="Абзац списка1"/>
    <w:link w:val="ListParagraph1"/>
    <w:qFormat/>
    <w:rsid w:val="00A655F0"/>
  </w:style>
  <w:style w:type="character" w:customStyle="1" w:styleId="a4">
    <w:name w:val="Текст выноски Знак"/>
    <w:basedOn w:val="a0"/>
    <w:link w:val="a5"/>
    <w:uiPriority w:val="99"/>
    <w:semiHidden/>
    <w:qFormat/>
    <w:rsid w:val="00A655F0"/>
    <w:rPr>
      <w:rFonts w:ascii="Segoe UI" w:hAnsi="Segoe UI" w:cs="Mangal"/>
      <w:sz w:val="18"/>
      <w:szCs w:val="16"/>
    </w:rPr>
  </w:style>
  <w:style w:type="character" w:styleId="a6">
    <w:name w:val="annotation reference"/>
    <w:basedOn w:val="a0"/>
    <w:link w:val="annotationreference1"/>
    <w:unhideWhenUsed/>
    <w:qFormat/>
    <w:rsid w:val="00DD4611"/>
    <w:rPr>
      <w:sz w:val="16"/>
      <w:szCs w:val="16"/>
    </w:rPr>
  </w:style>
  <w:style w:type="character" w:customStyle="1" w:styleId="a7">
    <w:name w:val="Текст примечания Знак"/>
    <w:basedOn w:val="a0"/>
    <w:link w:val="a8"/>
    <w:qFormat/>
    <w:rsid w:val="00DD4611"/>
    <w:rPr>
      <w:rFonts w:cs="Mangal"/>
      <w:sz w:val="20"/>
      <w:szCs w:val="18"/>
    </w:rPr>
  </w:style>
  <w:style w:type="character" w:customStyle="1" w:styleId="a9">
    <w:name w:val="Тема примечания Знак"/>
    <w:basedOn w:val="a7"/>
    <w:link w:val="aa"/>
    <w:uiPriority w:val="99"/>
    <w:semiHidden/>
    <w:qFormat/>
    <w:rsid w:val="00DD4611"/>
    <w:rPr>
      <w:rFonts w:cs="Mangal"/>
      <w:b/>
      <w:bCs/>
      <w:sz w:val="20"/>
      <w:szCs w:val="18"/>
    </w:rPr>
  </w:style>
  <w:style w:type="paragraph" w:customStyle="1" w:styleId="12">
    <w:name w:val="Заголовок1"/>
    <w:basedOn w:val="a"/>
    <w:next w:val="ab"/>
    <w:qFormat/>
    <w:pPr>
      <w:keepNext/>
      <w:spacing w:before="240" w:after="120"/>
    </w:pPr>
    <w:rPr>
      <w:rFonts w:ascii="Liberation Sans" w:hAnsi="Liberation Sans"/>
      <w:szCs w:val="28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</w:style>
  <w:style w:type="paragraph" w:styleId="ad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  <w:qFormat/>
    <w:pPr>
      <w:suppressLineNumbers/>
    </w:pPr>
  </w:style>
  <w:style w:type="paragraph" w:styleId="ae">
    <w:name w:val="Title"/>
    <w:next w:val="ab"/>
    <w:uiPriority w:val="10"/>
    <w:qFormat/>
    <w:pPr>
      <w:spacing w:before="567" w:after="567"/>
      <w:jc w:val="center"/>
    </w:pPr>
    <w:rPr>
      <w:b/>
      <w:caps/>
      <w:sz w:val="40"/>
    </w:rPr>
  </w:style>
  <w:style w:type="paragraph" w:styleId="af">
    <w:name w:val="index heading"/>
    <w:basedOn w:val="a"/>
    <w:qFormat/>
    <w:pPr>
      <w:suppressLineNumbers/>
    </w:pPr>
  </w:style>
  <w:style w:type="paragraph" w:styleId="20">
    <w:name w:val="toc 2"/>
    <w:next w:val="a"/>
    <w:uiPriority w:val="39"/>
    <w:pPr>
      <w:ind w:left="200"/>
    </w:pPr>
    <w:rPr>
      <w:sz w:val="28"/>
    </w:rPr>
  </w:style>
  <w:style w:type="paragraph" w:styleId="40">
    <w:name w:val="toc 4"/>
    <w:next w:val="a"/>
    <w:uiPriority w:val="39"/>
    <w:pPr>
      <w:ind w:left="600"/>
    </w:pPr>
    <w:rPr>
      <w:sz w:val="28"/>
    </w:rPr>
  </w:style>
  <w:style w:type="paragraph" w:styleId="6">
    <w:name w:val="toc 6"/>
    <w:next w:val="a"/>
    <w:uiPriority w:val="39"/>
    <w:pPr>
      <w:ind w:left="1000"/>
    </w:pPr>
    <w:rPr>
      <w:sz w:val="28"/>
    </w:rPr>
  </w:style>
  <w:style w:type="paragraph" w:styleId="7">
    <w:name w:val="toc 7"/>
    <w:next w:val="a"/>
    <w:uiPriority w:val="39"/>
    <w:pPr>
      <w:ind w:left="1200"/>
    </w:pPr>
    <w:rPr>
      <w:sz w:val="28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sz w:val="22"/>
    </w:rPr>
  </w:style>
  <w:style w:type="paragraph" w:styleId="30">
    <w:name w:val="toc 3"/>
    <w:next w:val="a"/>
    <w:uiPriority w:val="39"/>
    <w:pPr>
      <w:ind w:left="400"/>
    </w:pPr>
    <w:rPr>
      <w:sz w:val="28"/>
    </w:rPr>
  </w:style>
  <w:style w:type="paragraph" w:customStyle="1" w:styleId="Internetlink">
    <w:name w:val="Internet link"/>
    <w:qFormat/>
    <w:rPr>
      <w:color w:val="0000FF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sz w:val="22"/>
    </w:rPr>
  </w:style>
  <w:style w:type="paragraph" w:styleId="14">
    <w:name w:val="toc 1"/>
    <w:next w:val="a"/>
    <w:uiPriority w:val="39"/>
    <w:rPr>
      <w:b/>
      <w:sz w:val="28"/>
    </w:rPr>
  </w:style>
  <w:style w:type="paragraph" w:customStyle="1" w:styleId="af0">
    <w:name w:val="Колонтитулы"/>
    <w:qFormat/>
    <w:pPr>
      <w:jc w:val="both"/>
    </w:pPr>
    <w:rPr>
      <w:sz w:val="28"/>
    </w:rPr>
  </w:style>
  <w:style w:type="paragraph" w:styleId="9">
    <w:name w:val="toc 9"/>
    <w:next w:val="a"/>
    <w:uiPriority w:val="39"/>
    <w:pPr>
      <w:ind w:left="1600"/>
    </w:pPr>
    <w:rPr>
      <w:sz w:val="28"/>
    </w:rPr>
  </w:style>
  <w:style w:type="paragraph" w:styleId="8">
    <w:name w:val="toc 8"/>
    <w:next w:val="a"/>
    <w:uiPriority w:val="39"/>
    <w:pPr>
      <w:ind w:left="1400"/>
    </w:pPr>
    <w:rPr>
      <w:sz w:val="28"/>
    </w:rPr>
  </w:style>
  <w:style w:type="paragraph" w:styleId="50">
    <w:name w:val="toc 5"/>
    <w:next w:val="a"/>
    <w:uiPriority w:val="39"/>
    <w:pPr>
      <w:ind w:left="800"/>
    </w:pPr>
    <w:rPr>
      <w:sz w:val="28"/>
    </w:rPr>
  </w:style>
  <w:style w:type="paragraph" w:styleId="af1">
    <w:name w:val="Subtitle"/>
    <w:next w:val="a"/>
    <w:uiPriority w:val="11"/>
    <w:qFormat/>
    <w:pPr>
      <w:jc w:val="both"/>
    </w:pPr>
    <w:rPr>
      <w:i/>
    </w:rPr>
  </w:style>
  <w:style w:type="paragraph" w:styleId="af2">
    <w:name w:val="No Spacing"/>
    <w:qFormat/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paragraph" w:styleId="af3">
    <w:name w:val="List Paragraph"/>
    <w:basedOn w:val="a"/>
    <w:qFormat/>
    <w:pPr>
      <w:ind w:left="720"/>
      <w:contextualSpacing/>
    </w:pPr>
  </w:style>
  <w:style w:type="paragraph" w:customStyle="1" w:styleId="ConsPlusNormal">
    <w:name w:val="ConsPlusNormal"/>
    <w:qFormat/>
    <w:rsid w:val="00576934"/>
    <w:pPr>
      <w:widowControl w:val="0"/>
      <w:suppressAutoHyphens w:val="0"/>
      <w:ind w:firstLine="720"/>
    </w:pPr>
    <w:rPr>
      <w:rFonts w:ascii="Arial" w:eastAsia="Times New Roman" w:hAnsi="Arial" w:cs="Arial"/>
      <w:color w:val="auto"/>
      <w:sz w:val="20"/>
      <w:lang w:eastAsia="ru-RU" w:bidi="ar-SA"/>
    </w:rPr>
  </w:style>
  <w:style w:type="paragraph" w:customStyle="1" w:styleId="NoSpacing1">
    <w:name w:val="No Spacing1"/>
    <w:link w:val="10"/>
    <w:qFormat/>
    <w:rsid w:val="00A655F0"/>
  </w:style>
  <w:style w:type="paragraph" w:customStyle="1" w:styleId="ListParagraph1">
    <w:name w:val="List Paragraph1"/>
    <w:basedOn w:val="a"/>
    <w:link w:val="11"/>
    <w:qFormat/>
    <w:rsid w:val="00A655F0"/>
    <w:pPr>
      <w:ind w:left="720"/>
      <w:contextualSpacing/>
      <w:jc w:val="left"/>
    </w:pPr>
    <w:rPr>
      <w:sz w:val="24"/>
    </w:rPr>
  </w:style>
  <w:style w:type="paragraph" w:styleId="a5">
    <w:name w:val="Balloon Text"/>
    <w:basedOn w:val="a"/>
    <w:link w:val="a4"/>
    <w:uiPriority w:val="99"/>
    <w:semiHidden/>
    <w:unhideWhenUsed/>
    <w:qFormat/>
    <w:rsid w:val="00A655F0"/>
    <w:rPr>
      <w:rFonts w:ascii="Segoe UI" w:hAnsi="Segoe UI" w:cs="Mangal"/>
      <w:sz w:val="18"/>
      <w:szCs w:val="16"/>
    </w:rPr>
  </w:style>
  <w:style w:type="paragraph" w:styleId="a8">
    <w:name w:val="annotation text"/>
    <w:basedOn w:val="a"/>
    <w:link w:val="a7"/>
    <w:unhideWhenUsed/>
    <w:rsid w:val="00DD4611"/>
    <w:rPr>
      <w:rFonts w:cs="Mangal"/>
      <w:sz w:val="20"/>
      <w:szCs w:val="18"/>
    </w:rPr>
  </w:style>
  <w:style w:type="paragraph" w:styleId="aa">
    <w:name w:val="annotation subject"/>
    <w:basedOn w:val="a8"/>
    <w:next w:val="a8"/>
    <w:link w:val="a9"/>
    <w:uiPriority w:val="99"/>
    <w:semiHidden/>
    <w:unhideWhenUsed/>
    <w:qFormat/>
    <w:rsid w:val="00DD4611"/>
    <w:rPr>
      <w:b/>
      <w:bCs/>
    </w:rPr>
  </w:style>
  <w:style w:type="paragraph" w:customStyle="1" w:styleId="annotationreference1">
    <w:name w:val="annotation reference1"/>
    <w:link w:val="a6"/>
    <w:qFormat/>
    <w:rsid w:val="00A867A5"/>
    <w:rPr>
      <w:sz w:val="16"/>
      <w:szCs w:val="16"/>
    </w:rPr>
  </w:style>
  <w:style w:type="numbering" w:customStyle="1" w:styleId="af4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671</Words>
  <Characters>3827</Characters>
  <Application>Microsoft Office Word</Application>
  <DocSecurity>0</DocSecurity>
  <Lines>31</Lines>
  <Paragraphs>8</Paragraphs>
  <ScaleCrop>false</ScaleCrop>
  <Company>ПАО "Ростелеком"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Боляева Тамара Владимировна</dc:creator>
  <dc:description/>
  <cp:lastModifiedBy>Сидоров Алексей Валентинович</cp:lastModifiedBy>
  <cp:revision>4</cp:revision>
  <cp:lastPrinted>2025-11-28T12:44:00Z</cp:lastPrinted>
  <dcterms:created xsi:type="dcterms:W3CDTF">2026-06-25T10:18:00Z</dcterms:created>
  <dcterms:modified xsi:type="dcterms:W3CDTF">2026-06-26T14:56:00Z</dcterms:modified>
  <dc:language>ru-RU</dc:language>
</cp:coreProperties>
</file>