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bookmarkStart w:id="0" w:name="_Toc192158077"/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 xml:space="preserve">ОКПД2 49.41.20.000 </w:t>
      </w:r>
      <w:bookmarkEnd w:id="0"/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Оказание услуг по предоставлению спецтехники с экипажем для выполнения работ на Усть-Среднеканской ГЭС для нужд Башкирского филиала </w:t>
      </w:r>
    </w:p>
    <w:p>
      <w:pPr>
        <w:pStyle w:val="Heading4"/>
        <w:widowControl w:val="false"/>
        <w:spacing w:before="120" w:after="60"/>
        <w:jc w:val="center"/>
        <w:rPr>
          <w:b/>
          <w:bCs/>
        </w:rPr>
      </w:pPr>
      <w:r>
        <w:rPr>
          <w:rFonts w:eastAsia="Times New Roman"/>
          <w:b/>
          <w:bCs/>
          <w:lang w:val="ru-RU" w:eastAsia="ru-RU"/>
        </w:rPr>
        <w:t>(автокран)</w:t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7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sz w:val="24"/>
          <w:szCs w:val="24"/>
        </w:rPr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46743505"/>
      <w:bookmarkStart w:id="3" w:name="_Toc5464369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Грузо-подъемные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6"/>
      <w:bookmarkStart w:id="5" w:name="_Toc5464369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ОКПД2 49.41.20.000 Оказание услуг по предоставлению спецтехники с экипажем для выполнения работ на Усть-Среднеканской ГЭС для нужд Башкирского филиала (автокран) 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bCs/>
          <w:sz w:val="24"/>
          <w:szCs w:val="24"/>
          <w:lang w:val="ru-RU" w:eastAsia="ru-RU"/>
        </w:rPr>
        <w:t>(далее- Услуги)</w:t>
      </w:r>
      <w:r>
        <w:rPr>
          <w:rFonts w:eastAsia="Calibri"/>
          <w:bCs/>
          <w:i/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6" w:name="_Toc54643697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>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Целью является исполнение обязательств в рамках подписанного обоснования у взаимозависимого лица по лоту №0004-РЕМ ПРОД 2025-УСГЭС</w:t>
      </w:r>
      <w:r>
        <w:rPr>
          <w:bCs/>
          <w:color w:val="000000" w:themeColor="text1"/>
          <w:sz w:val="24"/>
          <w:szCs w:val="24"/>
        </w:rPr>
        <w:t xml:space="preserve"> «ОКПД2 42.91.20.190 Выполнение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</w:r>
      <w:r>
        <w:rPr>
          <w:bCs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8" w:name="_Toc54643698"/>
      <w:bookmarkStart w:id="9" w:name="_Toc46743508"/>
      <w:r>
        <w:rPr>
          <w:b/>
        </w:rPr>
        <w:t>Существующее положение</w:t>
      </w:r>
      <w:bookmarkStart w:id="10" w:name="_Toc54643699"/>
      <w:bookmarkEnd w:id="8"/>
      <w:bookmarkEnd w:id="9"/>
      <w:r>
        <w:rPr>
          <w:b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/>
      </w:pPr>
      <w:r>
        <w:rPr/>
        <w:t>Заказчик</w:t>
      </w:r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г. Нижний Новгород, пер. Мотальный, д.8 помещ. ВП31, офис С1А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Башкирский Филиал АО «Гидроремонт-ВКК» в г.Уфа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Адрес филиала: адрес: 450000, РБ, г. Уфа, ул. Цюрупы,74.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10"/>
      <w:r>
        <w:rPr>
          <w:b/>
          <w:sz w:val="24"/>
          <w:szCs w:val="24"/>
        </w:rPr>
        <w:t>.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0"/>
        <w:gridCol w:w="3255"/>
        <w:gridCol w:w="3422"/>
        <w:gridCol w:w="2522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7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Отводящий канал Усть-Среднеканской ГЭС на р.Колыме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3" w:hanging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Магаданская область, Среднеканский район, Усть-Среднеканская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Отводящий канал.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1" w:name="_Toc54643701"/>
      <w:r>
        <w:rPr>
          <w:b/>
          <w:bCs/>
        </w:rPr>
        <w:t>Иные требования и сведения общего характера</w:t>
      </w:r>
      <w:bookmarkEnd w:id="11"/>
      <w:r>
        <w:rPr>
          <w:b/>
          <w:bCs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и вывоз специализированной техники до места работы не оплачивается Заказчиком.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1.5.2.     </w:t>
      </w:r>
      <w:bookmarkStart w:id="12" w:name="_Hlk49857604_Копия_2_Копия_2"/>
      <w:bookmarkStart w:id="13" w:name="_Toc46743509_Копия_2_Копия_2"/>
      <w:bookmarkStart w:id="14" w:name="_Toc54643700_Копия_2_Копия_2"/>
      <w:r>
        <w:rPr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15" w:name="_Hlk46492347_Копия_2_Копия_2"/>
      <w:r>
        <w:rPr>
          <w:color w:val="000000" w:themeColor="text1"/>
          <w:sz w:val="24"/>
          <w:szCs w:val="24"/>
        </w:rPr>
        <w:t xml:space="preserve">которая должна быть </w:t>
      </w:r>
      <w:r>
        <w:rPr>
          <w:sz w:val="24"/>
          <w:szCs w:val="24"/>
        </w:rPr>
        <w:t xml:space="preserve">учтена при подготовке заявки </w:t>
      </w:r>
      <w:bookmarkEnd w:id="15"/>
      <w:r>
        <w:rPr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2"/>
      <w:bookmarkEnd w:id="13"/>
      <w:bookmarkEnd w:id="14"/>
      <w:r>
        <w:rPr>
          <w:sz w:val="24"/>
          <w:szCs w:val="24"/>
        </w:rPr>
        <w:t>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ПС в соответствии с номенклатурой (согласно табл.2.) в случае отсутствия необходимости.</w:t>
      </w:r>
    </w:p>
    <w:p>
      <w:pPr>
        <w:pStyle w:val="Heading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16" w:name="_Toc51339693"/>
      <w:bookmarkStart w:id="17" w:name="_Toc54643702"/>
      <w:r>
        <w:rPr>
          <w:b/>
          <w:sz w:val="24"/>
          <w:szCs w:val="24"/>
        </w:rPr>
        <w:t>Требования к продукции</w:t>
      </w:r>
      <w:bookmarkEnd w:id="16"/>
      <w:bookmarkEnd w:id="17"/>
      <w:r>
        <w:rPr>
          <w:b/>
          <w:sz w:val="24"/>
          <w:szCs w:val="24"/>
        </w:rPr>
        <w:t>.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 </w:t>
      </w:r>
      <w:bookmarkStart w:id="18" w:name="_Toc5464370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8"/>
      <w:r>
        <w:rPr>
          <w:b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2.1.1 </w:t>
      </w:r>
      <w:bookmarkStart w:id="19" w:name="_Toc54643704"/>
      <w:r>
        <w:rPr>
          <w:b/>
        </w:rPr>
        <w:t>Требования к перечню и объему услуг</w:t>
      </w:r>
      <w:bookmarkEnd w:id="19"/>
      <w:r>
        <w:rPr>
          <w:b/>
        </w:rPr>
        <w:t>.</w:t>
      </w:r>
    </w:p>
    <w:p>
      <w:pPr>
        <w:pStyle w:val="Heading4"/>
        <w:spacing w:before="119" w:after="62"/>
        <w:contextualSpacing/>
        <w:jc w:val="left"/>
        <w:rPr/>
      </w:pPr>
      <w:bookmarkStart w:id="20" w:name="_Toc54643705"/>
      <w:bookmarkStart w:id="21" w:name="_Toc51339695"/>
      <w:r>
        <w:rPr>
          <w:b/>
        </w:rPr>
        <w:t xml:space="preserve">Таблица 2. Перечень </w:t>
      </w:r>
      <w:bookmarkEnd w:id="21"/>
      <w:r>
        <w:rPr>
          <w:b/>
        </w:rPr>
        <w:t xml:space="preserve">и </w:t>
      </w:r>
      <w:bookmarkEnd w:id="20"/>
      <w:r>
        <w:rPr>
          <w:b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08"/>
        <w:gridCol w:w="1580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ОКПД 2: 49.41.20.000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Оказание услуг по предоставлению спецтехники с экипажем для выполнения работ на Усть-Среднеканской ГЭС  для нужд Башкирского филиала (автокран)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hanging="426"/>
        <w:rPr>
          <w:sz w:val="24"/>
          <w:szCs w:val="24"/>
        </w:rPr>
      </w:pPr>
      <w:r>
        <w:rPr>
          <w:sz w:val="24"/>
          <w:szCs w:val="24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5"/>
        <w:gridCol w:w="2378"/>
        <w:gridCol w:w="3347"/>
        <w:gridCol w:w="1702"/>
        <w:gridCol w:w="1643"/>
      </w:tblGrid>
      <w:tr>
        <w:trPr>
          <w:trHeight w:val="914" w:hRule="atLeast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 спецтехники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Минимальная продолжительность заявки маш/час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610" w:hRule="atLeast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Автокран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Грузоподъемность — от 50 до 80тн</w:t>
              <w:br/>
              <w:t xml:space="preserve">Высота подъема (с гуськом), м: </w:t>
              <w:tab/>
              <w:t>от 44,4 до 60</w:t>
              <w:br/>
              <w:t>Вылет стрелы, м: 2,0 — 19,7</w:t>
              <w:br/>
              <w:t>Длина стрелы, м: 11,5 - 34,1</w:t>
              <w:br/>
              <w:t>Длина гуська, м: 9,1-15,1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431</w:t>
            </w:r>
          </w:p>
        </w:tc>
      </w:tr>
    </w:tbl>
    <w:p>
      <w:pPr>
        <w:pStyle w:val="Heading4"/>
        <w:spacing w:before="119" w:after="62"/>
        <w:contextualSpacing/>
        <w:rPr>
          <w:b/>
        </w:rPr>
      </w:pPr>
      <w:r>
        <w:rPr>
          <w:b/>
        </w:rPr>
      </w:r>
      <w:bookmarkStart w:id="22" w:name="_Toc50125126_Копия_1"/>
      <w:bookmarkStart w:id="23" w:name="_Toc46743510_Копия_1"/>
      <w:bookmarkStart w:id="24" w:name="_Toc50125126_Копия_1"/>
      <w:bookmarkStart w:id="25" w:name="_Toc46743510_Копия_1"/>
      <w:bookmarkEnd w:id="24"/>
      <w:bookmarkEnd w:id="25"/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2.1.2. </w:t>
      </w:r>
      <w:bookmarkStart w:id="26" w:name="_Toc50125131"/>
      <w:bookmarkStart w:id="27" w:name="_Toc54643706"/>
      <w:bookmarkStart w:id="28" w:name="_Toc51339696"/>
      <w:r>
        <w:rPr>
          <w:b/>
        </w:rPr>
        <w:t xml:space="preserve">Требования </w:t>
      </w:r>
      <w:bookmarkEnd w:id="28"/>
      <w:r>
        <w:rPr>
          <w:b/>
        </w:rPr>
        <w:t xml:space="preserve">к </w:t>
      </w:r>
      <w:bookmarkEnd w:id="27"/>
      <w:r>
        <w:rPr>
          <w:b/>
        </w:rPr>
        <w:t>срокам оказания услуг.</w:t>
      </w:r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spacing w:before="120" w:after="60"/>
              <w:rPr/>
            </w:pPr>
            <w:r>
              <w:rPr>
                <w:rFonts w:eastAsia="Times New Roman"/>
                <w:bCs/>
                <w:lang w:val="ru-RU" w:eastAsia="ru-RU"/>
              </w:rPr>
              <w:t>ОКПД 2: 49.41.20.000 Оказание услуг по предоставлению спецтехники с экипажем для</w:t>
            </w:r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 выполнения работ на Усть-Среднеканской ГЭС для нужд Башкирского филиала (автокран)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15.03.2027*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30.11.2027</w:t>
            </w:r>
          </w:p>
        </w:tc>
      </w:tr>
      <w:tr>
        <w:trPr>
          <w:trHeight w:val="675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*с даты направления заявки заказчиком, но не ранее 15.03.2027. Дата обусловлена отсутствием персонала АО «Гидроремонт-ВКК».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6"/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8"/>
        <w:gridCol w:w="383"/>
        <w:gridCol w:w="3586"/>
        <w:gridCol w:w="1799"/>
        <w:gridCol w:w="1555"/>
      </w:tblGrid>
      <w:tr>
        <w:trPr/>
        <w:tc>
          <w:tcPr>
            <w:tcW w:w="8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9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6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86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8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799" w:type="dxa"/>
            <w:vMerge w:val="restart"/>
            <w:tcBorders>
              <w:right w:val="nil"/>
            </w:tcBorders>
            <w:vAlign w:val="center"/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3586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должен иметь СТ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СТ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9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СТ Заказчику.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557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СТ,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1.4.2.</w:t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использовании СТ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199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586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199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Предоставленная Исполнителем СТ должна иметь экипаж (в том числе и лицо ответственное за работоспособное состояние СТ и т.д.) .Спецтехника (Башенные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гусеничном).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199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График работы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 xml:space="preserve">Необходимо учесть возможное, но не обязательное, использование СТ в трехсменном режиме работы: 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val="ru-RU" w:bidi="ar-SA"/>
              </w:rPr>
              <w:t xml:space="preserve"> - </w:t>
            </w:r>
            <w:r>
              <w:rPr>
                <w:rFonts w:cs="Times New Roman"/>
                <w:kern w:val="0"/>
                <w:lang w:bidi="ar-SA"/>
              </w:rPr>
              <w:t xml:space="preserve">1 смена: с </w:t>
            </w:r>
            <w:r>
              <w:rPr>
                <w:rFonts w:cs="Times New Roman"/>
                <w:kern w:val="0"/>
                <w:lang w:val="ru-RU" w:bidi="ar-SA"/>
              </w:rPr>
              <w:t>0</w:t>
            </w:r>
            <w:r>
              <w:rPr>
                <w:rFonts w:cs="Times New Roman"/>
                <w:kern w:val="0"/>
                <w:lang w:bidi="ar-SA"/>
              </w:rPr>
              <w:t>8:00 до 17:00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   - </w:t>
            </w:r>
            <w:r>
              <w:rPr>
                <w:rFonts w:cs="Times New Roman"/>
                <w:kern w:val="0"/>
                <w:lang w:bidi="ar-SA"/>
              </w:rPr>
              <w:t>2 смена: с 17:00 до 01:00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- </w:t>
            </w:r>
            <w:r>
              <w:rPr>
                <w:rFonts w:cs="Times New Roman"/>
                <w:kern w:val="0"/>
                <w:lang w:bidi="ar-SA"/>
              </w:rPr>
              <w:t>3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смена: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 01:00 до 08:00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предоставляемые исполнителем должны соответствовать НТД установленных законодательством РФ при эксплуатации специальной техники предоставленной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нести все расходы, связанные с эксплуатацией СТ,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СТ, оплату стоимости налоговых пошлин, страховых сборов, оплату штрафов, и иных расходов, возникающих в связи с эксплуатацией СТ.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Предоставляемая СТ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СТ.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СТ, согласованной в Заявке (ДТП, постановка в ремонт / на техническое обслуживание, угон СТ, иные причины) незамедлительно уведомить об этом Заказчика и по согласованию с Заказчиком предоставить подменную СТ с аналогичными техническими характеристиками в срок не позднее 1 часа с момента ДТП постановка в ремонт / на техническое обслуживание, угон СТ, иные причины, соответствующими условиям Договора и на условиях, согласованных в Заявках. Время простоя, СТ, не оплачивается.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358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невозможности предоставления СТ и описанием ПС предоставляемом на замену.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</w:t>
            </w:r>
          </w:p>
        </w:tc>
        <w:tc>
          <w:tcPr>
            <w:tcW w:w="3586" w:type="dxa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маш/час является фиксированной и постоянной на протяжении всего срока действия договора.</w:t>
            </w:r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358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производится по факту отработанного времени, указанному в путевых листах, подписанных Заказчиком. Доставка до места работы СТ не оплачивается. Минимальная заявка  на СТ -1 маш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час.</w:t>
            </w:r>
          </w:p>
        </w:tc>
        <w:tc>
          <w:tcPr>
            <w:tcW w:w="17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67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30" w:name="_Toc54643469"/>
      <w:bookmarkStart w:id="31" w:name="_Toc54279844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30"/>
      <w:bookmarkEnd w:id="31"/>
      <w:r>
        <w:rPr>
          <w:b/>
          <w:sz w:val="24"/>
          <w:szCs w:val="24"/>
          <w:lang w:val="ru-RU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  <w:bookmarkStart w:id="32" w:name="_GoBack"/>
      <w:bookmarkEnd w:id="32"/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15282651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Application>AlterOffice/3.4.0.9$Linux_X86_64 LibreOffice_project/b8daf9e823b1a5463a2f48435ddc2e8696e7d4fc</Application>
  <AppVersion>15.0000</AppVersion>
  <Pages>12</Pages>
  <Words>1498</Words>
  <Characters>10337</Characters>
  <CharactersWithSpaces>11728</CharactersWithSpaces>
  <Paragraphs>190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2026-06-27T16:03:37Z</dcterms:modified>
  <cp:revision>171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