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_rels/document.xml.rels" ContentType="application/vnd.openxmlformats-package.relationships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110"/>
        <w:shd w:val="clear" w:color="auto" w:fill="auto"/>
        <w:spacing w:lineRule="auto" w:line="240"/>
        <w:ind w:left="5069" w:right="40" w:hanging="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110"/>
        <w:shd w:val="clear" w:color="auto" w:fill="auto"/>
        <w:spacing w:lineRule="auto" w:line="240"/>
        <w:ind w:left="5069" w:right="40" w:hanging="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110"/>
        <w:shd w:val="clear" w:color="auto" w:fill="auto"/>
        <w:spacing w:lineRule="auto" w:line="240"/>
        <w:ind w:left="5069" w:right="40" w:hanging="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110"/>
        <w:shd w:val="clear" w:color="auto" w:fill="auto"/>
        <w:spacing w:lineRule="auto" w:line="240"/>
        <w:ind w:left="5069" w:right="40" w:hanging="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110"/>
        <w:shd w:val="clear" w:color="auto" w:fill="auto"/>
        <w:spacing w:lineRule="auto" w:line="240"/>
        <w:ind w:left="5069" w:right="40" w:hanging="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110"/>
        <w:shd w:val="clear" w:color="auto" w:fill="auto"/>
        <w:spacing w:lineRule="auto" w:line="240"/>
        <w:ind w:left="5069" w:right="40" w:hanging="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110"/>
        <w:shd w:val="clear" w:color="auto" w:fill="auto"/>
        <w:spacing w:lineRule="auto" w:line="240"/>
        <w:ind w:left="5069" w:right="40" w:hanging="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110"/>
        <w:shd w:val="clear" w:color="auto" w:fill="auto"/>
        <w:spacing w:lineRule="auto" w:line="240"/>
        <w:ind w:left="5069" w:right="40" w:hanging="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110"/>
        <w:shd w:val="clear" w:color="auto" w:fill="auto"/>
        <w:spacing w:lineRule="auto" w:line="240"/>
        <w:ind w:left="5069" w:right="40" w:hanging="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110"/>
        <w:shd w:val="clear" w:color="auto" w:fill="auto"/>
        <w:spacing w:lineRule="auto" w:line="240"/>
        <w:ind w:left="5069" w:right="40" w:hanging="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110"/>
        <w:shd w:val="clear" w:color="auto" w:fill="auto"/>
        <w:spacing w:lineRule="auto" w:line="240"/>
        <w:ind w:left="5069" w:right="40" w:hanging="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110"/>
        <w:shd w:val="clear" w:color="auto" w:fill="auto"/>
        <w:spacing w:lineRule="auto" w:line="240"/>
        <w:ind w:left="5069" w:right="40" w:hanging="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110"/>
        <w:shd w:val="clear" w:color="auto" w:fill="auto"/>
        <w:spacing w:lineRule="auto" w:line="240"/>
        <w:ind w:left="5069" w:right="40" w:hanging="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110"/>
        <w:shd w:val="clear" w:color="auto" w:fill="auto"/>
        <w:spacing w:lineRule="auto" w:line="240"/>
        <w:ind w:left="5069" w:right="40" w:hanging="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110"/>
        <w:shd w:val="clear" w:color="auto" w:fill="auto"/>
        <w:spacing w:lineRule="auto" w:line="240"/>
        <w:ind w:left="5069" w:right="40" w:hanging="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110"/>
        <w:shd w:val="clear" w:color="auto" w:fill="auto"/>
        <w:spacing w:lineRule="auto" w:line="240"/>
        <w:ind w:left="5069" w:right="40" w:hanging="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110"/>
        <w:shd w:val="clear" w:color="auto" w:fill="auto"/>
        <w:spacing w:lineRule="auto" w:line="240"/>
        <w:ind w:left="5069" w:right="40" w:hanging="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110"/>
        <w:shd w:val="clear" w:color="auto" w:fill="auto"/>
        <w:spacing w:lineRule="auto" w:line="240"/>
        <w:ind w:left="5069" w:right="40" w:hanging="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110"/>
        <w:shd w:val="clear" w:color="auto" w:fill="auto"/>
        <w:spacing w:lineRule="auto" w:line="240"/>
        <w:ind w:left="5069" w:right="40" w:hanging="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widowControl w:val="false"/>
        <w:spacing w:lineRule="auto" w:line="360" w:before="0" w:after="261"/>
        <w:ind w:left="60" w:hanging="0"/>
        <w:contextualSpacing/>
        <w:jc w:val="center"/>
        <w:rPr/>
      </w:pPr>
      <w:r>
        <w:rPr>
          <w:b/>
          <w:bCs/>
          <w:sz w:val="24"/>
          <w:szCs w:val="24"/>
        </w:rPr>
        <w:t>Технические требования на оказание услуг</w:t>
      </w:r>
    </w:p>
    <w:p>
      <w:pPr>
        <w:pStyle w:val="Normal"/>
        <w:numPr>
          <w:ilvl w:val="0"/>
          <w:numId w:val="0"/>
        </w:numPr>
        <w:spacing w:lineRule="auto" w:line="360"/>
        <w:ind w:left="0" w:hanging="0"/>
        <w:jc w:val="center"/>
        <w:outlineLvl w:val="0"/>
        <w:rPr>
          <w:rFonts w:eastAsia="Calibri"/>
          <w:b/>
          <w:bCs/>
          <w:color w:val="000000"/>
          <w:sz w:val="24"/>
          <w:szCs w:val="24"/>
          <w:lang w:eastAsia="en-US"/>
        </w:rPr>
      </w:pPr>
      <w:bookmarkStart w:id="0" w:name="_Toc192158077"/>
      <w:r>
        <w:rPr>
          <w:rFonts w:eastAsia="Calibri"/>
          <w:b/>
          <w:bCs/>
          <w:color w:val="000000"/>
          <w:sz w:val="24"/>
          <w:szCs w:val="24"/>
          <w:shd w:fill="auto" w:val="clear"/>
          <w:lang w:eastAsia="en-US"/>
        </w:rPr>
        <w:t>ОКПД2 49.41.20.</w:t>
      </w:r>
      <w:r>
        <w:rPr>
          <w:rFonts w:eastAsia="Calibri"/>
          <w:b/>
          <w:bCs/>
          <w:color w:val="000000"/>
          <w:sz w:val="24"/>
          <w:szCs w:val="24"/>
          <w:shd w:fill="auto" w:val="clear"/>
          <w:lang w:eastAsia="en-US"/>
        </w:rPr>
        <w:t>000</w:t>
      </w:r>
      <w:r>
        <w:rPr>
          <w:rFonts w:eastAsia="Calibri"/>
          <w:b/>
          <w:bCs/>
          <w:color w:val="000000"/>
          <w:sz w:val="24"/>
          <w:szCs w:val="24"/>
          <w:shd w:fill="auto" w:val="clear"/>
          <w:lang w:eastAsia="en-US"/>
        </w:rPr>
        <w:t xml:space="preserve"> </w:t>
      </w:r>
      <w:bookmarkEnd w:id="0"/>
      <w:r>
        <w:rPr>
          <w:rFonts w:eastAsia="Times New Roman"/>
          <w:b/>
          <w:bCs/>
          <w:color w:val="000000"/>
          <w:sz w:val="24"/>
          <w:szCs w:val="24"/>
          <w:shd w:fill="auto" w:val="clear"/>
          <w:lang w:val="ru-RU" w:eastAsia="ru-RU"/>
        </w:rPr>
        <w:t>Оказание услуг по предоставлению спецтехники с экипажем для выполнения работ на Усть-Среднеканской ГЭС для нужд Башкирского филиала</w:t>
      </w:r>
    </w:p>
    <w:p>
      <w:pPr>
        <w:pStyle w:val="Normal"/>
        <w:numPr>
          <w:ilvl w:val="0"/>
          <w:numId w:val="0"/>
        </w:numPr>
        <w:spacing w:lineRule="auto" w:line="360"/>
        <w:ind w:left="0" w:hanging="0"/>
        <w:jc w:val="center"/>
        <w:outlineLvl w:val="0"/>
        <w:rPr>
          <w:rFonts w:eastAsia="Calibri"/>
          <w:b/>
          <w:bCs/>
          <w:color w:val="000000"/>
          <w:sz w:val="24"/>
          <w:szCs w:val="24"/>
          <w:lang w:eastAsia="en-US"/>
        </w:rPr>
      </w:pPr>
      <w:r>
        <w:rPr>
          <w:rFonts w:eastAsia="Times New Roman"/>
          <w:b/>
          <w:bCs/>
          <w:color w:val="000000"/>
          <w:sz w:val="24"/>
          <w:szCs w:val="24"/>
          <w:shd w:fill="auto" w:val="clear"/>
          <w:lang w:val="ru-RU" w:eastAsia="ru-RU"/>
        </w:rPr>
        <w:t xml:space="preserve">(самосвал) </w:t>
      </w:r>
    </w:p>
    <w:p>
      <w:pPr>
        <w:pStyle w:val="110"/>
        <w:shd w:val="clear" w:color="auto" w:fill="auto"/>
        <w:spacing w:lineRule="exact" w:line="331" w:before="0" w:after="263"/>
        <w:ind w:hanging="0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</w:r>
    </w:p>
    <w:p>
      <w:pPr>
        <w:pStyle w:val="Normal"/>
        <w:widowControl w:val="false"/>
        <w:spacing w:before="0" w:after="261"/>
        <w:ind w:left="60" w:hanging="0"/>
        <w:contextualSpacing/>
        <w:jc w:val="center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widowControl w:val="false"/>
        <w:spacing w:before="0" w:after="261"/>
        <w:ind w:left="60" w:hanging="0"/>
        <w:contextualSpacing/>
        <w:jc w:val="center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widowControl w:val="false"/>
        <w:spacing w:before="0" w:after="261"/>
        <w:ind w:left="60" w:hanging="0"/>
        <w:contextualSpacing/>
        <w:jc w:val="center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110"/>
        <w:shd w:val="clear" w:color="auto" w:fill="auto"/>
        <w:spacing w:lineRule="exact" w:line="331" w:before="0" w:after="263"/>
        <w:ind w:left="60" w:hanging="0"/>
        <w:jc w:val="center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jc w:val="center"/>
        <w:rPr>
          <w:sz w:val="24"/>
          <w:szCs w:val="24"/>
        </w:rPr>
      </w:pPr>
      <w:r>
        <w:rPr>
          <w:sz w:val="24"/>
          <w:szCs w:val="24"/>
        </w:rPr>
      </w:r>
      <w:r>
        <w:br w:type="page"/>
      </w:r>
    </w:p>
    <w:p>
      <w:pPr>
        <w:pStyle w:val="Normal"/>
        <w:jc w:val="center"/>
        <w:rPr>
          <w:sz w:val="24"/>
          <w:szCs w:val="24"/>
        </w:rPr>
      </w:pPr>
      <w:r>
        <w:rPr>
          <w:b/>
          <w:sz w:val="24"/>
          <w:szCs w:val="24"/>
        </w:rPr>
        <w:t>СОДЕРЖАНИЕ</w:t>
      </w:r>
    </w:p>
    <w:sdt>
      <w:sdtPr>
        <w:docPartObj>
          <w:docPartGallery w:val="Table of Contents"/>
          <w:docPartUnique w:val="true"/>
        </w:docPartObj>
      </w:sdtPr>
      <w:sdtContent>
        <w:p>
          <w:pPr>
            <w:pStyle w:val="TOC1"/>
            <w:tabs>
              <w:tab w:val="clear" w:pos="708"/>
              <w:tab w:val="left" w:pos="560" w:leader="none"/>
              <w:tab w:val="right" w:pos="9911" w:leader="dot"/>
            </w:tabs>
            <w:rPr/>
          </w:pPr>
          <w:r>
            <w:fldChar w:fldCharType="begin"/>
          </w:r>
          <w:r>
            <w:rPr>
              <w:webHidden/>
              <w:rStyle w:val="Style17"/>
              <w:vanish w:val="false"/>
              <w:rFonts w:cs="Times New Roman"/>
            </w:rPr>
            <w:instrText xml:space="preserve"> TOC \z \o "1-4" \u \h</w:instrText>
          </w:r>
          <w:r>
            <w:rPr>
              <w:webHidden/>
              <w:rStyle w:val="Style17"/>
              <w:vanish w:val="false"/>
              <w:rFonts w:cs="Times New Roman"/>
            </w:rPr>
            <w:fldChar w:fldCharType="separate"/>
          </w:r>
          <w:hyperlink w:anchor="_Toc54643694">
            <w:r>
              <w:rPr>
                <w:webHidden/>
                <w:rStyle w:val="Style17"/>
                <w:rFonts w:cs="Times New Roman"/>
                <w:vanish w:val="false"/>
              </w:rPr>
              <w:t>1.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_Toc54643694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7"/>
                <w:rFonts w:cs="Times New Roman"/>
              </w:rPr>
              <w:tab/>
              <w:t>Общие сведения</w:t>
              <w:tab/>
              <w:t>3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4"/>
            <w:rPr/>
          </w:pPr>
          <w:hyperlink w:anchor="_Toc54643695">
            <w:r>
              <w:rPr>
                <w:webHidden/>
                <w:rStyle w:val="Style17"/>
                <w:bCs w:val="false"/>
                <w:vanish w:val="false"/>
              </w:rPr>
              <w:t>1.1.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_Toc54643695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7"/>
                <w:bCs w:val="false"/>
              </w:rPr>
              <w:tab/>
              <w:t>Обозначения и сокращения…………………………………………………………….</w:t>
              <w:tab/>
              <w:t>3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4"/>
            <w:rPr/>
          </w:pPr>
          <w:hyperlink w:anchor="_Toc54643696">
            <w:r>
              <w:rPr>
                <w:webHidden/>
                <w:rStyle w:val="Style17"/>
                <w:bCs w:val="false"/>
                <w:vanish w:val="false"/>
              </w:rPr>
              <w:t>1.2.</w:t>
            </w:r>
            <w:r>
              <w:rPr>
                <w:rStyle w:val="Style17"/>
                <w:bCs w:val="false"/>
              </w:rPr>
              <w:tab/>
              <w:t>Наименование закупаемой продукции………………………………………………..</w:t>
            </w:r>
            <w:r>
              <w:rPr>
                <w:rStyle w:val="Style17"/>
                <w:b/>
                <w:bCs w:val="false"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_Toc54643696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7"/>
                <w:bCs w:val="false"/>
              </w:rPr>
              <w:t>4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4"/>
            <w:rPr/>
          </w:pPr>
          <w:hyperlink w:anchor="_Toc54643697">
            <w:r>
              <w:rPr>
                <w:webHidden/>
                <w:rStyle w:val="Style17"/>
                <w:bCs w:val="false"/>
                <w:vanish w:val="false"/>
              </w:rPr>
              <w:t>1.3.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_Toc54643697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7"/>
                <w:bCs w:val="false"/>
              </w:rPr>
              <w:tab/>
              <w:t>Цель оказания услуг……………………………………………………………………</w:t>
              <w:tab/>
              <w:t>4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4"/>
            <w:rPr/>
          </w:pPr>
          <w:hyperlink w:anchor="_Toc54643698">
            <w:r>
              <w:rPr>
                <w:webHidden/>
                <w:rStyle w:val="Style17"/>
                <w:bCs w:val="false"/>
                <w:vanish w:val="false"/>
              </w:rPr>
              <w:t>1.4.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_Toc54643698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7"/>
                <w:bCs w:val="false"/>
              </w:rPr>
              <w:tab/>
              <w:t>Существующее положение ……………………………………………………………</w:t>
              <w:tab/>
              <w:t>4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1"/>
            <w:tabs>
              <w:tab w:val="clear" w:pos="708"/>
              <w:tab w:val="right" w:pos="9911" w:leader="dot"/>
            </w:tabs>
            <w:rPr/>
          </w:pPr>
          <w:hyperlink w:anchor="_Toc54643699">
            <w:r>
              <w:rPr>
                <w:webHidden/>
                <w:rStyle w:val="Style17"/>
                <w:rFonts w:cs="Times New Roman"/>
                <w:vanish w:val="false"/>
              </w:rPr>
              <w:t>Таблица 1. Перечень объектов заказчика</w:t>
            </w:r>
            <w:r>
              <w:rPr>
                <w:rStyle w:val="Style17"/>
                <w:rFonts w:cs="Times New Roman"/>
              </w:rPr>
              <w:tab/>
            </w:r>
          </w:hyperlink>
          <w:r>
            <w:rPr>
              <w:rFonts w:cs="Times New Roman"/>
            </w:rPr>
            <w:t>4</w:t>
          </w:r>
        </w:p>
        <w:p>
          <w:pPr>
            <w:pStyle w:val="TOC4"/>
            <w:rPr/>
          </w:pPr>
          <w:hyperlink w:anchor="_Toc54643701">
            <w:r>
              <w:rPr>
                <w:webHidden/>
                <w:rStyle w:val="Style17"/>
                <w:bCs w:val="false"/>
                <w:vanish w:val="false"/>
              </w:rPr>
              <w:t>1.5.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_Toc54643701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7"/>
                <w:bCs w:val="false"/>
              </w:rPr>
              <w:tab/>
              <w:t>Иные требования и сведения общего характера……………………………………...</w:t>
              <w:tab/>
              <w:t>5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1"/>
            <w:tabs>
              <w:tab w:val="clear" w:pos="708"/>
              <w:tab w:val="left" w:pos="560" w:leader="none"/>
              <w:tab w:val="right" w:pos="9911" w:leader="dot"/>
            </w:tabs>
            <w:rPr/>
          </w:pPr>
          <w:hyperlink w:anchor="_Toc54643702">
            <w:r>
              <w:rPr>
                <w:webHidden/>
                <w:rStyle w:val="Style17"/>
                <w:rFonts w:cs="Times New Roman"/>
                <w:vanish w:val="false"/>
              </w:rPr>
              <w:t>2.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_Toc54643702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7"/>
                <w:rFonts w:cs="Times New Roman"/>
              </w:rPr>
              <w:tab/>
              <w:t>Требования к продукции</w:t>
              <w:tab/>
              <w:t>5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4"/>
            <w:rPr/>
          </w:pPr>
          <w:hyperlink w:anchor="_Toc54643703">
            <w:r>
              <w:rPr>
                <w:webHidden/>
                <w:rStyle w:val="Style17"/>
                <w:bCs w:val="false"/>
                <w:vanish w:val="false"/>
              </w:rPr>
              <w:t xml:space="preserve">2.1. 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_Toc54643703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7"/>
                <w:bCs w:val="false"/>
              </w:rPr>
              <w:t>Требования к объемам и срокам оказания услуг…</w:t>
              <w:tab/>
              <w:t>…………………….…………….5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3"/>
            <w:rPr/>
          </w:pPr>
          <w:r>
            <w:rPr>
              <w:bCs w:val="false"/>
            </w:rPr>
            <w:t xml:space="preserve">       </w:t>
          </w:r>
          <w:hyperlink w:anchor="_Toc54643704">
            <w:r>
              <w:rPr>
                <w:webHidden/>
                <w:rStyle w:val="Style17"/>
                <w:bCs w:val="false"/>
                <w:vanish w:val="false"/>
              </w:rPr>
              <w:t>2.1. Требования к перечню и объему услуг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_Toc54643704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7"/>
                <w:bCs w:val="false"/>
              </w:rPr>
              <w:tab/>
              <w:t>5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1"/>
            <w:tabs>
              <w:tab w:val="clear" w:pos="708"/>
              <w:tab w:val="right" w:pos="9911" w:leader="dot"/>
            </w:tabs>
            <w:rPr/>
          </w:pPr>
          <w:hyperlink w:anchor="_Toc54643705">
            <w:r>
              <w:rPr>
                <w:webHidden/>
                <w:rStyle w:val="Style17"/>
                <w:rFonts w:cs="Times New Roman"/>
                <w:vanish w:val="false"/>
              </w:rPr>
              <w:t>Таблица 2. Перечень и объем оказываемых услуг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_Toc54643705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7"/>
                <w:rFonts w:cs="Times New Roman"/>
              </w:rPr>
              <w:tab/>
              <w:t>5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3"/>
            <w:rPr/>
          </w:pPr>
          <w:r>
            <w:rPr>
              <w:b/>
              <w:bCs w:val="false"/>
            </w:rPr>
            <w:t xml:space="preserve">      </w:t>
          </w:r>
          <w:hyperlink w:anchor="_Toc54643706">
            <w:r>
              <w:rPr>
                <w:webHidden/>
                <w:rStyle w:val="Style17"/>
                <w:bCs w:val="false"/>
                <w:vanish w:val="false"/>
              </w:rPr>
              <w:t>2.1.2 Требования к срокам оказания услуг</w:t>
            </w:r>
            <w:r>
              <w:rPr>
                <w:rStyle w:val="Style17"/>
                <w:bCs w:val="false"/>
              </w:rPr>
              <w:tab/>
            </w:r>
          </w:hyperlink>
          <w:r>
            <w:rPr>
              <w:bCs w:val="false"/>
            </w:rPr>
            <w:t>5</w:t>
          </w:r>
        </w:p>
        <w:p>
          <w:pPr>
            <w:pStyle w:val="TOC1"/>
            <w:tabs>
              <w:tab w:val="clear" w:pos="708"/>
              <w:tab w:val="right" w:pos="9911" w:leader="dot"/>
            </w:tabs>
            <w:rPr/>
          </w:pPr>
          <w:hyperlink w:anchor="_Toc54643707">
            <w:r>
              <w:rPr>
                <w:webHidden/>
                <w:rStyle w:val="Style17"/>
                <w:rFonts w:cs="Times New Roman"/>
                <w:vanish w:val="false"/>
              </w:rPr>
              <w:t>Таблица 3. Требования к срокам оказания услуг</w:t>
            </w:r>
            <w:r>
              <w:rPr>
                <w:rStyle w:val="Style17"/>
                <w:rFonts w:cs="Times New Roman"/>
              </w:rPr>
              <w:tab/>
            </w:r>
          </w:hyperlink>
          <w:r>
            <w:rPr>
              <w:rFonts w:cs="Times New Roman"/>
            </w:rPr>
            <w:t>5</w:t>
          </w:r>
        </w:p>
        <w:p>
          <w:pPr>
            <w:pStyle w:val="TOC3"/>
            <w:rPr/>
          </w:pPr>
          <w:r>
            <w:rPr>
              <w:bCs w:val="false"/>
            </w:rPr>
            <w:t xml:space="preserve">      </w:t>
          </w:r>
          <w:r>
            <w:rPr>
              <w:bCs w:val="false"/>
            </w:rPr>
            <w:t>2.3. Требования к качеству услуг</w:t>
            <w:tab/>
            <w:t>6</w:t>
          </w:r>
        </w:p>
        <w:p>
          <w:pPr>
            <w:pStyle w:val="TOC1"/>
            <w:tabs>
              <w:tab w:val="clear" w:pos="708"/>
              <w:tab w:val="right" w:pos="9911" w:leader="dot"/>
            </w:tabs>
            <w:spacing w:lineRule="auto" w:line="276"/>
            <w:rPr/>
          </w:pPr>
          <w:hyperlink w:anchor="_Toc54643709">
            <w:r>
              <w:rPr>
                <w:webHidden/>
                <w:rStyle w:val="Style17"/>
                <w:rFonts w:cs="Times New Roman"/>
                <w:vanish w:val="false"/>
              </w:rPr>
              <w:t>Таблица 4. Требования к качеству услуг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_Toc54643709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7"/>
                <w:rFonts w:cs="Times New Roman"/>
              </w:rPr>
              <w:tab/>
              <w:t>6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1"/>
            <w:tabs>
              <w:tab w:val="clear" w:pos="708"/>
              <w:tab w:val="left" w:pos="560" w:leader="none"/>
              <w:tab w:val="right" w:pos="9911" w:leader="dot"/>
            </w:tabs>
            <w:rPr/>
          </w:pPr>
          <w:r>
            <w:rPr>
              <w:rFonts w:cs="Times New Roman"/>
            </w:rPr>
            <w:t>3</w:t>
          </w:r>
          <w:hyperlink w:anchor="_Toc54643694">
            <w:r>
              <w:rPr>
                <w:webHidden/>
                <w:rStyle w:val="Style17"/>
                <w:rFonts w:cs="Times New Roman"/>
                <w:vanish w:val="false"/>
              </w:rPr>
              <w:t>.</w:t>
            </w:r>
            <w:r>
              <w:rPr>
                <w:rStyle w:val="Style17"/>
                <w:rFonts w:cs="Times New Roman"/>
              </w:rPr>
              <w:tab/>
              <w:t>Требования к документации по ценообразованию на этапе закупки</w:t>
              <w:tab/>
            </w:r>
          </w:hyperlink>
          <w:r>
            <w:rPr>
              <w:rFonts w:cs="Times New Roman"/>
            </w:rPr>
            <w:t>10</w:t>
          </w:r>
          <w:r>
            <w:rPr>
              <w:rFonts w:cs="Times New Roman"/>
            </w:rPr>
            <w:fldChar w:fldCharType="end"/>
          </w:r>
        </w:p>
      </w:sdtContent>
    </w:sdt>
    <w:p>
      <w:pPr>
        <w:pStyle w:val="Normal"/>
        <w:rPr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TOC1"/>
        <w:tabs>
          <w:tab w:val="clear" w:pos="708"/>
          <w:tab w:val="right" w:pos="9911" w:leader="dot"/>
        </w:tabs>
        <w:rPr>
          <w:rFonts w:eastAsia="" w:cs="Times New Roman" w:eastAsiaTheme="minorEastAsia"/>
          <w:b w:val="false"/>
          <w:bCs w:val="false"/>
        </w:rPr>
      </w:pPr>
      <w:r>
        <w:rPr>
          <w:rFonts w:eastAsia="" w:cs="Times New Roman" w:eastAsiaTheme="minorEastAsia"/>
          <w:b w:val="false"/>
          <w:bCs w:val="false"/>
        </w:rPr>
      </w:r>
    </w:p>
    <w:p>
      <w:pPr>
        <w:pStyle w:val="Heading2"/>
        <w:tabs>
          <w:tab w:val="clear" w:pos="0"/>
          <w:tab w:val="left" w:pos="851" w:leader="none"/>
          <w:tab w:val="left" w:pos="993" w:leader="none"/>
          <w:tab w:val="left" w:pos="1701" w:leader="none"/>
        </w:tabs>
        <w:rPr/>
      </w:pPr>
      <w:r>
        <w:rPr/>
      </w:r>
    </w:p>
    <w:p>
      <w:pPr>
        <w:pStyle w:val="Normal"/>
        <w:keepNext w:val="true"/>
        <w:keepLines/>
        <w:jc w:val="center"/>
        <w:rPr>
          <w:rFonts w:eastAsia="Calibri"/>
          <w:b/>
          <w:sz w:val="24"/>
          <w:szCs w:val="24"/>
        </w:rPr>
      </w:pPr>
      <w:r>
        <w:rPr>
          <w:rFonts w:eastAsia="Calibri"/>
          <w:b/>
          <w:sz w:val="24"/>
          <w:szCs w:val="24"/>
        </w:rPr>
      </w:r>
      <w:r>
        <w:br w:type="page"/>
      </w:r>
    </w:p>
    <w:p>
      <w:pPr>
        <w:pStyle w:val="Heading1"/>
        <w:numPr>
          <w:ilvl w:val="0"/>
          <w:numId w:val="3"/>
        </w:numPr>
        <w:ind w:left="4253" w:hanging="0"/>
        <w:rPr>
          <w:sz w:val="24"/>
          <w:szCs w:val="24"/>
        </w:rPr>
      </w:pPr>
      <w:bookmarkStart w:id="1" w:name="_Toc54643694"/>
      <w:r>
        <w:rPr>
          <w:b/>
          <w:sz w:val="24"/>
          <w:szCs w:val="24"/>
        </w:rPr>
        <w:t>Общие сведения</w:t>
      </w:r>
      <w:bookmarkEnd w:id="1"/>
      <w:r>
        <w:rPr>
          <w:b/>
          <w:sz w:val="24"/>
          <w:szCs w:val="24"/>
          <w:lang w:val="ru-RU"/>
        </w:rPr>
        <w:t>.</w:t>
      </w:r>
    </w:p>
    <w:p>
      <w:pPr>
        <w:pStyle w:val="Heading4"/>
        <w:numPr>
          <w:ilvl w:val="1"/>
          <w:numId w:val="3"/>
        </w:numPr>
        <w:ind w:left="0" w:hanging="0"/>
        <w:rPr/>
      </w:pPr>
      <w:bookmarkStart w:id="2" w:name="_Toc54643695"/>
      <w:bookmarkStart w:id="3" w:name="_Toc46743505"/>
      <w:r>
        <w:rPr/>
        <w:t>Обозначения и сокращения</w:t>
      </w:r>
      <w:bookmarkEnd w:id="2"/>
      <w:bookmarkEnd w:id="3"/>
      <w:r>
        <w:rPr>
          <w:lang w:val="ru-RU"/>
        </w:rPr>
        <w:t>:</w:t>
      </w:r>
    </w:p>
    <w:tbl>
      <w:tblPr>
        <w:tblW w:w="9383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2067"/>
        <w:gridCol w:w="7315"/>
      </w:tblGrid>
      <w:tr>
        <w:trPr>
          <w:cantSplit w:val="true"/>
        </w:trPr>
        <w:tc>
          <w:tcPr>
            <w:tcW w:w="2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120" w:after="1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РФ</w:t>
            </w:r>
          </w:p>
        </w:tc>
        <w:tc>
          <w:tcPr>
            <w:tcW w:w="7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120" w:after="1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Российская Федерация</w:t>
            </w:r>
          </w:p>
        </w:tc>
      </w:tr>
      <w:tr>
        <w:trPr>
          <w:cantSplit w:val="true"/>
        </w:trPr>
        <w:tc>
          <w:tcPr>
            <w:tcW w:w="2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120" w:after="1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ОП</w:t>
            </w:r>
          </w:p>
        </w:tc>
        <w:tc>
          <w:tcPr>
            <w:tcW w:w="7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120" w:after="120"/>
              <w:jc w:val="both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Обособленное подразделение «УКС-Запад» АО «Гидроремонт-ВКК»</w:t>
            </w:r>
          </w:p>
        </w:tc>
      </w:tr>
      <w:tr>
        <w:trPr>
          <w:cantSplit w:val="true"/>
        </w:trPr>
        <w:tc>
          <w:tcPr>
            <w:tcW w:w="2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120" w:after="1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ТТ</w:t>
            </w:r>
          </w:p>
        </w:tc>
        <w:tc>
          <w:tcPr>
            <w:tcW w:w="7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110"/>
              <w:widowControl w:val="false"/>
              <w:shd w:val="clear" w:color="auto" w:fill="auto"/>
              <w:spacing w:lineRule="auto" w:line="24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Технические требования</w:t>
            </w:r>
          </w:p>
        </w:tc>
      </w:tr>
      <w:tr>
        <w:trPr>
          <w:cantSplit w:val="true"/>
        </w:trPr>
        <w:tc>
          <w:tcPr>
            <w:tcW w:w="2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120" w:after="120"/>
              <w:jc w:val="center"/>
              <w:rPr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ПС</w:t>
            </w:r>
          </w:p>
        </w:tc>
        <w:tc>
          <w:tcPr>
            <w:tcW w:w="7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120" w:after="120"/>
              <w:rPr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Подъемные сооружения</w:t>
            </w:r>
          </w:p>
        </w:tc>
      </w:tr>
      <w:tr>
        <w:trPr>
          <w:cantSplit w:val="true"/>
        </w:trPr>
        <w:tc>
          <w:tcPr>
            <w:tcW w:w="2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120" w:after="120"/>
              <w:jc w:val="center"/>
              <w:rPr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ОРУ</w:t>
            </w:r>
          </w:p>
        </w:tc>
        <w:tc>
          <w:tcPr>
            <w:tcW w:w="7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120" w:after="120"/>
              <w:rPr>
                <w:sz w:val="24"/>
                <w:szCs w:val="24"/>
              </w:rPr>
            </w:pPr>
            <w:r>
              <w:rPr>
                <w:sz w:val="24"/>
                <w:szCs w:val="24"/>
                <w:shd w:fill="FFFFFF" w:val="clear"/>
              </w:rPr>
              <w:t>Открытое распределительное устройство</w:t>
            </w:r>
          </w:p>
        </w:tc>
      </w:tr>
      <w:tr>
        <w:trPr>
          <w:cantSplit w:val="true"/>
        </w:trPr>
        <w:tc>
          <w:tcPr>
            <w:tcW w:w="2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120" w:after="120"/>
              <w:jc w:val="center"/>
              <w:rPr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ВЛ</w:t>
            </w:r>
          </w:p>
        </w:tc>
        <w:tc>
          <w:tcPr>
            <w:tcW w:w="7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120" w:after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Высоковольтная линия</w:t>
            </w:r>
          </w:p>
        </w:tc>
      </w:tr>
      <w:tr>
        <w:trPr>
          <w:cantSplit w:val="true"/>
        </w:trPr>
        <w:tc>
          <w:tcPr>
            <w:tcW w:w="2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120" w:after="1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</w:t>
            </w:r>
          </w:p>
        </w:tc>
        <w:tc>
          <w:tcPr>
            <w:tcW w:w="7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120" w:after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Спецтехника</w:t>
            </w:r>
          </w:p>
        </w:tc>
      </w:tr>
      <w:tr>
        <w:trPr>
          <w:cantSplit w:val="true"/>
        </w:trPr>
        <w:tc>
          <w:tcPr>
            <w:tcW w:w="20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120" w:after="1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НТД</w:t>
            </w:r>
          </w:p>
        </w:tc>
        <w:tc>
          <w:tcPr>
            <w:tcW w:w="73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120" w:after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Нормотивно-техническая документация</w:t>
            </w:r>
          </w:p>
        </w:tc>
      </w:tr>
      <w:tr>
        <w:trPr>
          <w:cantSplit w:val="true"/>
        </w:trPr>
        <w:tc>
          <w:tcPr>
            <w:tcW w:w="20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120" w:after="1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</w:t>
            </w:r>
            <w:r>
              <w:rPr>
                <w:sz w:val="24"/>
                <w:szCs w:val="24"/>
                <w:lang w:val="en-US"/>
              </w:rPr>
              <w:t>аш</w:t>
            </w:r>
            <w:r>
              <w:rPr>
                <w:sz w:val="24"/>
                <w:szCs w:val="24"/>
              </w:rPr>
              <w:t>/час</w:t>
            </w:r>
          </w:p>
        </w:tc>
        <w:tc>
          <w:tcPr>
            <w:tcW w:w="73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120" w:after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машино-час</w:t>
            </w:r>
          </w:p>
        </w:tc>
      </w:tr>
      <w:tr>
        <w:trPr>
          <w:cantSplit w:val="true"/>
        </w:trPr>
        <w:tc>
          <w:tcPr>
            <w:tcW w:w="20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120" w:after="1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ГПМ</w:t>
            </w:r>
          </w:p>
        </w:tc>
        <w:tc>
          <w:tcPr>
            <w:tcW w:w="73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120" w:after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Грузо-подъемные механизмы</w:t>
            </w:r>
          </w:p>
        </w:tc>
      </w:tr>
    </w:tbl>
    <w:p>
      <w:pPr>
        <w:pStyle w:val="Normal"/>
        <w:keepNext w:val="true"/>
        <w:keepLines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keepNext w:val="true"/>
        <w:keepLines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keepNext w:val="true"/>
        <w:keepLines/>
        <w:rPr>
          <w:sz w:val="24"/>
          <w:szCs w:val="24"/>
        </w:rPr>
      </w:pPr>
      <w:r>
        <w:rPr>
          <w:sz w:val="24"/>
          <w:szCs w:val="24"/>
        </w:rPr>
      </w:r>
      <w:r>
        <w:br w:type="page"/>
      </w:r>
    </w:p>
    <w:p>
      <w:pPr>
        <w:pStyle w:val="Heading4"/>
        <w:numPr>
          <w:ilvl w:val="1"/>
          <w:numId w:val="3"/>
        </w:numPr>
        <w:ind w:left="0" w:hanging="0"/>
        <w:rPr/>
      </w:pPr>
      <w:bookmarkStart w:id="4" w:name="_Toc54643696"/>
      <w:bookmarkStart w:id="5" w:name="_Toc46743506"/>
      <w:r>
        <w:rPr>
          <w:b/>
        </w:rPr>
        <w:t>Наименование закупаемой продукции</w:t>
      </w:r>
      <w:bookmarkEnd w:id="4"/>
      <w:bookmarkEnd w:id="5"/>
      <w:r>
        <w:rPr>
          <w:b/>
          <w:lang w:val="ru-RU"/>
        </w:rPr>
        <w:t>.</w:t>
      </w:r>
    </w:p>
    <w:p>
      <w:pPr>
        <w:pStyle w:val="Normal"/>
        <w:widowControl w:val="false"/>
        <w:tabs>
          <w:tab w:val="clear" w:pos="708"/>
          <w:tab w:val="left" w:pos="426" w:leader="none"/>
          <w:tab w:val="left" w:pos="709" w:leader="none"/>
        </w:tabs>
        <w:spacing w:before="120" w:after="120"/>
        <w:ind w:hanging="6"/>
        <w:jc w:val="both"/>
        <w:rPr>
          <w:sz w:val="24"/>
          <w:szCs w:val="24"/>
        </w:rPr>
      </w:pPr>
      <w:r>
        <w:rPr>
          <w:rFonts w:eastAsia="Times New Roman"/>
          <w:bCs/>
          <w:sz w:val="24"/>
          <w:szCs w:val="24"/>
          <w:lang w:val="ru-RU" w:eastAsia="ru-RU"/>
        </w:rPr>
        <w:t>ОКПД2 49.41.20.</w:t>
      </w:r>
      <w:r>
        <w:rPr>
          <w:rFonts w:eastAsia="Times New Roman"/>
          <w:bCs/>
          <w:sz w:val="24"/>
          <w:szCs w:val="24"/>
          <w:lang w:val="ru-RU" w:eastAsia="ru-RU"/>
        </w:rPr>
        <w:t>000</w:t>
      </w:r>
      <w:r>
        <w:rPr>
          <w:rFonts w:eastAsia="Times New Roman"/>
          <w:bCs/>
          <w:sz w:val="24"/>
          <w:szCs w:val="24"/>
          <w:lang w:val="ru-RU" w:eastAsia="ru-RU"/>
        </w:rPr>
        <w:t xml:space="preserve"> Оказание услуг по предоставлению спецтехники с экипажем для выполнения работ на Усть-Среднеканской ГЭС для нужд Башкирского филиал</w:t>
      </w:r>
      <w:r>
        <w:rPr>
          <w:rFonts w:eastAsia="Times New Roman"/>
          <w:b w:val="false"/>
          <w:bCs w:val="false"/>
          <w:sz w:val="24"/>
          <w:szCs w:val="24"/>
          <w:lang w:val="ru-RU" w:eastAsia="ru-RU"/>
        </w:rPr>
        <w:t xml:space="preserve">а </w:t>
      </w:r>
      <w:r>
        <w:rPr>
          <w:rFonts w:eastAsia="Times New Roman"/>
          <w:b w:val="false"/>
          <w:bCs w:val="false"/>
          <w:color w:val="000000"/>
          <w:sz w:val="24"/>
          <w:szCs w:val="24"/>
          <w:shd w:fill="auto" w:val="clear"/>
          <w:lang w:val="ru-RU" w:eastAsia="ru-RU"/>
        </w:rPr>
        <w:t xml:space="preserve">(самосвал) </w:t>
      </w:r>
    </w:p>
    <w:p>
      <w:pPr>
        <w:pStyle w:val="Normal"/>
        <w:widowControl w:val="false"/>
        <w:tabs>
          <w:tab w:val="clear" w:pos="708"/>
          <w:tab w:val="left" w:pos="426" w:leader="none"/>
          <w:tab w:val="left" w:pos="709" w:leader="none"/>
        </w:tabs>
        <w:spacing w:before="120" w:after="120"/>
        <w:ind w:hanging="6"/>
        <w:jc w:val="both"/>
        <w:rPr>
          <w:sz w:val="24"/>
          <w:szCs w:val="24"/>
        </w:rPr>
      </w:pPr>
      <w:r>
        <w:rPr>
          <w:rFonts w:eastAsia="Times New Roman"/>
          <w:bCs/>
          <w:sz w:val="24"/>
          <w:szCs w:val="24"/>
          <w:lang w:val="ru-RU" w:eastAsia="ru-RU"/>
        </w:rPr>
        <w:t xml:space="preserve"> </w:t>
      </w:r>
      <w:r>
        <w:rPr>
          <w:rFonts w:eastAsia="Times New Roman"/>
          <w:bCs/>
          <w:sz w:val="24"/>
          <w:szCs w:val="24"/>
          <w:lang w:val="ru-RU" w:eastAsia="ru-RU"/>
        </w:rPr>
        <w:t>(далее- Услуги)</w:t>
      </w:r>
      <w:r>
        <w:rPr>
          <w:rFonts w:eastAsia="Calibri"/>
          <w:bCs/>
          <w:i/>
          <w:sz w:val="24"/>
          <w:szCs w:val="24"/>
          <w:lang w:val="ru-RU" w:eastAsia="x-none"/>
        </w:rPr>
        <w:t>.</w:t>
      </w:r>
    </w:p>
    <w:p>
      <w:pPr>
        <w:pStyle w:val="Heading4"/>
        <w:numPr>
          <w:ilvl w:val="1"/>
          <w:numId w:val="3"/>
        </w:numPr>
        <w:spacing w:before="0" w:after="0"/>
        <w:ind w:left="0" w:hanging="0"/>
        <w:contextualSpacing/>
        <w:rPr/>
      </w:pPr>
      <w:bookmarkStart w:id="6" w:name="_Toc54643697"/>
      <w:bookmarkStart w:id="7" w:name="_Toc46743507"/>
      <w:r>
        <w:rPr>
          <w:b/>
        </w:rPr>
        <w:t xml:space="preserve">Цель </w:t>
      </w:r>
      <w:bookmarkEnd w:id="7"/>
      <w:r>
        <w:rPr>
          <w:b/>
        </w:rPr>
        <w:t>оказания услуг</w:t>
      </w:r>
      <w:bookmarkEnd w:id="6"/>
      <w:r>
        <w:rPr>
          <w:b/>
        </w:rPr>
        <w:t>.</w:t>
      </w:r>
    </w:p>
    <w:p>
      <w:pPr>
        <w:pStyle w:val="Normal"/>
        <w:spacing w:before="0" w:after="0"/>
        <w:contextualSpacing/>
        <w:jc w:val="both"/>
        <w:rPr>
          <w:sz w:val="24"/>
          <w:szCs w:val="24"/>
        </w:rPr>
      </w:pPr>
      <w:r>
        <w:rPr>
          <w:bCs/>
          <w:sz w:val="24"/>
          <w:szCs w:val="24"/>
        </w:rPr>
        <w:t>Целью является исполнение обязательств в рамках подписанного обоснования у взаимозависимого лица по лоту №0004-РЕМ ПРОД 2025-УСГЭС</w:t>
      </w:r>
      <w:r>
        <w:rPr>
          <w:bCs/>
          <w:color w:val="000000" w:themeColor="text1"/>
          <w:sz w:val="24"/>
          <w:szCs w:val="24"/>
        </w:rPr>
        <w:t xml:space="preserve"> «ОКПД2 42.91.20.190 Выполнение капитального ремонта бычков отсасывающих труб, разделительной стенки и правобережной облицовки Усть-Среднеканской ГЭС, в части бетонных поверхностей в нижнем бьефе в районе переменных уровней воды</w:t>
      </w:r>
      <w:r>
        <w:rPr>
          <w:bCs/>
          <w:sz w:val="24"/>
          <w:szCs w:val="24"/>
        </w:rPr>
        <w:t>».</w:t>
      </w:r>
    </w:p>
    <w:p>
      <w:pPr>
        <w:pStyle w:val="Heading4"/>
        <w:numPr>
          <w:ilvl w:val="1"/>
          <w:numId w:val="3"/>
        </w:numPr>
        <w:spacing w:before="0" w:after="0"/>
        <w:ind w:left="0" w:hanging="0"/>
        <w:contextualSpacing/>
        <w:rPr/>
      </w:pPr>
      <w:bookmarkStart w:id="8" w:name="_Toc46743508"/>
      <w:bookmarkStart w:id="9" w:name="_Toc54643698"/>
      <w:r>
        <w:rPr>
          <w:b/>
        </w:rPr>
        <w:t>Существующее положение</w:t>
      </w:r>
      <w:bookmarkStart w:id="10" w:name="_Toc54643699"/>
      <w:bookmarkEnd w:id="8"/>
      <w:bookmarkEnd w:id="9"/>
      <w:r>
        <w:rPr>
          <w:b/>
          <w:lang w:val="ru-RU"/>
        </w:rPr>
        <w:t>.</w:t>
      </w:r>
    </w:p>
    <w:p>
      <w:pPr>
        <w:pStyle w:val="Heading3"/>
        <w:numPr>
          <w:ilvl w:val="2"/>
          <w:numId w:val="3"/>
        </w:numPr>
        <w:spacing w:before="0" w:after="0"/>
        <w:ind w:left="0" w:hanging="0"/>
        <w:contextualSpacing/>
        <w:rPr/>
      </w:pPr>
      <w:r>
        <w:rPr/>
        <w:t>Заказчик</w:t>
      </w:r>
      <w:r>
        <w:rPr>
          <w:lang w:val="ru-RU"/>
        </w:rPr>
        <w:t>:</w:t>
      </w:r>
    </w:p>
    <w:p>
      <w:pPr>
        <w:pStyle w:val="Normal"/>
        <w:spacing w:before="0" w:after="0"/>
        <w:contextualSpacing/>
        <w:jc w:val="both"/>
        <w:rPr>
          <w:sz w:val="24"/>
          <w:szCs w:val="24"/>
        </w:rPr>
      </w:pPr>
      <w:r>
        <w:rPr>
          <w:bCs/>
          <w:sz w:val="24"/>
          <w:szCs w:val="24"/>
        </w:rPr>
        <w:t xml:space="preserve">АО «Гидроремонт-ВКК», Нижегородская обл., г.о. город Нижний Новгород, </w:t>
      </w:r>
    </w:p>
    <w:p>
      <w:pPr>
        <w:pStyle w:val="Normal"/>
        <w:spacing w:before="0" w:after="0"/>
        <w:contextualSpacing/>
        <w:jc w:val="both"/>
        <w:rPr>
          <w:sz w:val="24"/>
          <w:szCs w:val="24"/>
        </w:rPr>
      </w:pPr>
      <w:r>
        <w:rPr>
          <w:bCs/>
          <w:sz w:val="24"/>
          <w:szCs w:val="24"/>
        </w:rPr>
        <w:t xml:space="preserve">г. Нижний Новгород, пер. Мотальный, д.8 помещ. ВП31, офис С1А </w:t>
      </w:r>
    </w:p>
    <w:p>
      <w:pPr>
        <w:pStyle w:val="Normal"/>
        <w:ind w:left="567" w:hanging="567"/>
        <w:jc w:val="both"/>
        <w:rPr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Башкирский Филиал АО «Гидроремонт-ВКК» в г.Уфа </w:t>
      </w:r>
    </w:p>
    <w:p>
      <w:pPr>
        <w:pStyle w:val="Normal"/>
        <w:ind w:left="567" w:hanging="567"/>
        <w:jc w:val="both"/>
        <w:rPr>
          <w:sz w:val="24"/>
          <w:szCs w:val="24"/>
        </w:rPr>
      </w:pPr>
      <w:r>
        <w:rPr>
          <w:color w:val="000000" w:themeColor="text1"/>
          <w:sz w:val="24"/>
          <w:szCs w:val="24"/>
        </w:rPr>
        <w:t>Адрес филиала: адрес: 450000, РБ, г. Уфа, ул. Цюрупы,74.</w:t>
      </w:r>
    </w:p>
    <w:p>
      <w:pPr>
        <w:pStyle w:val="Heading1"/>
        <w:tabs>
          <w:tab w:val="clear" w:pos="0"/>
          <w:tab w:val="left" w:pos="851" w:leader="none"/>
          <w:tab w:val="left" w:pos="993" w:leader="none"/>
          <w:tab w:val="left" w:pos="1701" w:leader="none"/>
        </w:tabs>
        <w:rPr>
          <w:sz w:val="24"/>
          <w:szCs w:val="24"/>
        </w:rPr>
      </w:pPr>
      <w:r>
        <w:rPr>
          <w:b/>
          <w:sz w:val="24"/>
          <w:szCs w:val="24"/>
        </w:rPr>
        <w:t>Таблица 1. Перечень объектов заказчика</w:t>
      </w:r>
      <w:bookmarkEnd w:id="10"/>
      <w:r>
        <w:rPr>
          <w:b/>
          <w:sz w:val="24"/>
          <w:szCs w:val="24"/>
        </w:rPr>
        <w:t>.</w:t>
      </w:r>
    </w:p>
    <w:tbl>
      <w:tblPr>
        <w:tblW w:w="9750" w:type="dxa"/>
        <w:jc w:val="left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noHBand="0" w:noVBand="1" w:firstColumn="1" w:lastRow="0" w:lastColumn="0" w:firstRow="1"/>
      </w:tblPr>
      <w:tblGrid>
        <w:gridCol w:w="551"/>
        <w:gridCol w:w="3254"/>
        <w:gridCol w:w="3422"/>
        <w:gridCol w:w="2522"/>
      </w:tblGrid>
      <w:tr>
        <w:trPr/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№</w:t>
            </w:r>
          </w:p>
          <w:p>
            <w:pPr>
              <w:pStyle w:val="Normal"/>
              <w:widowControl w:val="false"/>
              <w:ind w:hanging="6"/>
              <w:jc w:val="center"/>
              <w:rPr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п/п</w:t>
            </w:r>
          </w:p>
        </w:tc>
        <w:tc>
          <w:tcPr>
            <w:tcW w:w="3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ind w:left="284" w:hanging="6"/>
              <w:jc w:val="center"/>
              <w:rPr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Наименование объекта</w:t>
            </w:r>
          </w:p>
          <w:p>
            <w:pPr>
              <w:pStyle w:val="Normal"/>
              <w:widowControl w:val="false"/>
              <w:ind w:left="284" w:hanging="6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</w:r>
          </w:p>
        </w:tc>
        <w:tc>
          <w:tcPr>
            <w:tcW w:w="3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ind w:left="-107" w:hanging="6"/>
              <w:jc w:val="center"/>
              <w:rPr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Расположение объекта </w:t>
            </w:r>
            <w:r>
              <w:rPr>
                <w:iCs/>
                <w:color w:val="000000" w:themeColor="text1"/>
                <w:sz w:val="24"/>
                <w:szCs w:val="24"/>
              </w:rPr>
              <w:t>(место оказания услуг)</w:t>
            </w:r>
          </w:p>
        </w:tc>
        <w:tc>
          <w:tcPr>
            <w:tcW w:w="2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left="-101" w:hanging="6"/>
              <w:jc w:val="center"/>
              <w:rPr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Наименование основного средства (в отношении которого оказываются услуги)</w:t>
            </w:r>
          </w:p>
        </w:tc>
      </w:tr>
      <w:tr>
        <w:trPr/>
        <w:tc>
          <w:tcPr>
            <w:tcW w:w="55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38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325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  <w:tab w:val="left" w:pos="709" w:leader="none"/>
              </w:tabs>
              <w:spacing w:before="120" w:after="120"/>
              <w:ind w:hanging="6"/>
              <w:jc w:val="both"/>
              <w:rPr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Отводящий канал Усть-Среднеканской ГЭС на р.Колыме</w:t>
            </w:r>
          </w:p>
        </w:tc>
        <w:tc>
          <w:tcPr>
            <w:tcW w:w="342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ind w:right="-13" w:hanging="0"/>
              <w:jc w:val="both"/>
              <w:rPr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Магаданская область, Среднеканский район, Усть-Среднеканская ГЭС</w:t>
            </w:r>
          </w:p>
        </w:tc>
        <w:tc>
          <w:tcPr>
            <w:tcW w:w="25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Отводящий канал.</w:t>
            </w:r>
          </w:p>
        </w:tc>
      </w:tr>
    </w:tbl>
    <w:p>
      <w:pPr>
        <w:pStyle w:val="Normal"/>
        <w:tabs>
          <w:tab w:val="clear" w:pos="708"/>
          <w:tab w:val="left" w:pos="851" w:leader="none"/>
          <w:tab w:val="left" w:pos="993" w:leader="none"/>
          <w:tab w:val="left" w:pos="1701" w:leader="none"/>
        </w:tabs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</w:r>
    </w:p>
    <w:p>
      <w:pPr>
        <w:pStyle w:val="Heading4"/>
        <w:numPr>
          <w:ilvl w:val="1"/>
          <w:numId w:val="3"/>
        </w:numPr>
        <w:ind w:left="0" w:hanging="0"/>
        <w:rPr/>
      </w:pPr>
      <w:bookmarkStart w:id="11" w:name="_Toc54643701"/>
      <w:r>
        <w:rPr>
          <w:b/>
          <w:bCs/>
        </w:rPr>
        <w:t>Иные требования и сведения общего характера</w:t>
      </w:r>
      <w:bookmarkEnd w:id="11"/>
      <w:r>
        <w:rPr>
          <w:b/>
          <w:bCs/>
          <w:lang w:val="ru-RU"/>
        </w:rPr>
        <w:t>.</w:t>
      </w:r>
    </w:p>
    <w:p>
      <w:pPr>
        <w:pStyle w:val="Heading3"/>
        <w:numPr>
          <w:ilvl w:val="2"/>
          <w:numId w:val="3"/>
        </w:numPr>
        <w:ind w:left="0" w:hanging="0"/>
        <w:rPr/>
      </w:pPr>
      <w:r>
        <w:rPr/>
        <w:t>Планируемое к использованию количество машино-часов, указывается в подаваемых Заказчиком заявках на оказание услуг. Минимальная продолжительность заявки –  один час. Доставка и вывоз специализированной техники до места работы не оплачивается Заказчиком.</w:t>
      </w:r>
    </w:p>
    <w:p>
      <w:pPr>
        <w:pStyle w:val="Normal"/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1.5.2.     </w:t>
      </w:r>
      <w:bookmarkStart w:id="12" w:name="_Toc54643700_Копия_2_Копия_2"/>
      <w:bookmarkStart w:id="13" w:name="_Toc46743509_Копия_2_Копия_2"/>
      <w:bookmarkStart w:id="14" w:name="_Hlk49857604_Копия_2_Копия_2"/>
      <w:r>
        <w:rPr>
          <w:color w:val="000000" w:themeColor="text1"/>
          <w:sz w:val="24"/>
          <w:szCs w:val="24"/>
        </w:rPr>
        <w:t xml:space="preserve">Информация в отношении исполнения договора, </w:t>
      </w:r>
      <w:bookmarkStart w:id="15" w:name="_Hlk46492347_Копия_2_Копия_2"/>
      <w:r>
        <w:rPr>
          <w:color w:val="000000" w:themeColor="text1"/>
          <w:sz w:val="24"/>
          <w:szCs w:val="24"/>
        </w:rPr>
        <w:t xml:space="preserve">которая должна быть </w:t>
      </w:r>
      <w:r>
        <w:rPr>
          <w:sz w:val="24"/>
          <w:szCs w:val="24"/>
        </w:rPr>
        <w:t xml:space="preserve">учтена при подготовке заявки </w:t>
      </w:r>
      <w:bookmarkEnd w:id="15"/>
      <w:r>
        <w:rPr>
          <w:sz w:val="24"/>
          <w:szCs w:val="24"/>
        </w:rPr>
        <w:t>(в том числе перечень ресурсов, услуг и документов, предоставляемых заказчиком на этапе исполнения договора)</w:t>
      </w:r>
      <w:bookmarkEnd w:id="12"/>
      <w:bookmarkEnd w:id="13"/>
      <w:bookmarkEnd w:id="14"/>
      <w:r>
        <w:rPr>
          <w:sz w:val="24"/>
          <w:szCs w:val="24"/>
        </w:rPr>
        <w:t>. Заказчик планирует использовать (применять) СТ в соответствии с номенклатурой (согласно табл.2. настоящих ТТ) и продолжительностью применения, указанных в подаваемых заявках Заказчика. При этом Заказчик оставляет за собой право исполнить договор не в полном объёме и не применять какую-либо единицу ПС в соответствии с номенклатурой (согласно табл.2.) в случае отсутствия необходимости.</w:t>
      </w:r>
    </w:p>
    <w:p>
      <w:pPr>
        <w:pStyle w:val="Heading1"/>
        <w:jc w:val="center"/>
        <w:rPr>
          <w:sz w:val="24"/>
          <w:szCs w:val="24"/>
        </w:rPr>
      </w:pPr>
      <w:r>
        <w:rPr>
          <w:b/>
          <w:sz w:val="24"/>
          <w:szCs w:val="24"/>
        </w:rPr>
        <w:t xml:space="preserve">2. </w:t>
      </w:r>
      <w:bookmarkStart w:id="16" w:name="_Toc54643702"/>
      <w:bookmarkStart w:id="17" w:name="_Toc51339693"/>
      <w:r>
        <w:rPr>
          <w:b/>
          <w:sz w:val="24"/>
          <w:szCs w:val="24"/>
        </w:rPr>
        <w:t>Требования к продукции</w:t>
      </w:r>
      <w:bookmarkEnd w:id="16"/>
      <w:bookmarkEnd w:id="17"/>
      <w:r>
        <w:rPr>
          <w:b/>
          <w:sz w:val="24"/>
          <w:szCs w:val="24"/>
        </w:rPr>
        <w:t>.</w:t>
      </w:r>
    </w:p>
    <w:p>
      <w:pPr>
        <w:pStyle w:val="Heading4"/>
        <w:spacing w:before="119" w:after="62"/>
        <w:contextualSpacing/>
        <w:jc w:val="left"/>
        <w:rPr/>
      </w:pPr>
      <w:r>
        <w:rPr>
          <w:b/>
        </w:rPr>
        <w:t xml:space="preserve">2.1. </w:t>
      </w:r>
      <w:bookmarkStart w:id="18" w:name="_Toc54643703"/>
      <w:r>
        <w:rPr>
          <w:b/>
        </w:rPr>
        <w:t xml:space="preserve">Требования к объемам и срокам </w:t>
      </w:r>
      <w:r>
        <w:rPr>
          <w:b/>
          <w:lang w:val="ru-RU"/>
        </w:rPr>
        <w:t>оказания услуг</w:t>
      </w:r>
      <w:bookmarkEnd w:id="18"/>
      <w:r>
        <w:rPr>
          <w:b/>
          <w:lang w:val="ru-RU"/>
        </w:rPr>
        <w:t xml:space="preserve">. </w:t>
      </w:r>
    </w:p>
    <w:p>
      <w:pPr>
        <w:pStyle w:val="Heading4"/>
        <w:spacing w:before="119" w:after="62"/>
        <w:contextualSpacing/>
        <w:jc w:val="left"/>
        <w:rPr/>
      </w:pPr>
      <w:r>
        <w:rPr>
          <w:b/>
        </w:rPr>
        <w:t xml:space="preserve">2.1.1 </w:t>
      </w:r>
      <w:bookmarkStart w:id="19" w:name="_Toc54643704"/>
      <w:r>
        <w:rPr>
          <w:b/>
        </w:rPr>
        <w:t>Требования к перечню и объему услуг</w:t>
      </w:r>
      <w:bookmarkEnd w:id="19"/>
      <w:r>
        <w:rPr>
          <w:b/>
        </w:rPr>
        <w:t>.</w:t>
      </w:r>
    </w:p>
    <w:p>
      <w:pPr>
        <w:pStyle w:val="Heading4"/>
        <w:spacing w:before="119" w:after="62"/>
        <w:contextualSpacing/>
        <w:jc w:val="left"/>
        <w:rPr/>
      </w:pPr>
      <w:bookmarkStart w:id="20" w:name="_Toc54643705"/>
      <w:bookmarkStart w:id="21" w:name="_Toc51339695"/>
      <w:r>
        <w:rPr>
          <w:b/>
        </w:rPr>
        <w:t xml:space="preserve">Таблица 2. Перечень </w:t>
      </w:r>
      <w:bookmarkEnd w:id="21"/>
      <w:r>
        <w:rPr>
          <w:b/>
        </w:rPr>
        <w:t xml:space="preserve">и </w:t>
      </w:r>
      <w:bookmarkEnd w:id="20"/>
      <w:r>
        <w:rPr>
          <w:b/>
        </w:rPr>
        <w:t>объем оказываемых услуг.</w:t>
      </w:r>
    </w:p>
    <w:tbl>
      <w:tblPr>
        <w:tblW w:w="9795" w:type="dxa"/>
        <w:jc w:val="left"/>
        <w:tblInd w:w="109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 w:noHBand="0" w:noVBand="0" w:firstColumn="0" w:lastRow="0" w:lastColumn="0" w:firstRow="0"/>
      </w:tblPr>
      <w:tblGrid>
        <w:gridCol w:w="786"/>
        <w:gridCol w:w="4420"/>
        <w:gridCol w:w="3007"/>
        <w:gridCol w:w="1581"/>
      </w:tblGrid>
      <w:tr>
        <w:trPr/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№</w:t>
            </w:r>
          </w:p>
          <w:p>
            <w:pPr>
              <w:pStyle w:val="Normal"/>
              <w:keepNext w:val="true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п/п</w:t>
            </w:r>
          </w:p>
        </w:tc>
        <w:tc>
          <w:tcPr>
            <w:tcW w:w="4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Наименование услуги</w:t>
            </w:r>
          </w:p>
        </w:tc>
        <w:tc>
          <w:tcPr>
            <w:tcW w:w="3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Единица измерения</w:t>
            </w:r>
          </w:p>
        </w:tc>
        <w:tc>
          <w:tcPr>
            <w:tcW w:w="1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Количество</w:t>
            </w:r>
          </w:p>
        </w:tc>
      </w:tr>
      <w:tr>
        <w:trPr/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4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3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>
        <w:trPr>
          <w:trHeight w:val="366" w:hRule="atLeast"/>
        </w:trPr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20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4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BodyText2"/>
              <w:widowControl w:val="false"/>
              <w:spacing w:lineRule="auto" w:line="240" w:before="0" w:after="120"/>
              <w:jc w:val="both"/>
              <w:rPr>
                <w:sz w:val="24"/>
                <w:szCs w:val="24"/>
              </w:rPr>
            </w:pPr>
            <w:r>
              <w:rPr>
                <w:rFonts w:eastAsia="Calibri"/>
                <w:color w:val="000000"/>
                <w:sz w:val="24"/>
                <w:szCs w:val="24"/>
                <w:lang w:eastAsia="en-US"/>
              </w:rPr>
              <w:t>ОКПД 2: 49.41.20.</w:t>
            </w:r>
            <w:r>
              <w:rPr>
                <w:rFonts w:eastAsia="Calibri"/>
                <w:color w:val="000000"/>
                <w:sz w:val="24"/>
                <w:szCs w:val="24"/>
                <w:lang w:eastAsia="en-US"/>
              </w:rPr>
              <w:t>000</w:t>
            </w:r>
            <w:r>
              <w:rPr>
                <w:rFonts w:eastAsia="Calibri"/>
                <w:color w:val="000000"/>
                <w:sz w:val="24"/>
                <w:szCs w:val="24"/>
                <w:lang w:eastAsia="en-US"/>
              </w:rPr>
              <w:t xml:space="preserve"> </w:t>
            </w:r>
            <w:r>
              <w:rPr>
                <w:rFonts w:eastAsia="Times New Roman"/>
                <w:bCs/>
                <w:color w:val="000000"/>
                <w:sz w:val="24"/>
                <w:szCs w:val="24"/>
                <w:lang w:val="ru-RU" w:eastAsia="ru-RU"/>
              </w:rPr>
              <w:t xml:space="preserve">Оказание услуг по предоставлению спецтехники с экипажем для выполнения работ на Усть-Среднеканской ГЭС  для нужд Башкирского филиала </w:t>
            </w:r>
            <w:r>
              <w:rPr>
                <w:rFonts w:eastAsia="Times New Roman"/>
                <w:b w:val="false"/>
                <w:bCs w:val="false"/>
                <w:color w:val="000000"/>
                <w:sz w:val="24"/>
                <w:szCs w:val="24"/>
                <w:shd w:fill="auto" w:val="clear"/>
                <w:lang w:val="ru-RU" w:eastAsia="ru-RU"/>
              </w:rPr>
              <w:t xml:space="preserve">(самосвал) </w:t>
            </w:r>
            <w:r>
              <w:rPr>
                <w:rFonts w:eastAsia="Times New Roman"/>
                <w:bCs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>
              <w:rPr>
                <w:rFonts w:eastAsia="Calibri"/>
                <w:color w:val="000000"/>
                <w:sz w:val="24"/>
                <w:szCs w:val="24"/>
                <w:lang w:eastAsia="en-US"/>
              </w:rPr>
              <w:t>*</w:t>
            </w:r>
          </w:p>
        </w:tc>
        <w:tc>
          <w:tcPr>
            <w:tcW w:w="3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Условная единица</w:t>
            </w:r>
          </w:p>
        </w:tc>
        <w:tc>
          <w:tcPr>
            <w:tcW w:w="1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</w:tr>
    </w:tbl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ind w:left="426" w:hanging="426"/>
        <w:rPr>
          <w:sz w:val="24"/>
          <w:szCs w:val="24"/>
        </w:rPr>
      </w:pPr>
      <w:r>
        <w:rPr>
          <w:sz w:val="24"/>
          <w:szCs w:val="24"/>
        </w:rPr>
        <w:t>*Перечень предоставляемой спецтехники с экипажем:</w:t>
      </w:r>
    </w:p>
    <w:tbl>
      <w:tblPr>
        <w:tblW w:w="9795" w:type="dxa"/>
        <w:jc w:val="left"/>
        <w:tblInd w:w="173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 w:noHBand="0" w:noVBand="0" w:firstColumn="0" w:lastRow="0" w:lastColumn="0" w:firstRow="0"/>
      </w:tblPr>
      <w:tblGrid>
        <w:gridCol w:w="726"/>
        <w:gridCol w:w="2377"/>
        <w:gridCol w:w="3347"/>
        <w:gridCol w:w="1702"/>
        <w:gridCol w:w="1643"/>
      </w:tblGrid>
      <w:tr>
        <w:trPr>
          <w:trHeight w:val="914" w:hRule="atLeast"/>
        </w:trPr>
        <w:tc>
          <w:tcPr>
            <w:tcW w:w="726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color="FFFFFF" w:fill="auto" w:val="solid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№</w:t>
            </w:r>
          </w:p>
        </w:tc>
        <w:tc>
          <w:tcPr>
            <w:tcW w:w="2377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color="FFFFFF" w:fill="auto" w:val="solid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Наименование  спецтехники</w:t>
            </w:r>
          </w:p>
        </w:tc>
        <w:tc>
          <w:tcPr>
            <w:tcW w:w="3347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color="FFFFFF" w:fill="auto" w:val="solid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Требования и технические характеристики</w:t>
            </w:r>
          </w:p>
        </w:tc>
        <w:tc>
          <w:tcPr>
            <w:tcW w:w="1702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color="FFFFFF" w:fill="auto" w:val="solid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Минимальная продолжительность заявки маш/час</w:t>
            </w:r>
          </w:p>
        </w:tc>
        <w:tc>
          <w:tcPr>
            <w:tcW w:w="1643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Ориентировочное кол-во маш/час</w:t>
            </w:r>
          </w:p>
        </w:tc>
      </w:tr>
      <w:tr>
        <w:trPr>
          <w:trHeight w:val="610" w:hRule="atLeast"/>
        </w:trPr>
        <w:tc>
          <w:tcPr>
            <w:tcW w:w="7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FFFFFF" w:fill="auto" w:val="solid"/>
            <w:vAlign w:val="center"/>
          </w:tcPr>
          <w:p>
            <w:pPr>
              <w:pStyle w:val="Normal"/>
              <w:widowControl w:val="false"/>
              <w:spacing w:before="0" w:after="0"/>
              <w:contextualSpacing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23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FFFFFF" w:fill="auto" w:val="solid"/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Самосвал</w:t>
            </w:r>
          </w:p>
        </w:tc>
        <w:tc>
          <w:tcPr>
            <w:tcW w:w="3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FFFFFF" w:fill="auto" w:val="solid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x-none"/>
              </w:rPr>
              <w:t>Грузоподъемность: от 20 000 кг</w:t>
              <w:br/>
              <w:t>Объем кузова: от 20м3</w:t>
            </w:r>
          </w:p>
        </w:tc>
        <w:tc>
          <w:tcPr>
            <w:tcW w:w="1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FFFFFF" w:fill="auto" w:val="solid"/>
            <w:vAlign w:val="center"/>
          </w:tcPr>
          <w:p>
            <w:pPr>
              <w:pStyle w:val="Normal"/>
              <w:widowControl w:val="false"/>
              <w:spacing w:before="0" w:after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6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FFFFFF" w:fill="auto" w:val="solid"/>
            <w:vAlign w:val="center"/>
          </w:tcPr>
          <w:p>
            <w:pPr>
              <w:pStyle w:val="Normal"/>
              <w:widowControl w:val="false"/>
              <w:spacing w:before="0" w:after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463</w:t>
            </w:r>
          </w:p>
        </w:tc>
      </w:tr>
    </w:tbl>
    <w:p>
      <w:pPr>
        <w:pStyle w:val="Heading4"/>
        <w:spacing w:before="119" w:after="62"/>
        <w:contextualSpacing/>
        <w:rPr>
          <w:b/>
        </w:rPr>
      </w:pPr>
      <w:r>
        <w:rPr>
          <w:b/>
        </w:rPr>
      </w:r>
      <w:bookmarkStart w:id="22" w:name="_Toc46743510_Копия_1"/>
      <w:bookmarkStart w:id="23" w:name="_Toc50125126_Копия_1"/>
      <w:bookmarkStart w:id="24" w:name="_Toc46743510_Копия_1"/>
      <w:bookmarkStart w:id="25" w:name="_Toc50125126_Копия_1"/>
      <w:bookmarkEnd w:id="24"/>
      <w:bookmarkEnd w:id="25"/>
    </w:p>
    <w:p>
      <w:pPr>
        <w:pStyle w:val="Heading4"/>
        <w:spacing w:before="119" w:after="62"/>
        <w:contextualSpacing/>
        <w:rPr/>
      </w:pPr>
      <w:r>
        <w:rPr>
          <w:b/>
        </w:rPr>
        <w:t xml:space="preserve">2.1.2. </w:t>
      </w:r>
      <w:bookmarkStart w:id="26" w:name="_Toc50125131"/>
      <w:bookmarkStart w:id="27" w:name="_Toc54643706"/>
      <w:bookmarkStart w:id="28" w:name="_Toc51339696"/>
      <w:r>
        <w:rPr>
          <w:b/>
        </w:rPr>
        <w:t xml:space="preserve">Требования </w:t>
      </w:r>
      <w:bookmarkEnd w:id="28"/>
      <w:r>
        <w:rPr>
          <w:b/>
        </w:rPr>
        <w:t xml:space="preserve">к </w:t>
      </w:r>
      <w:bookmarkEnd w:id="27"/>
      <w:r>
        <w:rPr>
          <w:b/>
        </w:rPr>
        <w:t>срокам оказания услуг.</w:t>
      </w:r>
    </w:p>
    <w:p>
      <w:pPr>
        <w:pStyle w:val="Heading4"/>
        <w:spacing w:before="119" w:after="62"/>
        <w:contextualSpacing/>
        <w:rPr/>
      </w:pPr>
      <w:r>
        <w:rPr>
          <w:b/>
        </w:rPr>
        <w:t xml:space="preserve">Таблица </w:t>
      </w:r>
      <w:r>
        <w:rPr>
          <w:b/>
          <w:lang w:val="ru-RU"/>
        </w:rPr>
        <w:t>3</w:t>
      </w:r>
      <w:r>
        <w:rPr>
          <w:b/>
        </w:rPr>
        <w:t xml:space="preserve">. Требования </w:t>
      </w:r>
      <w:r>
        <w:rPr>
          <w:b/>
          <w:lang w:val="ru-RU"/>
        </w:rPr>
        <w:t>к</w:t>
      </w:r>
      <w:r>
        <w:rPr>
          <w:b/>
        </w:rPr>
        <w:t xml:space="preserve"> срокам </w:t>
      </w:r>
      <w:r>
        <w:rPr>
          <w:b/>
          <w:lang w:val="ru-RU"/>
        </w:rPr>
        <w:t>оказания услуг.</w:t>
      </w:r>
    </w:p>
    <w:tbl>
      <w:tblPr>
        <w:tblW w:w="9750" w:type="dxa"/>
        <w:jc w:val="left"/>
        <w:tblInd w:w="20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617"/>
        <w:gridCol w:w="5787"/>
        <w:gridCol w:w="1755"/>
        <w:gridCol w:w="1590"/>
      </w:tblGrid>
      <w:tr>
        <w:trPr/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№ </w:t>
            </w:r>
            <w:r>
              <w:rPr>
                <w:sz w:val="24"/>
                <w:szCs w:val="24"/>
              </w:rPr>
              <w:t>п/п</w:t>
            </w:r>
          </w:p>
        </w:tc>
        <w:tc>
          <w:tcPr>
            <w:tcW w:w="5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услуг/ этапа услуг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Требования к началу срока оказания услуг/ этапа услуг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Требования к окончанию срока оказания услуг / этапа услуг</w:t>
            </w:r>
          </w:p>
        </w:tc>
      </w:tr>
      <w:tr>
        <w:trPr>
          <w:trHeight w:val="675" w:hRule="atLeast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5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Heading4"/>
              <w:widowControl w:val="false"/>
              <w:spacing w:before="120" w:after="60"/>
              <w:rPr/>
            </w:pPr>
            <w:r>
              <w:rPr>
                <w:rFonts w:eastAsia="Times New Roman"/>
                <w:bCs/>
                <w:lang w:val="ru-RU" w:eastAsia="ru-RU"/>
              </w:rPr>
              <w:t>ОКПД 2: 49.41.20.</w:t>
            </w:r>
            <w:r>
              <w:rPr>
                <w:rFonts w:eastAsia="Times New Roman"/>
                <w:bCs/>
                <w:lang w:val="ru-RU" w:eastAsia="ru-RU"/>
              </w:rPr>
              <w:t>000</w:t>
            </w:r>
            <w:r>
              <w:rPr>
                <w:rFonts w:eastAsia="Times New Roman"/>
                <w:bCs/>
                <w:lang w:val="ru-RU" w:eastAsia="ru-RU"/>
              </w:rPr>
              <w:t xml:space="preserve"> Оказание услуг по предоставлению спецтехники с экипажем для</w:t>
            </w:r>
            <w:r>
              <w:rPr>
                <w:rFonts w:eastAsia="Times New Roman"/>
                <w:bCs/>
                <w:sz w:val="24"/>
                <w:szCs w:val="24"/>
                <w:lang w:val="ru-RU" w:eastAsia="ru-RU"/>
              </w:rPr>
              <w:t xml:space="preserve"> выполнения работ на Усть-Среднеканской ГЭС для нужд Башкирского филиала</w:t>
            </w:r>
          </w:p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widowControl w:val="false"/>
              <w:jc w:val="center"/>
              <w:rPr>
                <w:highlight w:val="none"/>
                <w:shd w:fill="FFFFFF" w:val="clear"/>
              </w:rPr>
            </w:pPr>
            <w:r>
              <w:rPr>
                <w:sz w:val="24"/>
                <w:szCs w:val="24"/>
                <w:shd w:fill="FFFFFF" w:val="clear"/>
              </w:rPr>
              <w:t>С 15.03.2027*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 30.11.2027</w:t>
            </w:r>
          </w:p>
        </w:tc>
      </w:tr>
      <w:tr>
        <w:trPr>
          <w:trHeight w:val="675" w:hRule="atLeast"/>
        </w:trPr>
        <w:tc>
          <w:tcPr>
            <w:tcW w:w="9749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0"/>
              </w:numPr>
              <w:ind w:left="0" w:hanging="0"/>
              <w:rPr/>
            </w:pPr>
            <w:r>
              <w:rPr/>
              <w:t>*с даты направления заявки заказчиком, но не ранее 15.03.2027. Дата обусловлена отсутствием персонала АО «Гидроремонт-ВКК».</w:t>
            </w:r>
          </w:p>
        </w:tc>
      </w:tr>
    </w:tbl>
    <w:p>
      <w:pPr>
        <w:pStyle w:val="Normal"/>
        <w:spacing w:before="119" w:after="62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Heading1"/>
        <w:spacing w:before="0" w:after="0"/>
        <w:contextualSpacing/>
        <w:rPr>
          <w:sz w:val="24"/>
          <w:szCs w:val="24"/>
        </w:rPr>
      </w:pPr>
      <w:r>
        <w:rPr>
          <w:b/>
          <w:sz w:val="24"/>
          <w:szCs w:val="24"/>
          <w:lang w:val="ru-RU"/>
        </w:rPr>
        <w:t>2.2. Требования к качеству услуг.</w:t>
      </w:r>
    </w:p>
    <w:p>
      <w:pPr>
        <w:pStyle w:val="Heading1"/>
        <w:tabs>
          <w:tab w:val="clear" w:pos="0"/>
          <w:tab w:val="left" w:pos="851" w:leader="none"/>
          <w:tab w:val="left" w:pos="993" w:leader="none"/>
          <w:tab w:val="left" w:pos="1701" w:leader="none"/>
        </w:tabs>
        <w:spacing w:before="0" w:after="0"/>
        <w:contextualSpacing/>
        <w:jc w:val="left"/>
        <w:rPr>
          <w:sz w:val="24"/>
          <w:szCs w:val="24"/>
        </w:rPr>
      </w:pPr>
      <w:r>
        <w:rPr>
          <w:b/>
          <w:sz w:val="24"/>
          <w:szCs w:val="24"/>
        </w:rPr>
        <w:t>Таблица </w:t>
      </w:r>
      <w:r>
        <w:rPr>
          <w:b/>
          <w:sz w:val="24"/>
          <w:szCs w:val="24"/>
          <w:lang w:val="ru-RU"/>
        </w:rPr>
        <w:t>4</w:t>
      </w:r>
      <w:r>
        <w:rPr>
          <w:b/>
          <w:sz w:val="24"/>
          <w:szCs w:val="24"/>
        </w:rPr>
        <w:t xml:space="preserve">. Требования к </w:t>
      </w:r>
      <w:bookmarkEnd w:id="26"/>
      <w:r>
        <w:rPr>
          <w:b/>
          <w:sz w:val="24"/>
          <w:szCs w:val="24"/>
          <w:lang w:val="ru-RU"/>
        </w:rPr>
        <w:t>качеству услуг.</w:t>
      </w:r>
      <w:r>
        <w:rPr>
          <w:b/>
          <w:sz w:val="24"/>
          <w:szCs w:val="24"/>
        </w:rPr>
        <w:t xml:space="preserve"> </w:t>
      </w:r>
    </w:p>
    <w:p>
      <w:pPr>
        <w:pStyle w:val="Normal"/>
        <w:spacing w:before="0" w:after="0"/>
        <w:contextualSpacing/>
        <w:rPr>
          <w:sz w:val="24"/>
          <w:szCs w:val="24"/>
        </w:rPr>
      </w:pPr>
      <w:r>
        <w:rPr>
          <w:b/>
          <w:sz w:val="24"/>
          <w:szCs w:val="24"/>
          <w:lang w:eastAsia="x-none"/>
        </w:rPr>
        <w:t>Наименование услуг:</w:t>
      </w:r>
      <w:r>
        <w:rPr>
          <w:sz w:val="24"/>
          <w:szCs w:val="24"/>
          <w:lang w:eastAsia="x-none"/>
        </w:rPr>
        <w:t xml:space="preserve"> в соответствии с Таблицей 2 ТТ «Перечень оказываемых услуг».</w:t>
      </w:r>
    </w:p>
    <w:tbl>
      <w:tblPr>
        <w:tblStyle w:val="affffc"/>
        <w:tblW w:w="9750" w:type="dxa"/>
        <w:jc w:val="left"/>
        <w:tblInd w:w="20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19"/>
        <w:gridCol w:w="1609"/>
        <w:gridCol w:w="383"/>
        <w:gridCol w:w="3585"/>
        <w:gridCol w:w="1800"/>
        <w:gridCol w:w="1554"/>
      </w:tblGrid>
      <w:tr>
        <w:trPr/>
        <w:tc>
          <w:tcPr>
            <w:tcW w:w="819" w:type="dxa"/>
            <w:vMerge w:val="restart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 xml:space="preserve">№ </w:t>
            </w: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п/п</w:t>
            </w:r>
          </w:p>
        </w:tc>
        <w:tc>
          <w:tcPr>
            <w:tcW w:w="1992" w:type="dxa"/>
            <w:gridSpan w:val="2"/>
            <w:vMerge w:val="restart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Наименование параметра</w:t>
            </w:r>
          </w:p>
        </w:tc>
        <w:tc>
          <w:tcPr>
            <w:tcW w:w="3585" w:type="dxa"/>
            <w:vMerge w:val="restart"/>
            <w:tcBorders>
              <w:right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Требование заказчика</w:t>
            </w:r>
          </w:p>
        </w:tc>
        <w:tc>
          <w:tcPr>
            <w:tcW w:w="3354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Способ подтверждения участником соответствия требованиям</w:t>
            </w:r>
          </w:p>
        </w:tc>
      </w:tr>
      <w:tr>
        <w:trPr/>
        <w:tc>
          <w:tcPr>
            <w:tcW w:w="819" w:type="dxa"/>
            <w:vMerge w:val="continue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W w:w="1992" w:type="dxa"/>
            <w:gridSpan w:val="2"/>
            <w:vMerge w:val="continue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W w:w="3585" w:type="dxa"/>
            <w:vMerge w:val="continue"/>
            <w:tcBorders>
              <w:top w:val="nil"/>
              <w:right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W w:w="1800" w:type="dxa"/>
            <w:tcBorders>
              <w:top w:val="nil"/>
              <w:right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Согласие с требованием/ указание характеристик</w:t>
            </w:r>
          </w:p>
        </w:tc>
        <w:tc>
          <w:tcPr>
            <w:tcW w:w="1554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Предоставление подтверждающего документа или иной способ подтверждения</w:t>
            </w:r>
          </w:p>
        </w:tc>
      </w:tr>
      <w:tr>
        <w:trPr/>
        <w:tc>
          <w:tcPr>
            <w:tcW w:w="819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bookmarkStart w:id="29" w:name="_Toc53499667"/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1</w:t>
            </w:r>
            <w:bookmarkEnd w:id="29"/>
          </w:p>
        </w:tc>
        <w:tc>
          <w:tcPr>
            <w:tcW w:w="1992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2</w:t>
            </w:r>
          </w:p>
        </w:tc>
        <w:tc>
          <w:tcPr>
            <w:tcW w:w="3585" w:type="dxa"/>
            <w:tcBorders>
              <w:right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3</w:t>
            </w:r>
          </w:p>
        </w:tc>
        <w:tc>
          <w:tcPr>
            <w:tcW w:w="1800" w:type="dxa"/>
            <w:tcBorders>
              <w:right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4</w:t>
            </w:r>
          </w:p>
        </w:tc>
        <w:tc>
          <w:tcPr>
            <w:tcW w:w="1554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5</w:t>
            </w:r>
          </w:p>
        </w:tc>
      </w:tr>
      <w:tr>
        <w:trPr/>
        <w:tc>
          <w:tcPr>
            <w:tcW w:w="819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6"/>
              </w:numPr>
              <w:suppressAutoHyphens w:val="true"/>
              <w:spacing w:before="60" w:after="60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5577" w:type="dxa"/>
            <w:gridSpan w:val="3"/>
            <w:tcBorders>
              <w:right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Требования к оказанию услуг</w:t>
            </w:r>
          </w:p>
        </w:tc>
        <w:tc>
          <w:tcPr>
            <w:tcW w:w="1800" w:type="dxa"/>
            <w:vMerge w:val="restart"/>
            <w:tcBorders>
              <w:right w:val="nil"/>
            </w:tcBorders>
            <w:vAlign w:val="center"/>
          </w:tcPr>
          <w:p>
            <w:pPr>
              <w:pStyle w:val="Style30"/>
              <w:widowControl w:val="false"/>
              <w:numPr>
                <w:ilvl w:val="0"/>
                <w:numId w:val="0"/>
              </w:numPr>
              <w:suppressAutoHyphens w:val="true"/>
              <w:spacing w:before="0" w:after="60"/>
              <w:ind w:left="0" w:hanging="0"/>
              <w:jc w:val="both"/>
              <w:outlineLvl w:val="2"/>
              <w:rPr>
                <w:rFonts w:ascii="Times New Roman" w:hAnsi="Times New Roman" w:cs="Times New Roman"/>
                <w:kern w:val="0"/>
                <w:sz w:val="20"/>
                <w:szCs w:val="20"/>
                <w:lang w:bidi="ar-SA"/>
              </w:rPr>
            </w:pPr>
            <w:r>
              <w:rPr>
                <w:rFonts w:eastAsia="Times New Roman" w:cs="Times New Roman"/>
                <w:b w:val="false"/>
                <w:iCs/>
                <w:kern w:val="0"/>
                <w:sz w:val="20"/>
                <w:szCs w:val="20"/>
                <w:lang w:val="ru-RU" w:eastAsia="ru-RU" w:bidi="ar-SA"/>
              </w:rPr>
              <w:t>Участник должен предоставить в заявке согласие оказать услуги, полностью соответствующие настоящим техническим требованиям, по форме Технического предложения, установленной в Документации о закупке</w:t>
            </w:r>
          </w:p>
        </w:tc>
        <w:tc>
          <w:tcPr>
            <w:tcW w:w="1554" w:type="dxa"/>
            <w:vMerge w:val="restart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819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1.1.</w:t>
            </w:r>
          </w:p>
        </w:tc>
        <w:tc>
          <w:tcPr>
            <w:tcW w:w="5577" w:type="dxa"/>
            <w:gridSpan w:val="3"/>
            <w:tcBorders>
              <w:right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Общие требования к оказанию услуг</w:t>
            </w:r>
          </w:p>
        </w:tc>
        <w:tc>
          <w:tcPr>
            <w:tcW w:w="1800" w:type="dxa"/>
            <w:vMerge w:val="continue"/>
            <w:tcBorders>
              <w:right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554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819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1.1.1.</w:t>
            </w:r>
          </w:p>
        </w:tc>
        <w:tc>
          <w:tcPr>
            <w:tcW w:w="1992" w:type="dxa"/>
            <w:gridSpan w:val="2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Требование к предоставляемой спецтехнике</w:t>
            </w:r>
          </w:p>
        </w:tc>
        <w:tc>
          <w:tcPr>
            <w:tcW w:w="3585" w:type="dxa"/>
            <w:tcBorders>
              <w:right w:val="nil"/>
            </w:tcBorders>
            <w:shd w:color="auto" w:fill="auto" w:val="clear"/>
          </w:tcPr>
          <w:p>
            <w:pPr>
              <w:pStyle w:val="Default"/>
              <w:widowControl w:val="false"/>
              <w:tabs>
                <w:tab w:val="clear" w:pos="708"/>
                <w:tab w:val="left" w:pos="0" w:leader="none"/>
                <w:tab w:val="left" w:pos="426" w:leader="none"/>
                <w:tab w:val="left" w:pos="709" w:leader="none"/>
                <w:tab w:val="left" w:pos="851" w:leader="none"/>
              </w:tabs>
              <w:suppressAutoHyphens w:val="true"/>
              <w:spacing w:before="0" w:after="0"/>
              <w:jc w:val="both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color w:val="auto"/>
                <w:kern w:val="0"/>
                <w:lang w:val="ru-RU" w:eastAsia="ru-RU" w:bidi="ar-SA"/>
              </w:rPr>
              <w:t>Исполнитель должен иметь СТ для исполнения договора в собственности или на праве аренды материально-технических ресурсов (машин и механизмов, специальных приспособлений и инструментов) на оказание услуг по предмету закупки.</w:t>
            </w:r>
          </w:p>
        </w:tc>
        <w:tc>
          <w:tcPr>
            <w:tcW w:w="1800" w:type="dxa"/>
            <w:vMerge w:val="continue"/>
            <w:tcBorders>
              <w:right w:val="nil"/>
            </w:tcBorders>
            <w:vAlign w:val="center"/>
          </w:tcPr>
          <w:p>
            <w:pPr>
              <w:pStyle w:val="Default"/>
              <w:widowControl w:val="false"/>
              <w:tabs>
                <w:tab w:val="clear" w:pos="708"/>
                <w:tab w:val="left" w:pos="0" w:leader="none"/>
                <w:tab w:val="left" w:pos="426" w:leader="none"/>
                <w:tab w:val="left" w:pos="709" w:leader="none"/>
                <w:tab w:val="left" w:pos="851" w:leader="none"/>
              </w:tabs>
              <w:suppressAutoHyphens w:val="true"/>
              <w:spacing w:before="0" w:after="0"/>
              <w:jc w:val="both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1554" w:type="dxa"/>
            <w:vMerge w:val="continue"/>
            <w:tcBorders/>
            <w:vAlign w:val="center"/>
          </w:tcPr>
          <w:p>
            <w:pPr>
              <w:pStyle w:val="Default"/>
              <w:widowControl w:val="false"/>
              <w:tabs>
                <w:tab w:val="clear" w:pos="708"/>
                <w:tab w:val="left" w:pos="0" w:leader="none"/>
                <w:tab w:val="left" w:pos="426" w:leader="none"/>
                <w:tab w:val="left" w:pos="709" w:leader="none"/>
                <w:tab w:val="left" w:pos="851" w:leader="none"/>
              </w:tabs>
              <w:suppressAutoHyphens w:val="true"/>
              <w:spacing w:before="0" w:after="0"/>
              <w:jc w:val="both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</w:tr>
      <w:tr>
        <w:trPr/>
        <w:tc>
          <w:tcPr>
            <w:tcW w:w="819" w:type="dxa"/>
            <w:tcBorders/>
            <w:vAlign w:val="center"/>
          </w:tcPr>
          <w:p>
            <w:pPr>
              <w:pStyle w:val="ListParagraph"/>
              <w:widowControl w:val="false"/>
              <w:suppressAutoHyphens w:val="true"/>
              <w:spacing w:before="60" w:after="60"/>
              <w:ind w:left="25" w:hanging="0"/>
              <w:contextualSpacing/>
              <w:jc w:val="left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b/>
                <w:kern w:val="0"/>
                <w:lang w:val="ru-RU" w:eastAsia="ru-RU" w:bidi="ar-SA"/>
              </w:rPr>
              <w:t>1.2.</w:t>
            </w:r>
          </w:p>
        </w:tc>
        <w:tc>
          <w:tcPr>
            <w:tcW w:w="5577" w:type="dxa"/>
            <w:gridSpan w:val="3"/>
            <w:tcBorders>
              <w:right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Требования к процедурам оказания услуг</w:t>
            </w:r>
          </w:p>
        </w:tc>
        <w:tc>
          <w:tcPr>
            <w:tcW w:w="1800" w:type="dxa"/>
            <w:vMerge w:val="continue"/>
            <w:tcBorders>
              <w:right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554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819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1.2.1.</w:t>
            </w:r>
          </w:p>
        </w:tc>
        <w:tc>
          <w:tcPr>
            <w:tcW w:w="1992" w:type="dxa"/>
            <w:gridSpan w:val="2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Ответственность Исполнителя в части оказания услуг</w:t>
            </w:r>
          </w:p>
        </w:tc>
        <w:tc>
          <w:tcPr>
            <w:tcW w:w="3585" w:type="dxa"/>
            <w:tcBorders>
              <w:right w:val="nil"/>
            </w:tcBorders>
          </w:tcPr>
          <w:p>
            <w:pPr>
              <w:pStyle w:val="Default"/>
              <w:widowControl w:val="false"/>
              <w:suppressAutoHyphens w:val="true"/>
              <w:spacing w:before="0" w:after="0"/>
              <w:jc w:val="both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color w:val="auto"/>
                <w:kern w:val="0"/>
                <w:lang w:val="ru-RU" w:eastAsia="ru-RU" w:bidi="ar-SA"/>
              </w:rPr>
              <w:t>Исполнитель несет ответственность за качество, работоспособность, функциональные свойства и технические характеристики СТ используемом для оказания услуг в соответствии с настоящими техническими требованиями и действующих нормативных актов РФ, сроков исполнения, в полном объеме, с надлежащим качеством</w:t>
            </w:r>
          </w:p>
        </w:tc>
        <w:tc>
          <w:tcPr>
            <w:tcW w:w="1800" w:type="dxa"/>
            <w:vMerge w:val="continue"/>
            <w:tcBorders>
              <w:right w:val="nil"/>
            </w:tcBorders>
            <w:vAlign w:val="center"/>
          </w:tcPr>
          <w:p>
            <w:pPr>
              <w:pStyle w:val="Default"/>
              <w:widowControl w:val="false"/>
              <w:suppressAutoHyphens w:val="true"/>
              <w:spacing w:before="0" w:after="0"/>
              <w:jc w:val="both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1554" w:type="dxa"/>
            <w:vMerge w:val="continue"/>
            <w:tcBorders/>
            <w:vAlign w:val="center"/>
          </w:tcPr>
          <w:p>
            <w:pPr>
              <w:pStyle w:val="Default"/>
              <w:widowControl w:val="false"/>
              <w:suppressAutoHyphens w:val="true"/>
              <w:spacing w:before="0" w:after="0"/>
              <w:jc w:val="both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</w:tr>
      <w:tr>
        <w:trPr/>
        <w:tc>
          <w:tcPr>
            <w:tcW w:w="819" w:type="dxa"/>
            <w:tcBorders/>
            <w:vAlign w:val="center"/>
          </w:tcPr>
          <w:p>
            <w:pPr>
              <w:pStyle w:val="ListParagraph"/>
              <w:widowControl w:val="false"/>
              <w:suppressAutoHyphens w:val="true"/>
              <w:spacing w:before="60" w:after="60"/>
              <w:ind w:left="25" w:hanging="0"/>
              <w:contextualSpacing/>
              <w:jc w:val="left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b/>
                <w:kern w:val="0"/>
                <w:lang w:val="ru-RU" w:eastAsia="ru-RU" w:bidi="ar-SA"/>
              </w:rPr>
              <w:t>1.3.</w:t>
            </w:r>
          </w:p>
        </w:tc>
        <w:tc>
          <w:tcPr>
            <w:tcW w:w="5577" w:type="dxa"/>
            <w:gridSpan w:val="3"/>
            <w:tcBorders>
              <w:right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Требования к применяемым при оказании услуг спецтехники</w:t>
            </w:r>
          </w:p>
        </w:tc>
        <w:tc>
          <w:tcPr>
            <w:tcW w:w="1800" w:type="dxa"/>
            <w:vMerge w:val="continue"/>
            <w:tcBorders>
              <w:right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554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819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1.3.1.</w:t>
            </w:r>
          </w:p>
        </w:tc>
        <w:tc>
          <w:tcPr>
            <w:tcW w:w="1992" w:type="dxa"/>
            <w:gridSpan w:val="2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Соответствие СТ законодательству РФ</w:t>
            </w:r>
          </w:p>
        </w:tc>
        <w:tc>
          <w:tcPr>
            <w:tcW w:w="3585" w:type="dxa"/>
            <w:tcBorders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Исполнитель должен соблюдать законодательство РФ при эксплуатации, обслуживании и предоставлении СТ Заказчику.</w:t>
            </w:r>
          </w:p>
        </w:tc>
        <w:tc>
          <w:tcPr>
            <w:tcW w:w="1800" w:type="dxa"/>
            <w:vMerge w:val="continue"/>
            <w:tcBorders>
              <w:right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554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819" w:type="dxa"/>
            <w:tcBorders/>
            <w:vAlign w:val="center"/>
          </w:tcPr>
          <w:p>
            <w:pPr>
              <w:pStyle w:val="ListParagraph"/>
              <w:widowControl w:val="false"/>
              <w:suppressAutoHyphens w:val="true"/>
              <w:spacing w:before="60" w:after="60"/>
              <w:ind w:left="25" w:hanging="0"/>
              <w:contextualSpacing/>
              <w:jc w:val="left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b/>
                <w:kern w:val="0"/>
                <w:lang w:val="ru-RU" w:eastAsia="ru-RU" w:bidi="ar-SA"/>
              </w:rPr>
              <w:t>1.4.</w:t>
            </w:r>
          </w:p>
        </w:tc>
        <w:tc>
          <w:tcPr>
            <w:tcW w:w="5577" w:type="dxa"/>
            <w:gridSpan w:val="3"/>
            <w:tcBorders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Требования к персоналу исполнителя</w:t>
            </w:r>
          </w:p>
        </w:tc>
        <w:tc>
          <w:tcPr>
            <w:tcW w:w="1800" w:type="dxa"/>
            <w:vMerge w:val="continue"/>
            <w:tcBorders>
              <w:right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554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819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1.4.1.</w:t>
            </w:r>
          </w:p>
        </w:tc>
        <w:tc>
          <w:tcPr>
            <w:tcW w:w="1992" w:type="dxa"/>
            <w:gridSpan w:val="2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Наличие квалификационных документов у персонала  Исполнителя обслуживающего СТ</w:t>
            </w:r>
          </w:p>
        </w:tc>
        <w:tc>
          <w:tcPr>
            <w:tcW w:w="3585" w:type="dxa"/>
            <w:tcBorders>
              <w:right w:val="nil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Исполнитель, предоставляющий СТ, должен иметь персонал (в том числе и ответственных лиц) соответствующий Приказу Ростехнадзора от 26 ноября 2020 года N 461 " Об утверждении федеральных норм и правил в области промышленной безопасности "Правила безопасности опасных производственных объектов, на которых используются подъемные сооружения".</w:t>
            </w:r>
          </w:p>
        </w:tc>
        <w:tc>
          <w:tcPr>
            <w:tcW w:w="1800" w:type="dxa"/>
            <w:vMerge w:val="continue"/>
            <w:tcBorders>
              <w:right w:val="nil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554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819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1.4.2.</w:t>
            </w:r>
          </w:p>
        </w:tc>
        <w:tc>
          <w:tcPr>
            <w:tcW w:w="1992" w:type="dxa"/>
            <w:gridSpan w:val="2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Наличие квалификационных документов у обслуживающего  СТ персонала Исполнителя, при выполнении работ в электроустановках (ОРУ, освещение, охранная зона ВЛ и т.п.)</w:t>
            </w:r>
          </w:p>
        </w:tc>
        <w:tc>
          <w:tcPr>
            <w:tcW w:w="3585" w:type="dxa"/>
            <w:tcBorders>
              <w:right w:val="nil"/>
            </w:tcBorders>
          </w:tcPr>
          <w:p>
            <w:pPr>
              <w:pStyle w:val="Default"/>
              <w:widowControl w:val="false"/>
              <w:tabs>
                <w:tab w:val="clear" w:pos="708"/>
                <w:tab w:val="left" w:pos="0" w:leader="none"/>
                <w:tab w:val="left" w:pos="426" w:leader="none"/>
                <w:tab w:val="left" w:pos="851" w:leader="none"/>
              </w:tabs>
              <w:suppressAutoHyphens w:val="true"/>
              <w:spacing w:before="0" w:after="0"/>
              <w:jc w:val="both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color w:val="auto"/>
                <w:kern w:val="0"/>
                <w:lang w:val="ru-RU" w:eastAsia="ru-RU" w:bidi="ar-SA"/>
              </w:rPr>
              <w:t>При использовании СТ в электроустановках (ОРУ, освещение, охранная зона ВЛ и т.п.) у водителей (или машинистов и т.п.) необходимо наличие удостоверения по электробезопасности не ниже второй группы согласно Приказа Минтруда России от 15.12.2020 N 903н                       "Об утверждении Правил по охране труда при эксплуатации электроустановок".</w:t>
            </w:r>
          </w:p>
        </w:tc>
        <w:tc>
          <w:tcPr>
            <w:tcW w:w="1800" w:type="dxa"/>
            <w:vMerge w:val="continue"/>
            <w:tcBorders>
              <w:right w:val="nil"/>
            </w:tcBorders>
            <w:vAlign w:val="center"/>
          </w:tcPr>
          <w:p>
            <w:pPr>
              <w:pStyle w:val="Default"/>
              <w:widowControl w:val="false"/>
              <w:tabs>
                <w:tab w:val="clear" w:pos="708"/>
                <w:tab w:val="left" w:pos="0" w:leader="none"/>
                <w:tab w:val="left" w:pos="426" w:leader="none"/>
                <w:tab w:val="left" w:pos="851" w:leader="none"/>
              </w:tabs>
              <w:suppressAutoHyphens w:val="true"/>
              <w:spacing w:before="0" w:after="0"/>
              <w:jc w:val="both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1554" w:type="dxa"/>
            <w:vMerge w:val="continue"/>
            <w:tcBorders/>
            <w:vAlign w:val="center"/>
          </w:tcPr>
          <w:p>
            <w:pPr>
              <w:pStyle w:val="Default"/>
              <w:widowControl w:val="false"/>
              <w:tabs>
                <w:tab w:val="clear" w:pos="708"/>
                <w:tab w:val="left" w:pos="0" w:leader="none"/>
                <w:tab w:val="left" w:pos="426" w:leader="none"/>
                <w:tab w:val="left" w:pos="851" w:leader="none"/>
              </w:tabs>
              <w:suppressAutoHyphens w:val="true"/>
              <w:spacing w:before="0" w:after="0"/>
              <w:jc w:val="both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</w:tr>
      <w:tr>
        <w:trPr>
          <w:trHeight w:val="482" w:hRule="atLeast"/>
        </w:trPr>
        <w:tc>
          <w:tcPr>
            <w:tcW w:w="819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1.4.3.</w:t>
            </w:r>
          </w:p>
        </w:tc>
        <w:tc>
          <w:tcPr>
            <w:tcW w:w="1992" w:type="dxa"/>
            <w:gridSpan w:val="2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iCs/>
                <w:kern w:val="0"/>
                <w:sz w:val="24"/>
                <w:szCs w:val="24"/>
                <w:lang w:val="ru-RU" w:eastAsia="ru-RU" w:bidi="ar-SA"/>
              </w:rPr>
              <w:t>Требования к персоналу Исполнителя</w:t>
            </w:r>
          </w:p>
        </w:tc>
        <w:tc>
          <w:tcPr>
            <w:tcW w:w="3585" w:type="dxa"/>
            <w:tcBorders>
              <w:right w:val="nil"/>
            </w:tcBorders>
            <w:shd w:color="auto" w:fill="auto" w:val="clear"/>
          </w:tcPr>
          <w:p>
            <w:pPr>
              <w:pStyle w:val="Default"/>
              <w:widowControl w:val="false"/>
              <w:tabs>
                <w:tab w:val="clear" w:pos="708"/>
                <w:tab w:val="left" w:pos="426" w:leader="none"/>
                <w:tab w:val="left" w:pos="567" w:leader="none"/>
              </w:tabs>
              <w:suppressAutoHyphens w:val="true"/>
              <w:spacing w:before="0" w:after="0"/>
              <w:jc w:val="both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bCs/>
                <w:color w:val="auto"/>
                <w:kern w:val="0"/>
                <w:lang w:val="ru-RU" w:eastAsia="ru-RU" w:bidi="ar-SA"/>
              </w:rPr>
              <w:t>Лица, управляющие СТ, должны иметь действующие квалификационные удостоверения на работу с ПС в действующих электроустановках и водительское удостоверение с разрешенной категорией.</w:t>
            </w:r>
          </w:p>
        </w:tc>
        <w:tc>
          <w:tcPr>
            <w:tcW w:w="1800" w:type="dxa"/>
            <w:vMerge w:val="continue"/>
            <w:tcBorders>
              <w:right w:val="nil"/>
            </w:tcBorders>
            <w:vAlign w:val="center"/>
          </w:tcPr>
          <w:p>
            <w:pPr>
              <w:pStyle w:val="Default"/>
              <w:widowControl w:val="false"/>
              <w:tabs>
                <w:tab w:val="clear" w:pos="708"/>
                <w:tab w:val="left" w:pos="426" w:leader="none"/>
                <w:tab w:val="left" w:pos="567" w:leader="none"/>
              </w:tabs>
              <w:suppressAutoHyphens w:val="true"/>
              <w:spacing w:before="0" w:after="0"/>
              <w:jc w:val="both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1554" w:type="dxa"/>
            <w:vMerge w:val="continue"/>
            <w:tcBorders/>
            <w:vAlign w:val="center"/>
          </w:tcPr>
          <w:p>
            <w:pPr>
              <w:pStyle w:val="Default"/>
              <w:widowControl w:val="false"/>
              <w:tabs>
                <w:tab w:val="clear" w:pos="708"/>
                <w:tab w:val="left" w:pos="426" w:leader="none"/>
                <w:tab w:val="left" w:pos="567" w:leader="none"/>
              </w:tabs>
              <w:suppressAutoHyphens w:val="true"/>
              <w:spacing w:before="0" w:after="0"/>
              <w:jc w:val="both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</w:tr>
      <w:tr>
        <w:trPr/>
        <w:tc>
          <w:tcPr>
            <w:tcW w:w="819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1.4.4</w:t>
            </w:r>
          </w:p>
        </w:tc>
        <w:tc>
          <w:tcPr>
            <w:tcW w:w="1992" w:type="dxa"/>
            <w:gridSpan w:val="2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iCs/>
                <w:kern w:val="0"/>
                <w:sz w:val="24"/>
                <w:szCs w:val="24"/>
                <w:lang w:val="ru-RU" w:eastAsia="ru-RU" w:bidi="ar-SA"/>
              </w:rPr>
              <w:t>Обязанности исполнителя</w:t>
            </w:r>
          </w:p>
        </w:tc>
        <w:tc>
          <w:tcPr>
            <w:tcW w:w="3585" w:type="dxa"/>
            <w:tcBorders>
              <w:top w:val="nil"/>
              <w:right w:val="nil"/>
            </w:tcBorders>
            <w:shd w:color="auto" w:fill="auto" w:val="clear"/>
          </w:tcPr>
          <w:p>
            <w:pPr>
              <w:pStyle w:val="Heading3"/>
              <w:widowControl w:val="false"/>
              <w:suppressAutoHyphens w:val="true"/>
              <w:spacing w:before="120" w:after="60"/>
              <w:rPr>
                <w:rFonts w:ascii="Times New Roman" w:hAnsi="Times New Roman" w:cs="Times New Roman"/>
                <w:kern w:val="0"/>
                <w:lang w:bidi="ar-SA"/>
              </w:rPr>
            </w:pPr>
            <w:r>
              <w:rPr>
                <w:rFonts w:cs="Times New Roman"/>
                <w:kern w:val="0"/>
                <w:lang w:bidi="ar-SA"/>
              </w:rPr>
              <w:t>Предоставленная Исполнителем СТ должна иметь экипаж (в том числе и лицо ответственное за работоспособное состояние СТ и т.д.) .Спецтехника (Башенные краны, грузоподъемные краны, установленные на автомобильные шасси, специальные шасси автомобильного типа, грузоподъемные краны на пневмоколесном ходу и гусеничном). При использовании в стеснённых условиях на действующих электроустановках, должна быть оборудована координатной защитой.</w:t>
            </w:r>
          </w:p>
        </w:tc>
        <w:tc>
          <w:tcPr>
            <w:tcW w:w="1800" w:type="dxa"/>
            <w:vMerge w:val="continue"/>
            <w:tcBorders>
              <w:right w:val="nil"/>
            </w:tcBorders>
            <w:vAlign w:val="center"/>
          </w:tcPr>
          <w:p>
            <w:pPr>
              <w:pStyle w:val="Heading3"/>
              <w:widowControl w:val="false"/>
              <w:suppressAutoHyphens w:val="true"/>
              <w:spacing w:before="120" w:after="60"/>
              <w:rPr>
                <w:rFonts w:ascii="Times New Roman" w:hAnsi="Times New Roman" w:cs="Times New Roman"/>
                <w:kern w:val="0"/>
                <w:lang w:bidi="ar-SA"/>
              </w:rPr>
            </w:pPr>
            <w:r>
              <w:rPr>
                <w:rFonts w:cs="Times New Roman"/>
                <w:kern w:val="0"/>
                <w:lang w:bidi="ar-SA"/>
              </w:rPr>
            </w:r>
          </w:p>
        </w:tc>
        <w:tc>
          <w:tcPr>
            <w:tcW w:w="1554" w:type="dxa"/>
            <w:vMerge w:val="continue"/>
            <w:tcBorders/>
            <w:vAlign w:val="center"/>
          </w:tcPr>
          <w:p>
            <w:pPr>
              <w:pStyle w:val="Heading3"/>
              <w:widowControl w:val="false"/>
              <w:suppressAutoHyphens w:val="true"/>
              <w:spacing w:before="120" w:after="60"/>
              <w:rPr>
                <w:rFonts w:ascii="Times New Roman" w:hAnsi="Times New Roman" w:cs="Times New Roman"/>
                <w:kern w:val="0"/>
                <w:lang w:bidi="ar-SA"/>
              </w:rPr>
            </w:pPr>
            <w:r>
              <w:rPr>
                <w:rFonts w:cs="Times New Roman"/>
                <w:kern w:val="0"/>
                <w:lang w:bidi="ar-SA"/>
              </w:rPr>
            </w:r>
          </w:p>
        </w:tc>
      </w:tr>
      <w:tr>
        <w:trPr/>
        <w:tc>
          <w:tcPr>
            <w:tcW w:w="819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1.4.5</w:t>
            </w:r>
          </w:p>
        </w:tc>
        <w:tc>
          <w:tcPr>
            <w:tcW w:w="1992" w:type="dxa"/>
            <w:gridSpan w:val="2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iCs/>
                <w:kern w:val="0"/>
                <w:sz w:val="24"/>
                <w:szCs w:val="24"/>
                <w:lang w:val="ru-RU" w:eastAsia="ru-RU" w:bidi="ar-SA"/>
              </w:rPr>
              <w:t>График работы</w:t>
            </w:r>
          </w:p>
        </w:tc>
        <w:tc>
          <w:tcPr>
            <w:tcW w:w="3585" w:type="dxa"/>
            <w:tcBorders>
              <w:top w:val="nil"/>
              <w:right w:val="nil"/>
            </w:tcBorders>
            <w:shd w:color="auto" w:fill="auto" w:val="clear"/>
          </w:tcPr>
          <w:p>
            <w:pPr>
              <w:pStyle w:val="Heading3"/>
              <w:widowControl w:val="false"/>
              <w:suppressAutoHyphens w:val="true"/>
              <w:spacing w:before="120" w:after="60"/>
              <w:jc w:val="left"/>
              <w:rPr>
                <w:rFonts w:ascii="Times New Roman" w:hAnsi="Times New Roman" w:cs="Times New Roman"/>
                <w:kern w:val="0"/>
                <w:lang w:bidi="ar-SA"/>
              </w:rPr>
            </w:pPr>
            <w:r>
              <w:rPr>
                <w:rFonts w:cs="Times New Roman"/>
                <w:kern w:val="0"/>
                <w:lang w:bidi="ar-SA"/>
              </w:rPr>
              <w:t xml:space="preserve">Необходимо учесть возможное, но не обязательное, использование СТ в трехсменном режиме работы: </w:t>
            </w:r>
            <w:r>
              <w:rPr>
                <w:rFonts w:cs="Times New Roman"/>
                <w:kern w:val="0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lang w:bidi="ar-SA"/>
              </w:rPr>
              <w:t xml:space="preserve"> </w:t>
            </w:r>
            <w:r>
              <w:rPr>
                <w:rFonts w:cs="Times New Roman"/>
                <w:kern w:val="0"/>
                <w:lang w:val="ru-RU" w:bidi="ar-SA"/>
              </w:rPr>
              <w:t xml:space="preserve"> - </w:t>
            </w:r>
            <w:r>
              <w:rPr>
                <w:rFonts w:cs="Times New Roman"/>
                <w:kern w:val="0"/>
                <w:lang w:bidi="ar-SA"/>
              </w:rPr>
              <w:t xml:space="preserve">1 смена: с </w:t>
            </w:r>
            <w:r>
              <w:rPr>
                <w:rFonts w:cs="Times New Roman"/>
                <w:kern w:val="0"/>
                <w:lang w:val="ru-RU" w:bidi="ar-SA"/>
              </w:rPr>
              <w:t>0</w:t>
            </w:r>
            <w:r>
              <w:rPr>
                <w:rFonts w:cs="Times New Roman"/>
                <w:kern w:val="0"/>
                <w:lang w:bidi="ar-SA"/>
              </w:rPr>
              <w:t>8:00 до 17:00</w:t>
            </w:r>
            <w:r>
              <w:rPr>
                <w:rFonts w:cs="Times New Roman"/>
                <w:kern w:val="0"/>
                <w:lang w:val="ru-RU" w:bidi="ar-SA"/>
              </w:rPr>
              <w:t xml:space="preserve">              - </w:t>
            </w:r>
            <w:r>
              <w:rPr>
                <w:rFonts w:cs="Times New Roman"/>
                <w:kern w:val="0"/>
                <w:lang w:bidi="ar-SA"/>
              </w:rPr>
              <w:t>2 смена: с 17:00 до 01:00</w:t>
            </w:r>
            <w:r>
              <w:rPr>
                <w:rFonts w:cs="Times New Roman"/>
                <w:kern w:val="0"/>
                <w:lang w:val="ru-RU" w:bidi="ar-SA"/>
              </w:rPr>
              <w:t xml:space="preserve">           - </w:t>
            </w:r>
            <w:r>
              <w:rPr>
                <w:rFonts w:cs="Times New Roman"/>
                <w:kern w:val="0"/>
                <w:lang w:bidi="ar-SA"/>
              </w:rPr>
              <w:t>3</w:t>
            </w:r>
            <w:r>
              <w:rPr>
                <w:rFonts w:cs="Times New Roman"/>
                <w:kern w:val="0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lang w:bidi="ar-SA"/>
              </w:rPr>
              <w:t>смена:</w:t>
            </w:r>
            <w:r>
              <w:rPr>
                <w:rFonts w:cs="Times New Roman"/>
                <w:kern w:val="0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lang w:bidi="ar-SA"/>
              </w:rPr>
              <w:t>с 01:00 до 08:00</w:t>
            </w:r>
          </w:p>
        </w:tc>
        <w:tc>
          <w:tcPr>
            <w:tcW w:w="1800" w:type="dxa"/>
            <w:vMerge w:val="continue"/>
            <w:tcBorders>
              <w:right w:val="nil"/>
            </w:tcBorders>
            <w:vAlign w:val="center"/>
          </w:tcPr>
          <w:p>
            <w:pPr>
              <w:pStyle w:val="Heading3"/>
              <w:widowControl w:val="false"/>
              <w:suppressAutoHyphens w:val="true"/>
              <w:spacing w:before="120" w:after="60"/>
              <w:rPr>
                <w:rFonts w:ascii="Times New Roman" w:hAnsi="Times New Roman" w:cs="Times New Roman"/>
                <w:kern w:val="0"/>
                <w:lang w:bidi="ar-SA"/>
              </w:rPr>
            </w:pPr>
            <w:r>
              <w:rPr>
                <w:rFonts w:cs="Times New Roman"/>
                <w:kern w:val="0"/>
                <w:lang w:bidi="ar-SA"/>
              </w:rPr>
            </w:r>
          </w:p>
        </w:tc>
        <w:tc>
          <w:tcPr>
            <w:tcW w:w="1554" w:type="dxa"/>
            <w:vMerge w:val="continue"/>
            <w:tcBorders/>
            <w:vAlign w:val="center"/>
          </w:tcPr>
          <w:p>
            <w:pPr>
              <w:pStyle w:val="Heading3"/>
              <w:widowControl w:val="false"/>
              <w:suppressAutoHyphens w:val="true"/>
              <w:spacing w:before="120" w:after="60"/>
              <w:rPr>
                <w:rFonts w:ascii="Times New Roman" w:hAnsi="Times New Roman" w:cs="Times New Roman"/>
                <w:kern w:val="0"/>
                <w:lang w:bidi="ar-SA"/>
              </w:rPr>
            </w:pPr>
            <w:r>
              <w:rPr>
                <w:rFonts w:cs="Times New Roman"/>
                <w:kern w:val="0"/>
                <w:lang w:bidi="ar-SA"/>
              </w:rPr>
            </w:r>
          </w:p>
        </w:tc>
      </w:tr>
      <w:tr>
        <w:trPr/>
        <w:tc>
          <w:tcPr>
            <w:tcW w:w="819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6"/>
              </w:numPr>
              <w:suppressAutoHyphens w:val="true"/>
              <w:spacing w:before="60" w:after="60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5577" w:type="dxa"/>
            <w:gridSpan w:val="3"/>
            <w:tcBorders>
              <w:right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Требования к результатам у</w:t>
            </w: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слуг</w:t>
            </w:r>
          </w:p>
        </w:tc>
        <w:tc>
          <w:tcPr>
            <w:tcW w:w="1800" w:type="dxa"/>
            <w:vMerge w:val="continue"/>
            <w:tcBorders>
              <w:right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554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819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6"/>
              </w:numPr>
              <w:suppressAutoHyphens w:val="true"/>
              <w:spacing w:before="60" w:after="60"/>
              <w:ind w:left="-117" w:firstLine="142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5577" w:type="dxa"/>
            <w:gridSpan w:val="3"/>
            <w:tcBorders>
              <w:right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Общие требования к результатам услуг</w:t>
            </w:r>
          </w:p>
        </w:tc>
        <w:tc>
          <w:tcPr>
            <w:tcW w:w="1800" w:type="dxa"/>
            <w:vMerge w:val="continue"/>
            <w:tcBorders>
              <w:right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554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819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2"/>
                <w:numId w:val="6"/>
              </w:numPr>
              <w:suppressAutoHyphens w:val="true"/>
              <w:spacing w:before="60" w:after="60"/>
              <w:ind w:left="755" w:hanging="755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1609" w:type="dxa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Требования к соблюдению Исполнителя технологической, производственной и трудовой дисциплин</w:t>
            </w:r>
          </w:p>
        </w:tc>
        <w:tc>
          <w:tcPr>
            <w:tcW w:w="3968" w:type="dxa"/>
            <w:gridSpan w:val="2"/>
            <w:tcBorders>
              <w:right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Исполнитель должен соблюдать требования технологической, производственной и трудовой дисциплины.</w:t>
            </w:r>
          </w:p>
        </w:tc>
        <w:tc>
          <w:tcPr>
            <w:tcW w:w="1800" w:type="dxa"/>
            <w:vMerge w:val="continue"/>
            <w:tcBorders>
              <w:right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554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819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6"/>
              </w:numPr>
              <w:suppressAutoHyphens w:val="true"/>
              <w:spacing w:before="60" w:after="60"/>
              <w:contextualSpacing/>
              <w:jc w:val="left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5577" w:type="dxa"/>
            <w:gridSpan w:val="3"/>
            <w:tcBorders>
              <w:right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4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Требования к соблюдению положений нормативной и иной обязательной для исполнителя документации, определяемой видами услуг (помимо указанных в других разделах ТТ)</w:t>
            </w:r>
          </w:p>
        </w:tc>
        <w:tc>
          <w:tcPr>
            <w:tcW w:w="1800" w:type="dxa"/>
            <w:vMerge w:val="continue"/>
            <w:tcBorders>
              <w:right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4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554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4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337" w:hRule="atLeast"/>
        </w:trPr>
        <w:tc>
          <w:tcPr>
            <w:tcW w:w="819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6"/>
              </w:numPr>
              <w:suppressAutoHyphens w:val="true"/>
              <w:spacing w:before="60" w:after="60"/>
              <w:ind w:left="0" w:hanging="0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1992" w:type="dxa"/>
            <w:gridSpan w:val="2"/>
            <w:tcBorders/>
            <w:vAlign w:val="center"/>
          </w:tcPr>
          <w:p>
            <w:pPr>
              <w:pStyle w:val="Style30"/>
              <w:keepNext w:val="false"/>
              <w:widowControl w:val="false"/>
              <w:numPr>
                <w:ilvl w:val="0"/>
                <w:numId w:val="0"/>
              </w:numPr>
              <w:suppressAutoHyphens w:val="true"/>
              <w:spacing w:before="0" w:after="60"/>
              <w:ind w:left="0" w:hanging="0"/>
              <w:jc w:val="both"/>
              <w:outlineLvl w:val="2"/>
              <w:rPr>
                <w:rFonts w:ascii="Times New Roman" w:hAnsi="Times New Roman" w:cs="Times New Roman"/>
                <w:kern w:val="0"/>
                <w:sz w:val="20"/>
                <w:szCs w:val="20"/>
                <w:lang w:bidi="ar-SA"/>
              </w:rPr>
            </w:pPr>
            <w:r>
              <w:rPr>
                <w:rFonts w:eastAsia="Times New Roman" w:cs="Times New Roman"/>
                <w:b w:val="false"/>
                <w:kern w:val="0"/>
                <w:sz w:val="20"/>
                <w:szCs w:val="20"/>
                <w:lang w:val="ru-RU" w:eastAsia="ru-RU" w:bidi="ar-SA"/>
              </w:rPr>
              <w:t>Соответствие СТ законодательству РФ</w:t>
            </w:r>
          </w:p>
        </w:tc>
        <w:tc>
          <w:tcPr>
            <w:tcW w:w="3585" w:type="dxa"/>
            <w:tcBorders>
              <w:right w:val="nil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СТ предоставляемые исполнителем должны соответствовать НТД установленных законодательством РФ при эксплуатации специальной техники предоставленной Заказчику. Исполнитель должен соблюдать законодательство РФ при эксплуатации, обслуживании и предоставлении транспортных средств предоставляемых Заказчику.</w:t>
            </w:r>
          </w:p>
        </w:tc>
        <w:tc>
          <w:tcPr>
            <w:tcW w:w="1800" w:type="dxa"/>
            <w:vMerge w:val="continue"/>
            <w:tcBorders>
              <w:right w:val="nil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554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819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6"/>
              </w:numPr>
              <w:tabs>
                <w:tab w:val="clear" w:pos="708"/>
                <w:tab w:val="left" w:pos="-103" w:leader="none"/>
              </w:tabs>
              <w:suppressAutoHyphens w:val="true"/>
              <w:spacing w:before="60" w:after="60"/>
              <w:ind w:left="-103" w:firstLine="103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5577" w:type="dxa"/>
            <w:gridSpan w:val="3"/>
            <w:tcBorders>
              <w:right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2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Требования к ответственности и гарантиям исполнителя</w:t>
            </w:r>
          </w:p>
        </w:tc>
        <w:tc>
          <w:tcPr>
            <w:tcW w:w="1800" w:type="dxa"/>
            <w:vMerge w:val="continue"/>
            <w:tcBorders>
              <w:right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20" w:after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554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20" w:after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819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6"/>
              </w:numPr>
              <w:suppressAutoHyphens w:val="true"/>
              <w:spacing w:before="60" w:after="60"/>
              <w:contextualSpacing/>
              <w:jc w:val="left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1992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Обязанности Исполнителя</w:t>
            </w:r>
          </w:p>
        </w:tc>
        <w:tc>
          <w:tcPr>
            <w:tcW w:w="3585" w:type="dxa"/>
            <w:tcBorders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 xml:space="preserve">Исполнитель обязан нести все расходы, связанные с эксплуатацией СТ,  включая, но не ограничиваясь расходы на заработную плату членам экипажей, оплату топлива, горюче-смазочных материалов и эксплуатационных жидкостей, оплату ремонта и запасных частей для СТ, оплату стоимости налоговых пошлин, страховых сборов, оплату штрафов, и иных расходов, возникающих в связи с эксплуатацией СТ. </w:t>
            </w:r>
            <w:r>
              <w:rPr>
                <w:rFonts w:eastAsia="Times New Roman" w:cs="Times New Roman"/>
                <w:bCs/>
                <w:kern w:val="0"/>
                <w:sz w:val="24"/>
                <w:szCs w:val="24"/>
                <w:lang w:val="ru-RU" w:eastAsia="ru-RU" w:bidi="ar-SA"/>
              </w:rPr>
              <w:t xml:space="preserve">Предоставляемая СТ должна находиться в технически исправном состоянии с заправкой ГСМ и необходимой документацией (в т.ч. путевым листом), укомплектованная необходимыми вспомогательными средствами: огнетушителем, аварийным знаком, аптечкой со </w:t>
            </w: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средствами первой доврачебной помощи</w:t>
            </w:r>
            <w:r>
              <w:rPr>
                <w:rFonts w:eastAsia="Times New Roman" w:cs="Times New Roman"/>
                <w:bCs/>
                <w:kern w:val="0"/>
                <w:sz w:val="24"/>
                <w:szCs w:val="24"/>
                <w:lang w:val="ru-RU" w:eastAsia="ru-RU" w:bidi="ar-SA"/>
              </w:rPr>
              <w:t>, в соответствии с согласованными Сторонами в Заявке временем и местом подачи. Исполнитель несет ответственность за техническое состояние СТ. Исполнитель должен обеспечить соблюдение водителями (машинистами) правил и инструкций по охране труда, безопасности дорожного движения, пожарной и электробезопасности, промышленной безопасности во время оказания услуг. Исполнитель несет ответственность за соблюдение действующих норм и правил при работе с ГПМ. Исполнитель обязан при невозможности предоставления СТ, согласованной в Заявке (ДТП, постановка в ремонт / на техническое обслуживание, угон СТ, иные причины) незамедлительно уведомить об этом Заказчика и по согласованию с Заказчиком предоставить подменную СТ с аналогичными техническими характеристиками в срок не позднее 1 часа с момента ДТП постановка в ремонт / на техническое обслуживание, угон СТ, иные причины, соответствующими условиям Договора и на условиях, согласованных в Заявках. Время простоя, СТ, не оплачивается.</w:t>
            </w:r>
          </w:p>
        </w:tc>
        <w:tc>
          <w:tcPr>
            <w:tcW w:w="1800" w:type="dxa"/>
            <w:vMerge w:val="continue"/>
            <w:tcBorders>
              <w:right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554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819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6"/>
              </w:numPr>
              <w:suppressAutoHyphens w:val="true"/>
              <w:spacing w:before="60" w:after="60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5577" w:type="dxa"/>
            <w:gridSpan w:val="3"/>
            <w:tcBorders>
              <w:right w:val="nil"/>
            </w:tcBorders>
            <w:vAlign w:val="center"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Требования к исполнителю (и соисполнителям) и его обязательствам, влияющим на исполнение договора</w:t>
            </w:r>
          </w:p>
        </w:tc>
        <w:tc>
          <w:tcPr>
            <w:tcW w:w="1800" w:type="dxa"/>
            <w:vMerge w:val="continue"/>
            <w:tcBorders>
              <w:right w:val="nil"/>
            </w:tcBorders>
            <w:vAlign w:val="center"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554" w:type="dxa"/>
            <w:vMerge w:val="continue"/>
            <w:tcBorders/>
            <w:vAlign w:val="center"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819" w:type="dxa"/>
            <w:tcBorders>
              <w:top w:val="nil"/>
            </w:tcBorders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6"/>
              </w:numPr>
              <w:suppressAutoHyphens w:val="true"/>
              <w:spacing w:before="60" w:after="60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1992" w:type="dxa"/>
            <w:gridSpan w:val="2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Исполнение договорных обязательств</w:t>
            </w:r>
          </w:p>
        </w:tc>
        <w:tc>
          <w:tcPr>
            <w:tcW w:w="3585" w:type="dxa"/>
            <w:tcBorders>
              <w:top w:val="nil"/>
              <w:right w:val="nil"/>
            </w:tcBorders>
            <w:shd w:color="auto" w:fill="auto" w:val="clear"/>
          </w:tcPr>
          <w:p>
            <w:pPr>
              <w:pStyle w:val="Style30"/>
              <w:keepNext w:val="false"/>
              <w:widowControl w:val="false"/>
              <w:numPr>
                <w:ilvl w:val="0"/>
                <w:numId w:val="0"/>
              </w:numPr>
              <w:suppressAutoHyphens w:val="true"/>
              <w:spacing w:before="0" w:after="60"/>
              <w:ind w:left="0" w:hanging="0"/>
              <w:jc w:val="both"/>
              <w:outlineLvl w:val="2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b w:val="false"/>
                <w:kern w:val="0"/>
                <w:sz w:val="24"/>
                <w:szCs w:val="24"/>
                <w:lang w:val="ru-RU" w:eastAsia="ru-RU" w:bidi="ar-SA"/>
              </w:rPr>
              <w:t xml:space="preserve">На стадии исполнения подписанного сторонами договора, после получения согласованной Заявки,  Исполнитель обязан незамедлительно предоставить официальной письмо с разъяснением причины </w:t>
            </w:r>
            <w:r>
              <w:rPr>
                <w:rFonts w:eastAsia="Times New Roman" w:cs="Times New Roman"/>
                <w:b w:val="false"/>
                <w:bCs/>
                <w:kern w:val="0"/>
                <w:sz w:val="24"/>
                <w:szCs w:val="24"/>
                <w:lang w:val="ru-RU" w:eastAsia="ru-RU" w:bidi="ar-SA"/>
              </w:rPr>
              <w:t>невозможности предоставления СТ и описанием ПС предоставляемом на замену.</w:t>
            </w:r>
          </w:p>
        </w:tc>
        <w:tc>
          <w:tcPr>
            <w:tcW w:w="1800" w:type="dxa"/>
            <w:vMerge w:val="continue"/>
            <w:tcBorders>
              <w:right w:val="nil"/>
            </w:tcBorders>
            <w:vAlign w:val="center"/>
          </w:tcPr>
          <w:p>
            <w:pPr>
              <w:pStyle w:val="Style30"/>
              <w:keepNext w:val="false"/>
              <w:widowControl w:val="false"/>
              <w:numPr>
                <w:ilvl w:val="0"/>
                <w:numId w:val="0"/>
              </w:numPr>
              <w:suppressAutoHyphens w:val="true"/>
              <w:spacing w:before="0" w:after="60"/>
              <w:ind w:left="0" w:hanging="0"/>
              <w:jc w:val="both"/>
              <w:outlineLvl w:val="2"/>
              <w:rPr>
                <w:rFonts w:eastAsia="Times New Roman"/>
                <w:lang w:val="ru-RU" w:eastAsia="ru-RU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1554" w:type="dxa"/>
            <w:vMerge w:val="continue"/>
            <w:tcBorders/>
            <w:vAlign w:val="center"/>
          </w:tcPr>
          <w:p>
            <w:pPr>
              <w:pStyle w:val="Style30"/>
              <w:keepNext w:val="false"/>
              <w:widowControl w:val="false"/>
              <w:numPr>
                <w:ilvl w:val="0"/>
                <w:numId w:val="0"/>
              </w:numPr>
              <w:suppressAutoHyphens w:val="true"/>
              <w:spacing w:before="0" w:after="60"/>
              <w:ind w:left="0" w:hanging="0"/>
              <w:jc w:val="both"/>
              <w:outlineLvl w:val="2"/>
              <w:rPr>
                <w:rFonts w:eastAsia="Times New Roman"/>
                <w:lang w:val="ru-RU" w:eastAsia="ru-RU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</w:tr>
      <w:tr>
        <w:trPr/>
        <w:tc>
          <w:tcPr>
            <w:tcW w:w="819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6"/>
              </w:numPr>
              <w:suppressAutoHyphens w:val="true"/>
              <w:spacing w:before="60" w:after="60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5577" w:type="dxa"/>
            <w:gridSpan w:val="3"/>
            <w:tcBorders>
              <w:right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Прочие требования к оказанию услуг</w:t>
            </w:r>
          </w:p>
        </w:tc>
        <w:tc>
          <w:tcPr>
            <w:tcW w:w="1800" w:type="dxa"/>
            <w:vMerge w:val="continue"/>
            <w:tcBorders>
              <w:right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554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819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6"/>
              </w:numPr>
              <w:suppressAutoHyphens w:val="true"/>
              <w:spacing w:before="60" w:after="60"/>
              <w:ind w:left="-117" w:firstLine="142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1992" w:type="dxa"/>
            <w:gridSpan w:val="2"/>
            <w:tcBorders/>
            <w:vAlign w:val="center"/>
          </w:tcPr>
          <w:p>
            <w:pPr>
              <w:pStyle w:val="Style30"/>
              <w:keepNext w:val="false"/>
              <w:widowControl w:val="false"/>
              <w:numPr>
                <w:ilvl w:val="0"/>
                <w:numId w:val="0"/>
              </w:numPr>
              <w:suppressAutoHyphens w:val="true"/>
              <w:spacing w:before="0" w:after="60"/>
              <w:ind w:left="0" w:hanging="0"/>
              <w:jc w:val="both"/>
              <w:outlineLvl w:val="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/>
                <w:b w:val="false"/>
                <w:kern w:val="0"/>
                <w:sz w:val="24"/>
                <w:szCs w:val="24"/>
                <w:lang w:val="ru-RU" w:eastAsia="ru-RU" w:bidi="ar-SA"/>
              </w:rPr>
              <w:t>Стоимость за 1 маш/час</w:t>
            </w:r>
          </w:p>
        </w:tc>
        <w:tc>
          <w:tcPr>
            <w:tcW w:w="3585" w:type="dxa"/>
            <w:tcBorders>
              <w:right w:val="nil"/>
            </w:tcBorders>
            <w:vAlign w:val="center"/>
          </w:tcPr>
          <w:p>
            <w:pPr>
              <w:pStyle w:val="Style30"/>
              <w:keepNext w:val="false"/>
              <w:widowControl w:val="false"/>
              <w:numPr>
                <w:ilvl w:val="0"/>
                <w:numId w:val="0"/>
              </w:numPr>
              <w:suppressAutoHyphens w:val="true"/>
              <w:spacing w:before="0" w:after="60"/>
              <w:ind w:left="0" w:hanging="0"/>
              <w:jc w:val="both"/>
              <w:outlineLvl w:val="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/>
                <w:b w:val="false"/>
                <w:kern w:val="0"/>
                <w:sz w:val="24"/>
                <w:szCs w:val="24"/>
                <w:lang w:val="ru-RU" w:eastAsia="ru-RU" w:bidi="ar-SA"/>
              </w:rPr>
              <w:t>Стоимость 1 маш/час является фиксированной и постоянной на протяжении всего срока действия договора.</w:t>
            </w:r>
          </w:p>
          <w:p>
            <w:pPr>
              <w:pStyle w:val="Style30"/>
              <w:widowControl w:val="false"/>
              <w:numPr>
                <w:ilvl w:val="0"/>
                <w:numId w:val="0"/>
              </w:numPr>
              <w:suppressAutoHyphens w:val="true"/>
              <w:spacing w:before="0" w:after="60"/>
              <w:ind w:left="0" w:hanging="0"/>
              <w:jc w:val="both"/>
              <w:outlineLvl w:val="2"/>
              <w:rPr>
                <w:rFonts w:ascii="Times New Roman" w:hAnsi="Times New Roman" w:eastAsia="Times New Roman" w:cs="Times New Roman"/>
                <w:b w:val="false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b w:val="false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1800" w:type="dxa"/>
            <w:vMerge w:val="continue"/>
            <w:tcBorders>
              <w:right w:val="nil"/>
            </w:tcBorders>
            <w:vAlign w:val="center"/>
          </w:tcPr>
          <w:p>
            <w:pPr>
              <w:pStyle w:val="Style30"/>
              <w:keepNext w:val="false"/>
              <w:widowControl w:val="false"/>
              <w:numPr>
                <w:ilvl w:val="0"/>
                <w:numId w:val="0"/>
              </w:numPr>
              <w:suppressAutoHyphens w:val="true"/>
              <w:spacing w:before="0" w:after="60"/>
              <w:ind w:left="0" w:hanging="0"/>
              <w:jc w:val="both"/>
              <w:outlineLvl w:val="2"/>
              <w:rPr>
                <w:rFonts w:eastAsia="Times New Roman"/>
                <w:lang w:val="ru-RU" w:eastAsia="ru-RU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1554" w:type="dxa"/>
            <w:vMerge w:val="continue"/>
            <w:tcBorders/>
            <w:vAlign w:val="center"/>
          </w:tcPr>
          <w:p>
            <w:pPr>
              <w:pStyle w:val="Style30"/>
              <w:keepNext w:val="false"/>
              <w:widowControl w:val="false"/>
              <w:numPr>
                <w:ilvl w:val="0"/>
                <w:numId w:val="0"/>
              </w:numPr>
              <w:suppressAutoHyphens w:val="true"/>
              <w:spacing w:before="0" w:after="60"/>
              <w:ind w:left="0" w:hanging="0"/>
              <w:jc w:val="both"/>
              <w:outlineLvl w:val="2"/>
              <w:rPr>
                <w:rFonts w:eastAsia="Times New Roman"/>
                <w:lang w:val="ru-RU" w:eastAsia="ru-RU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</w:tr>
      <w:tr>
        <w:trPr/>
        <w:tc>
          <w:tcPr>
            <w:tcW w:w="819" w:type="dxa"/>
            <w:tcBorders>
              <w:top w:val="nil"/>
            </w:tcBorders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6"/>
              </w:numPr>
              <w:suppressAutoHyphens w:val="true"/>
              <w:spacing w:before="60" w:after="60"/>
              <w:ind w:left="-117" w:firstLine="142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1992" w:type="dxa"/>
            <w:gridSpan w:val="2"/>
            <w:tcBorders>
              <w:top w:val="nil"/>
            </w:tcBorders>
            <w:vAlign w:val="center"/>
          </w:tcPr>
          <w:p>
            <w:pPr>
              <w:pStyle w:val="Style30"/>
              <w:keepNext w:val="false"/>
              <w:widowControl w:val="false"/>
              <w:numPr>
                <w:ilvl w:val="0"/>
                <w:numId w:val="0"/>
              </w:numPr>
              <w:suppressAutoHyphens w:val="true"/>
              <w:spacing w:before="0" w:after="60"/>
              <w:ind w:left="0" w:hanging="0"/>
              <w:jc w:val="both"/>
              <w:outlineLvl w:val="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/>
                <w:b w:val="false"/>
                <w:kern w:val="0"/>
                <w:sz w:val="24"/>
                <w:szCs w:val="24"/>
                <w:lang w:val="ru-RU" w:eastAsia="ru-RU" w:bidi="ar-SA"/>
              </w:rPr>
              <w:t>Учет времени</w:t>
            </w:r>
          </w:p>
        </w:tc>
        <w:tc>
          <w:tcPr>
            <w:tcW w:w="3585" w:type="dxa"/>
            <w:tcBorders>
              <w:top w:val="nil"/>
              <w:right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ind w:left="108" w:hanging="108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Учет времени эксплуатации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СТ производится по факту отработанного времени, указанному в путевых листах, подписанных Заказчиком. Доставка до места работы СТ не оплачивается. Минимальная заявка  на СТ -1 маш</w:t>
            </w:r>
            <w:r>
              <w:rPr>
                <w:rFonts w:eastAsia="Times New Roman" w:cs="Times New Roman"/>
                <w:kern w:val="0"/>
                <w:sz w:val="24"/>
                <w:szCs w:val="24"/>
                <w:lang w:val="en-US" w:eastAsia="ru-RU" w:bidi="ar-SA"/>
              </w:rPr>
              <w:t>/</w:t>
            </w: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час.</w:t>
            </w:r>
          </w:p>
        </w:tc>
        <w:tc>
          <w:tcPr>
            <w:tcW w:w="1800" w:type="dxa"/>
            <w:vMerge w:val="continue"/>
            <w:tcBorders>
              <w:right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ind w:left="108" w:hanging="10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554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ind w:left="108" w:hanging="10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</w:tbl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Heading1"/>
        <w:ind w:left="567" w:hanging="0"/>
        <w:jc w:val="center"/>
        <w:rPr>
          <w:sz w:val="24"/>
          <w:szCs w:val="24"/>
        </w:rPr>
      </w:pPr>
      <w:r>
        <w:rPr>
          <w:b/>
          <w:sz w:val="24"/>
          <w:szCs w:val="24"/>
        </w:rPr>
        <w:t xml:space="preserve">3. </w:t>
      </w:r>
      <w:bookmarkStart w:id="30" w:name="_Toc54279844"/>
      <w:bookmarkStart w:id="31" w:name="_Toc54643469"/>
      <w:r>
        <w:rPr>
          <w:b/>
          <w:sz w:val="24"/>
          <w:szCs w:val="24"/>
        </w:rPr>
        <w:t>Требования к документации по ценообразованию на этапе закупки</w:t>
      </w:r>
      <w:bookmarkEnd w:id="30"/>
      <w:bookmarkEnd w:id="31"/>
      <w:r>
        <w:rPr>
          <w:b/>
          <w:sz w:val="24"/>
          <w:szCs w:val="24"/>
          <w:lang w:val="ru-RU"/>
        </w:rPr>
        <w:t>.</w:t>
      </w:r>
    </w:p>
    <w:p>
      <w:pPr>
        <w:pStyle w:val="Normal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3.1. </w:t>
      </w:r>
      <w:r>
        <w:rPr>
          <w:iCs/>
          <w:sz w:val="24"/>
          <w:szCs w:val="24"/>
        </w:rPr>
        <w:t>В обоснование стоимости своей заявки Участник предоставляет Коммерческое предложение (с учетом прилагаемой к ней инструкции по заполнению), приведенной в Документации о закупке.</w:t>
      </w:r>
      <w:bookmarkStart w:id="32" w:name="_GoBack"/>
      <w:bookmarkEnd w:id="32"/>
    </w:p>
    <w:p>
      <w:pPr>
        <w:pStyle w:val="Normal"/>
        <w:jc w:val="both"/>
        <w:rPr>
          <w:sz w:val="24"/>
          <w:szCs w:val="24"/>
        </w:rPr>
      </w:pPr>
      <w:r>
        <w:rPr>
          <w:iCs/>
          <w:sz w:val="24"/>
          <w:szCs w:val="24"/>
        </w:rPr>
        <w:t>3.2. Дополнительные документы по ценообразованию в состав заявки не включаются.</w:t>
      </w:r>
    </w:p>
    <w:sectPr>
      <w:headerReference w:type="even" r:id="rId2"/>
      <w:headerReference w:type="default" r:id="rId3"/>
      <w:footerReference w:type="default" r:id="rId4"/>
      <w:type w:val="nextPage"/>
      <w:pgSz w:w="11906" w:h="16838"/>
      <w:pgMar w:left="1418" w:right="849" w:gutter="0" w:header="680" w:top="737" w:footer="220" w:bottom="709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mbria">
    <w:charset w:val="01"/>
    <w:family w:val="roman"/>
    <w:pitch w:val="variable"/>
  </w:font>
  <w:font w:name="Arial"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Tahoma">
    <w:charset w:val="01"/>
    <w:family w:val="roman"/>
    <w:pitch w:val="variable"/>
  </w:font>
  <w:font w:name="Arial Unicode MS">
    <w:charset w:val="01"/>
    <w:family w:val="roman"/>
    <w:pitch w:val="variable"/>
  </w:font>
  <w:font w:name="Verdana">
    <w:charset w:val="01"/>
    <w:family w:val="roman"/>
    <w:pitch w:val="variable"/>
  </w:font>
  <w:font w:name="Garamond">
    <w:charset w:val="01"/>
    <w:family w:val="roman"/>
    <w:pitch w:val="variable"/>
  </w:font>
  <w:font w:name="Liberation Mono">
    <w:altName w:val="Courier New"/>
    <w:charset w:val="01"/>
    <w:family w:val="roman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default"/>
  </w:font>
  <w:font w:name="Symbol">
    <w:charset w:val="02"/>
    <w:family w:val="auto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sdt>
    <w:sdtPr>
      <w:docPartObj>
        <w:docPartGallery w:val="Page Numbers (Bottom of Page)"/>
        <w:docPartUnique w:val="true"/>
      </w:docPartObj>
      <w:id w:val="1835529686"/>
    </w:sdtPr>
    <w:sdtContent>
      <w:p>
        <w:pPr>
          <w:pStyle w:val="Footer"/>
          <w:jc w:val="right"/>
          <w:rPr>
            <w:sz w:val="24"/>
            <w:szCs w:val="24"/>
          </w:rPr>
        </w:pPr>
        <w:r>
          <w:rPr/>
          <w:fldChar w:fldCharType="begin"/>
        </w:r>
        <w:r>
          <w:rPr/>
          <w:instrText xml:space="preserve"> PAGE </w:instrText>
        </w:r>
        <w:r>
          <w:rPr/>
          <w:fldChar w:fldCharType="separate"/>
        </w:r>
        <w:r>
          <w:rPr/>
          <w:t>10</w:t>
        </w:r>
        <w:r>
          <w:rPr/>
          <w:fldChar w:fldCharType="end"/>
        </w:r>
      </w:p>
    </w:sdtContent>
  </w:sdt>
  <w:p>
    <w:pPr>
      <w:pStyle w:val="Footer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0" allowOverlap="1" relativeHeight="2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1" name="Врезка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760" cy="147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t>0</w: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Врезка1" path="m0,0l-2147483645,0l-2147483645,-2147483646l0,-2147483646xe" stroked="f" o:allowincell="f" style="position:absolute;margin-left:0pt;margin-top:0.05pt;width:1.1pt;height:1.1pt;mso-wrap-style:square;v-text-anchor:top;mso-position-horizontal:center;mso-position-horizontal-relative:margin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Header"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  <w:color w:val="000000"/>
                      </w:rPr>
                      <w:fldChar w:fldCharType="begin"/>
                    </w:r>
                    <w:r>
                      <w:rPr>
                        <w:rStyle w:val="Pagenumber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Pagenumber"/>
                        <w:color w:val="000000"/>
                      </w:rPr>
                      <w:fldChar w:fldCharType="separate"/>
                    </w:r>
                    <w:r>
                      <w:rPr>
                        <w:rStyle w:val="Pagenumber"/>
                        <w:color w:val="000000"/>
                      </w:rPr>
                      <w:t>0</w:t>
                    </w:r>
                    <w:r>
                      <w:rPr>
                        <w:rStyle w:val="Pagenumber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/>
    </w:lvl>
    <w:lvl w:ilvl="1">
      <w:start w:val="1"/>
      <w:numFmt w:val="decimal"/>
      <w:lvlText w:val="%1.%2."/>
      <w:lvlJc w:val="left"/>
      <w:pPr>
        <w:tabs>
          <w:tab w:val="num" w:pos="357"/>
        </w:tabs>
        <w:ind w:left="0" w:hanging="0"/>
      </w:pPr>
      <w:rPr/>
    </w:lvl>
    <w:lvl w:ilvl="2">
      <w:start w:val="1"/>
      <w:numFmt w:val="decimal"/>
      <w:lvlText w:val="%1.%2.%3."/>
      <w:lvlJc w:val="left"/>
      <w:pPr>
        <w:tabs>
          <w:tab w:val="num" w:pos="357"/>
        </w:tabs>
        <w:ind w:left="0" w:hanging="0"/>
      </w:pPr>
      <w:rPr/>
    </w:lvl>
    <w:lvl w:ilvl="3">
      <w:start w:val="1"/>
      <w:numFmt w:val="decimal"/>
      <w:lvlText w:val="%1.%2.%3.%4."/>
      <w:lvlJc w:val="left"/>
      <w:pPr>
        <w:tabs>
          <w:tab w:val="num" w:pos="357"/>
        </w:tabs>
        <w:ind w:left="0" w:hanging="0"/>
      </w:pPr>
      <w:rPr/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0" w:hanging="0"/>
      </w:pPr>
      <w:rPr/>
    </w:lvl>
    <w:lvl w:ilvl="5">
      <w:start w:val="1"/>
      <w:numFmt w:val="decimal"/>
      <w:lvlText w:val="%1.%2.%3.%4.%5.%6."/>
      <w:lvlJc w:val="left"/>
      <w:pPr>
        <w:tabs>
          <w:tab w:val="num" w:pos="357"/>
        </w:tabs>
        <w:ind w:left="0" w:hanging="0"/>
      </w:pPr>
      <w:rPr/>
    </w:lvl>
    <w:lvl w:ilvl="6">
      <w:start w:val="1"/>
      <w:numFmt w:val="decimal"/>
      <w:lvlText w:val="%1.%2.%3.%4.%5.%6.%7."/>
      <w:lvlJc w:val="left"/>
      <w:pPr>
        <w:tabs>
          <w:tab w:val="num" w:pos="357"/>
        </w:tabs>
        <w:ind w:left="0" w:hanging="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357"/>
        </w:tabs>
        <w:ind w:left="0" w:hanging="0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357"/>
        </w:tabs>
        <w:ind w:left="0" w:hanging="0"/>
      </w:pPr>
      <w:rPr/>
    </w:lvl>
  </w:abstractNum>
  <w:abstractNum w:abstractNumId="2">
    <w:lvl w:ilvl="0">
      <w:start w:val="4"/>
      <w:numFmt w:val="bullet"/>
      <w:lvlText w:val="-"/>
      <w:lvlJc w:val="left"/>
      <w:pPr>
        <w:tabs>
          <w:tab w:val="num" w:pos="0"/>
        </w:tabs>
        <w:ind w:left="-207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513"/>
        </w:tabs>
        <w:ind w:left="513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233"/>
        </w:tabs>
        <w:ind w:left="1233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1953"/>
        </w:tabs>
        <w:ind w:left="1953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2673"/>
        </w:tabs>
        <w:ind w:left="2673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393"/>
        </w:tabs>
        <w:ind w:left="3393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4113"/>
        </w:tabs>
        <w:ind w:left="4113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4833"/>
        </w:tabs>
        <w:ind w:left="4833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5553"/>
        </w:tabs>
        <w:ind w:left="5553" w:hanging="360"/>
      </w:pPr>
      <w:rPr>
        <w:rFonts w:ascii="Wingdings" w:hAnsi="Wingdings" w:cs="Wingdings" w:hint="default"/>
      </w:rPr>
    </w:lvl>
  </w:abstractNum>
  <w:abstractNum w:abstractNumId="3">
    <w:lvl w:ilvl="0">
      <w:start w:val="1"/>
      <w:numFmt w:val="decimal"/>
      <w:lvlText w:val="%1."/>
      <w:lvlJc w:val="left"/>
      <w:pPr>
        <w:tabs>
          <w:tab w:val="num" w:pos="0"/>
        </w:tabs>
        <w:ind w:left="4897" w:hanging="360"/>
      </w:pPr>
      <w:rPr>
        <w:smallCaps w:val="false"/>
        <w:caps w:val="false"/>
        <w:dstrike w:val="false"/>
        <w:strike w:val="false"/>
        <w:vertAlign w:val="baseline"/>
        <w:position w:val="0"/>
        <w:sz w:val="24"/>
        <w:sz w:val="24"/>
        <w:spacing w:val="0"/>
        <w:i w:val="false"/>
        <w:u w:val="none"/>
        <w:b/>
        <w:kern w:val="0"/>
        <w:effect w:val="none"/>
        <w:szCs w:val="24"/>
        <w:iCs w:val="false"/>
        <w:bCs w:val="false"/>
        <w:em w:val="none"/>
        <w:vanish w:val="false"/>
        <w:rFonts w:ascii="Times New Roman" w:hAnsi="Times New Roman" w:cs="Times New Roman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tabs>
          <w:tab w:val="num" w:pos="426"/>
        </w:tabs>
        <w:ind w:left="858" w:hanging="432"/>
      </w:pPr>
      <w:rPr>
        <w:sz w:val="24"/>
        <w:i w:val="false"/>
        <w:b/>
        <w:szCs w:val="24"/>
        <w:iCs/>
        <w:bCs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63" w:hanging="504"/>
      </w:pPr>
      <w:rPr>
        <w:sz w:val="24"/>
        <w:i w:val="false"/>
        <w:b/>
        <w:szCs w:val="24"/>
        <w:bCs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587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091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595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099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603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179" w:hanging="1440"/>
      </w:pPr>
      <w:rPr/>
    </w:lvl>
  </w:abstractNum>
  <w:abstractNum w:abstractNumId="4">
    <w:lvl w:ilvl="0">
      <w:start w:val="1"/>
      <w:numFmt w:val="decimal"/>
      <w:lvlText w:val="%1."/>
      <w:lvlJc w:val="left"/>
      <w:pPr>
        <w:tabs>
          <w:tab w:val="num" w:pos="0"/>
        </w:tabs>
        <w:ind w:left="1134" w:hanging="1134"/>
      </w:pPr>
      <w:rPr/>
    </w:lvl>
    <w:lvl w:ilvl="1">
      <w:start w:val="1"/>
      <w:numFmt w:val="decimal"/>
      <w:lvlText w:val="%1.%2."/>
      <w:lvlJc w:val="left"/>
      <w:pPr>
        <w:tabs>
          <w:tab w:val="num" w:pos="0"/>
        </w:tabs>
        <w:ind w:left="1134" w:hanging="1134"/>
      </w:pPr>
      <w:rPr/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134" w:hanging="1134"/>
      </w:pPr>
      <w:rPr/>
    </w:lvl>
    <w:lvl w:ilvl="3">
      <w:start w:val="1"/>
      <w:numFmt w:val="russianLower"/>
      <w:lvlText w:val="(%4)"/>
      <w:lvlJc w:val="left"/>
      <w:pPr>
        <w:tabs>
          <w:tab w:val="num" w:pos="0"/>
        </w:tabs>
        <w:ind w:left="1985" w:hanging="567"/>
      </w:pPr>
      <w:rPr/>
    </w:lvl>
    <w:lvl w:ilvl="4">
      <w:start w:val="1"/>
      <w:numFmt w:val="bullet"/>
      <w:lvlText w:val="–"/>
      <w:lvlJc w:val="left"/>
      <w:pPr>
        <w:tabs>
          <w:tab w:val="num" w:pos="0"/>
        </w:tabs>
        <w:ind w:left="2268" w:hanging="567"/>
      </w:pPr>
      <w:rPr>
        <w:rFonts w:ascii="Times New Roman" w:hAnsi="Times New Roman" w:cs="Times New Roman" w:hint="default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34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701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134" w:hanging="0"/>
      </w:pPr>
      <w:rPr/>
    </w:lvl>
  </w:abstractNum>
  <w:abstractNum w:abstractNumId="5">
    <w:lvl w:ilvl="0">
      <w:start w:val="1"/>
      <w:numFmt w:val="decimal"/>
      <w:lvlText w:val="1.%1"/>
      <w:lvlJc w:val="left"/>
      <w:pPr>
        <w:tabs>
          <w:tab w:val="num" w:pos="0"/>
        </w:tabs>
        <w:ind w:left="1429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2149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869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3589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4309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5029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749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6469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7189" w:hanging="180"/>
      </w:pPr>
      <w:rPr/>
    </w:lvl>
  </w:abstractNum>
  <w:abstractNum w:abstractNumId="6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sz w:val="24"/>
        <w:b/>
        <w:szCs w:val="24"/>
        <w:bCs w:val="false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432" w:hanging="432"/>
      </w:pPr>
      <w:rPr>
        <w:sz w:val="24"/>
        <w:b w:val="false"/>
        <w:szCs w:val="24"/>
        <w:bCs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55" w:hanging="504"/>
      </w:pPr>
      <w:rPr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7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w="http://schemas.openxmlformats.org/wordprocessingml/2006/main">
  <w:zoom w:percent="160"/>
  <w:defaultTabStop w:val="708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99" w:semiHidden="1" w:unhideWhenUsed="1"/>
    <w:lsdException w:name="footer" w:uiPriority="99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table of authorities" w:semiHidden="1" w:unhideWhenUsed="1"/>
    <w:lsdException w:name="macro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99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uiPriority="99" w:semiHidden="1" w:unhideWhenUsed="1"/>
    <w:lsdException w:name="E-mail Signature" w:uiPriority="99" w:semiHidden="1" w:unhideWhenUsed="1"/>
    <w:lsdException w:name="HTML Top of Form" w:semiHidden="1" w:unhideWhenUsed="1"/>
    <w:lsdException w:name="HTML Bottom of Form" w:semiHidden="1" w:unhideWhenUsed="1"/>
    <w:lsdException w:name="Normal (Web)" w:uiPriority="99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uiPriority="99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a2166f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8"/>
      <w:szCs w:val="28"/>
      <w:lang w:val="ru-RU" w:eastAsia="ru-RU" w:bidi="ar-SA"/>
    </w:rPr>
  </w:style>
  <w:style w:type="paragraph" w:styleId="Heading1">
    <w:name w:val="Heading 1"/>
    <w:basedOn w:val="Heading3"/>
    <w:next w:val="Normal"/>
    <w:link w:val="1"/>
    <w:qFormat/>
    <w:rsid w:val="00353a27"/>
    <w:pPr>
      <w:outlineLvl w:val="0"/>
    </w:pPr>
    <w:rPr>
      <w:sz w:val="28"/>
      <w:szCs w:val="28"/>
    </w:rPr>
  </w:style>
  <w:style w:type="paragraph" w:styleId="Heading2">
    <w:name w:val="Heading 2"/>
    <w:basedOn w:val="Heading4"/>
    <w:next w:val="Normal"/>
    <w:link w:val="2"/>
    <w:qFormat/>
    <w:rsid w:val="00ea61a8"/>
    <w:pPr>
      <w:outlineLvl w:val="1"/>
    </w:pPr>
    <w:rPr/>
  </w:style>
  <w:style w:type="paragraph" w:styleId="Heading3">
    <w:name w:val="Heading 3"/>
    <w:basedOn w:val="Normal"/>
    <w:next w:val="Normal"/>
    <w:link w:val="3"/>
    <w:autoRedefine/>
    <w:qFormat/>
    <w:rsid w:val="00a932e1"/>
    <w:pPr>
      <w:keepNext w:val="true"/>
      <w:tabs>
        <w:tab w:val="clear" w:pos="708"/>
        <w:tab w:val="left" w:pos="0" w:leader="none"/>
        <w:tab w:val="left" w:pos="851" w:leader="none"/>
        <w:tab w:val="left" w:pos="993" w:leader="none"/>
        <w:tab w:val="left" w:pos="1701" w:leader="none"/>
      </w:tabs>
      <w:spacing w:before="120" w:after="60"/>
      <w:jc w:val="both"/>
      <w:outlineLvl w:val="2"/>
    </w:pPr>
    <w:rPr>
      <w:rFonts w:eastAsia="Calibri"/>
      <w:sz w:val="24"/>
      <w:szCs w:val="24"/>
      <w:lang w:val="x-none" w:eastAsia="x-none"/>
    </w:rPr>
  </w:style>
  <w:style w:type="paragraph" w:styleId="Heading4">
    <w:name w:val="Heading 4"/>
    <w:basedOn w:val="Heading3"/>
    <w:next w:val="Normal"/>
    <w:link w:val="4"/>
    <w:qFormat/>
    <w:rsid w:val="006629c9"/>
    <w:pPr>
      <w:outlineLvl w:val="3"/>
    </w:pPr>
    <w:rPr/>
  </w:style>
  <w:style w:type="paragraph" w:styleId="Heading5">
    <w:name w:val="Heading 5"/>
    <w:basedOn w:val="Normal"/>
    <w:next w:val="Normal"/>
    <w:link w:val="5"/>
    <w:uiPriority w:val="9"/>
    <w:qFormat/>
    <w:rsid w:val="0076353a"/>
    <w:pPr>
      <w:spacing w:before="240" w:after="60"/>
      <w:outlineLvl w:val="4"/>
    </w:pPr>
    <w:rPr>
      <w:b/>
      <w:bCs/>
      <w:i/>
      <w:iCs/>
      <w:sz w:val="26"/>
      <w:szCs w:val="26"/>
      <w:lang w:val="x-none" w:eastAsia="x-none"/>
    </w:rPr>
  </w:style>
  <w:style w:type="paragraph" w:styleId="Heading6">
    <w:name w:val="Heading 6"/>
    <w:basedOn w:val="Normal"/>
    <w:next w:val="Normal"/>
    <w:link w:val="6"/>
    <w:uiPriority w:val="9"/>
    <w:qFormat/>
    <w:rsid w:val="00d22f6d"/>
    <w:pPr>
      <w:keepNext w:val="true"/>
      <w:keepLines/>
      <w:spacing w:before="200" w:after="0"/>
      <w:outlineLvl w:val="5"/>
    </w:pPr>
    <w:rPr>
      <w:rFonts w:ascii="Cambria" w:hAnsi="Cambria"/>
      <w:i/>
      <w:iCs/>
      <w:color w:val="243F60"/>
      <w:sz w:val="20"/>
      <w:szCs w:val="20"/>
      <w:lang w:val="x-none" w:eastAsia="x-none"/>
    </w:rPr>
  </w:style>
  <w:style w:type="paragraph" w:styleId="Heading7">
    <w:name w:val="Heading 7"/>
    <w:basedOn w:val="Normal"/>
    <w:next w:val="Normal"/>
    <w:link w:val="7"/>
    <w:uiPriority w:val="9"/>
    <w:qFormat/>
    <w:rsid w:val="00d22f6d"/>
    <w:pPr>
      <w:keepNext w:val="true"/>
      <w:keepLines/>
      <w:spacing w:before="200" w:after="0"/>
      <w:outlineLvl w:val="6"/>
    </w:pPr>
    <w:rPr>
      <w:rFonts w:ascii="Cambria" w:hAnsi="Cambria"/>
      <w:i/>
      <w:iCs/>
      <w:color w:val="404040"/>
      <w:sz w:val="20"/>
      <w:szCs w:val="20"/>
      <w:lang w:val="x-none" w:eastAsia="x-none"/>
    </w:rPr>
  </w:style>
  <w:style w:type="paragraph" w:styleId="Heading8">
    <w:name w:val="Heading 8"/>
    <w:basedOn w:val="Normal"/>
    <w:next w:val="Normal"/>
    <w:link w:val="8"/>
    <w:uiPriority w:val="9"/>
    <w:qFormat/>
    <w:rsid w:val="00d22f6d"/>
    <w:pPr>
      <w:keepNext w:val="true"/>
      <w:keepLines/>
      <w:spacing w:before="200" w:after="0"/>
      <w:outlineLvl w:val="7"/>
    </w:pPr>
    <w:rPr>
      <w:rFonts w:ascii="Cambria" w:hAnsi="Cambria"/>
      <w:color w:val="4F81BD"/>
      <w:sz w:val="20"/>
      <w:szCs w:val="20"/>
      <w:lang w:val="x-none" w:eastAsia="x-none"/>
    </w:rPr>
  </w:style>
  <w:style w:type="paragraph" w:styleId="Heading9">
    <w:name w:val="Heading 9"/>
    <w:basedOn w:val="Normal"/>
    <w:next w:val="Normal"/>
    <w:link w:val="9"/>
    <w:uiPriority w:val="9"/>
    <w:qFormat/>
    <w:rsid w:val="0076353a"/>
    <w:pPr>
      <w:spacing w:before="240" w:after="60"/>
      <w:outlineLvl w:val="8"/>
    </w:pPr>
    <w:rPr>
      <w:rFonts w:ascii="Arial" w:hAnsi="Arial"/>
      <w:sz w:val="22"/>
      <w:szCs w:val="22"/>
      <w:lang w:val="x-none" w:eastAsia="x-none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" w:customStyle="1">
    <w:name w:val="Символ сноски"/>
    <w:qFormat/>
    <w:rsid w:val="00d561d9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Pagenumber">
    <w:name w:val="page number"/>
    <w:basedOn w:val="DefaultParagraphFont"/>
    <w:qFormat/>
    <w:rsid w:val="006c2f3f"/>
    <w:rPr/>
  </w:style>
  <w:style w:type="character" w:styleId="Hyperlink">
    <w:name w:val="Hyperlink"/>
    <w:uiPriority w:val="99"/>
    <w:rsid w:val="006c2f3f"/>
    <w:rPr>
      <w:color w:val="0000FF"/>
      <w:u w:val="single"/>
    </w:rPr>
  </w:style>
  <w:style w:type="character" w:styleId="Annotationreference">
    <w:name w:val="annotation reference"/>
    <w:semiHidden/>
    <w:qFormat/>
    <w:rsid w:val="00b714b0"/>
    <w:rPr>
      <w:sz w:val="16"/>
      <w:szCs w:val="16"/>
    </w:rPr>
  </w:style>
  <w:style w:type="character" w:styleId="Strong">
    <w:name w:val="Strong"/>
    <w:uiPriority w:val="22"/>
    <w:qFormat/>
    <w:rsid w:val="00165965"/>
    <w:rPr>
      <w:b/>
      <w:bCs/>
    </w:rPr>
  </w:style>
  <w:style w:type="character" w:styleId="6" w:customStyle="1">
    <w:name w:val="Заголовок 6 Знак"/>
    <w:uiPriority w:val="9"/>
    <w:qFormat/>
    <w:rsid w:val="00d22f6d"/>
    <w:rPr>
      <w:rFonts w:ascii="Cambria" w:hAnsi="Cambria"/>
      <w:i/>
      <w:iCs/>
      <w:color w:val="243F60"/>
      <w:lang w:val="x-none" w:eastAsia="x-none"/>
    </w:rPr>
  </w:style>
  <w:style w:type="character" w:styleId="7" w:customStyle="1">
    <w:name w:val="Заголовок 7 Знак"/>
    <w:uiPriority w:val="9"/>
    <w:qFormat/>
    <w:rsid w:val="00d22f6d"/>
    <w:rPr>
      <w:rFonts w:ascii="Cambria" w:hAnsi="Cambria"/>
      <w:i/>
      <w:iCs/>
      <w:color w:val="404040"/>
      <w:lang w:val="x-none" w:eastAsia="x-none"/>
    </w:rPr>
  </w:style>
  <w:style w:type="character" w:styleId="8" w:customStyle="1">
    <w:name w:val="Заголовок 8 Знак"/>
    <w:uiPriority w:val="9"/>
    <w:qFormat/>
    <w:rsid w:val="00d22f6d"/>
    <w:rPr>
      <w:rFonts w:ascii="Cambria" w:hAnsi="Cambria"/>
      <w:color w:val="4F81BD"/>
      <w:lang w:val="x-none" w:eastAsia="x-none"/>
    </w:rPr>
  </w:style>
  <w:style w:type="character" w:styleId="1" w:customStyle="1">
    <w:name w:val="Заголовок 1 Знак"/>
    <w:qFormat/>
    <w:rsid w:val="00353a27"/>
    <w:rPr>
      <w:rFonts w:eastAsia="Calibri"/>
      <w:b/>
      <w:sz w:val="28"/>
      <w:szCs w:val="28"/>
      <w:lang w:val="x-none" w:eastAsia="x-none"/>
    </w:rPr>
  </w:style>
  <w:style w:type="character" w:styleId="2" w:customStyle="1">
    <w:name w:val="Заголовок 2 Знак"/>
    <w:qFormat/>
    <w:rsid w:val="00ea61a8"/>
    <w:rPr>
      <w:rFonts w:eastAsia="Calibri"/>
      <w:sz w:val="24"/>
      <w:szCs w:val="24"/>
      <w:lang w:val="x-none" w:eastAsia="x-none"/>
    </w:rPr>
  </w:style>
  <w:style w:type="character" w:styleId="3" w:customStyle="1">
    <w:name w:val="Заголовок 3 Знак"/>
    <w:qFormat/>
    <w:rsid w:val="00a932e1"/>
    <w:rPr>
      <w:rFonts w:eastAsia="Calibri"/>
      <w:bCs/>
      <w:sz w:val="24"/>
      <w:szCs w:val="24"/>
      <w:lang w:val="x-none" w:eastAsia="x-none"/>
    </w:rPr>
  </w:style>
  <w:style w:type="character" w:styleId="4" w:customStyle="1">
    <w:name w:val="Заголовок 4 Знак"/>
    <w:qFormat/>
    <w:rsid w:val="006629c9"/>
    <w:rPr>
      <w:rFonts w:eastAsia="Calibri"/>
      <w:b/>
      <w:bCs/>
      <w:sz w:val="24"/>
      <w:szCs w:val="24"/>
      <w:lang w:val="x-none" w:eastAsia="x-none"/>
    </w:rPr>
  </w:style>
  <w:style w:type="character" w:styleId="5" w:customStyle="1">
    <w:name w:val="Заголовок 5 Знак"/>
    <w:uiPriority w:val="9"/>
    <w:qFormat/>
    <w:rsid w:val="00d22f6d"/>
    <w:rPr>
      <w:b/>
      <w:bCs/>
      <w:i/>
      <w:iCs/>
      <w:sz w:val="26"/>
      <w:szCs w:val="26"/>
    </w:rPr>
  </w:style>
  <w:style w:type="character" w:styleId="9" w:customStyle="1">
    <w:name w:val="Заголовок 9 Знак"/>
    <w:uiPriority w:val="9"/>
    <w:qFormat/>
    <w:rsid w:val="00d22f6d"/>
    <w:rPr>
      <w:rFonts w:ascii="Arial" w:hAnsi="Arial" w:cs="Arial"/>
      <w:sz w:val="22"/>
      <w:szCs w:val="22"/>
    </w:rPr>
  </w:style>
  <w:style w:type="character" w:styleId="Style1" w:customStyle="1">
    <w:name w:val="Название Знак"/>
    <w:link w:val="15"/>
    <w:uiPriority w:val="10"/>
    <w:qFormat/>
    <w:rsid w:val="00d22f6d"/>
    <w:rPr>
      <w:sz w:val="28"/>
    </w:rPr>
  </w:style>
  <w:style w:type="character" w:styleId="Style2" w:customStyle="1">
    <w:name w:val="Подзаголовок Знак"/>
    <w:uiPriority w:val="11"/>
    <w:qFormat/>
    <w:rsid w:val="00d22f6d"/>
    <w:rPr>
      <w:rFonts w:ascii="Cambria" w:hAnsi="Cambria"/>
      <w:i/>
      <w:iCs/>
      <w:color w:val="4F81BD"/>
      <w:spacing w:val="15"/>
      <w:sz w:val="24"/>
      <w:szCs w:val="24"/>
      <w:lang w:val="x-none" w:eastAsia="x-none"/>
    </w:rPr>
  </w:style>
  <w:style w:type="character" w:styleId="Emphasis">
    <w:name w:val="Emphasis"/>
    <w:uiPriority w:val="20"/>
    <w:qFormat/>
    <w:rsid w:val="00d22f6d"/>
    <w:rPr>
      <w:i/>
      <w:iCs/>
    </w:rPr>
  </w:style>
  <w:style w:type="character" w:styleId="21" w:customStyle="1">
    <w:name w:val="Цитата 2 Знак"/>
    <w:link w:val="Quote"/>
    <w:uiPriority w:val="29"/>
    <w:qFormat/>
    <w:rsid w:val="00d22f6d"/>
    <w:rPr>
      <w:rFonts w:ascii="Calibri" w:hAnsi="Calibri" w:eastAsia="Calibri"/>
      <w:i/>
      <w:iCs/>
      <w:color w:val="000000"/>
      <w:lang w:val="x-none" w:eastAsia="x-none"/>
    </w:rPr>
  </w:style>
  <w:style w:type="character" w:styleId="Style3" w:customStyle="1">
    <w:name w:val="Выделенная цитата Знак"/>
    <w:link w:val="IntenseQuote"/>
    <w:uiPriority w:val="30"/>
    <w:qFormat/>
    <w:rsid w:val="00d22f6d"/>
    <w:rPr>
      <w:rFonts w:ascii="Calibri" w:hAnsi="Calibri" w:eastAsia="Calibri"/>
      <w:b/>
      <w:bCs/>
      <w:i/>
      <w:iCs/>
      <w:color w:val="4F81BD"/>
      <w:lang w:val="x-none" w:eastAsia="x-none"/>
    </w:rPr>
  </w:style>
  <w:style w:type="character" w:styleId="SubtleEmphasis">
    <w:name w:val="Subtle Emphasis"/>
    <w:uiPriority w:val="19"/>
    <w:qFormat/>
    <w:rsid w:val="00d22f6d"/>
    <w:rPr>
      <w:i/>
      <w:iCs/>
      <w:color w:val="808080"/>
    </w:rPr>
  </w:style>
  <w:style w:type="character" w:styleId="IntenseEmphasis">
    <w:name w:val="Intense Emphasis"/>
    <w:uiPriority w:val="21"/>
    <w:qFormat/>
    <w:rsid w:val="00d22f6d"/>
    <w:rPr>
      <w:b/>
      <w:bCs/>
      <w:i/>
      <w:iCs/>
      <w:color w:val="4F81BD"/>
    </w:rPr>
  </w:style>
  <w:style w:type="character" w:styleId="SubtleReference">
    <w:name w:val="Subtle Reference"/>
    <w:uiPriority w:val="31"/>
    <w:qFormat/>
    <w:rsid w:val="00d22f6d"/>
    <w:rPr>
      <w:smallCaps/>
      <w:color w:val="C0504D"/>
      <w:u w:val="single"/>
    </w:rPr>
  </w:style>
  <w:style w:type="character" w:styleId="IntenseReference">
    <w:name w:val="Intense Reference"/>
    <w:uiPriority w:val="32"/>
    <w:qFormat/>
    <w:rsid w:val="00d22f6d"/>
    <w:rPr>
      <w:b/>
      <w:bCs/>
      <w:smallCaps/>
      <w:color w:val="C0504D"/>
      <w:spacing w:val="5"/>
      <w:u w:val="single"/>
    </w:rPr>
  </w:style>
  <w:style w:type="character" w:styleId="BookTitle">
    <w:name w:val="Book Title"/>
    <w:uiPriority w:val="33"/>
    <w:qFormat/>
    <w:rsid w:val="00d22f6d"/>
    <w:rPr>
      <w:b/>
      <w:bCs/>
      <w:smallCaps/>
      <w:spacing w:val="5"/>
    </w:rPr>
  </w:style>
  <w:style w:type="character" w:styleId="Style4" w:customStyle="1">
    <w:name w:val="Электронная подпись Знак"/>
    <w:link w:val="E-mailSignature"/>
    <w:uiPriority w:val="99"/>
    <w:qFormat/>
    <w:rsid w:val="00d22f6d"/>
    <w:rPr>
      <w:rFonts w:eastAsia="Calibri"/>
      <w:sz w:val="24"/>
      <w:szCs w:val="24"/>
    </w:rPr>
  </w:style>
  <w:style w:type="character" w:styleId="11" w:customStyle="1">
    <w:name w:val="Подпункт Знак1"/>
    <w:link w:val="Style24"/>
    <w:qFormat/>
    <w:locked/>
    <w:rsid w:val="00d22f6d"/>
    <w:rPr>
      <w:sz w:val="28"/>
    </w:rPr>
  </w:style>
  <w:style w:type="character" w:styleId="Style5" w:customStyle="1">
    <w:name w:val="Текст сноски Знак"/>
    <w:qFormat/>
    <w:rsid w:val="00d22f6d"/>
    <w:rPr/>
  </w:style>
  <w:style w:type="character" w:styleId="Style6" w:customStyle="1">
    <w:name w:val="Основной текст Знак"/>
    <w:qFormat/>
    <w:rsid w:val="004459a5"/>
    <w:rPr>
      <w:sz w:val="28"/>
      <w:szCs w:val="28"/>
    </w:rPr>
  </w:style>
  <w:style w:type="character" w:styleId="Blk" w:customStyle="1">
    <w:name w:val="blk"/>
    <w:qFormat/>
    <w:rsid w:val="00431ace"/>
    <w:rPr/>
  </w:style>
  <w:style w:type="character" w:styleId="Style7" w:customStyle="1">
    <w:name w:val="Абзац списка Знак"/>
    <w:link w:val="ListParagraph"/>
    <w:uiPriority w:val="34"/>
    <w:qFormat/>
    <w:locked/>
    <w:rsid w:val="00310eb4"/>
    <w:rPr>
      <w:rFonts w:eastAsia="Calibri"/>
      <w:sz w:val="24"/>
      <w:szCs w:val="24"/>
    </w:rPr>
  </w:style>
  <w:style w:type="character" w:styleId="Style8" w:customStyle="1">
    <w:name w:val="комментарий"/>
    <w:qFormat/>
    <w:rsid w:val="0025139e"/>
    <w:rPr>
      <w:b/>
      <w:i/>
      <w:shd w:fill="FFFF99" w:val="clear"/>
    </w:rPr>
  </w:style>
  <w:style w:type="character" w:styleId="Style9" w:customStyle="1">
    <w:name w:val="Подподпункт Знак"/>
    <w:link w:val="Style32"/>
    <w:qFormat/>
    <w:locked/>
    <w:rsid w:val="0025139e"/>
    <w:rPr>
      <w:sz w:val="26"/>
      <w:szCs w:val="26"/>
    </w:rPr>
  </w:style>
  <w:style w:type="character" w:styleId="31" w:customStyle="1">
    <w:name w:val="УРОВЕНЬ_Абзац_тип3 Знак"/>
    <w:link w:val="35"/>
    <w:qFormat/>
    <w:rsid w:val="00b56f46"/>
    <w:rPr>
      <w:rFonts w:eastAsia="Calibri"/>
      <w:sz w:val="26"/>
      <w:szCs w:val="28"/>
      <w:lang w:eastAsia="en-US"/>
    </w:rPr>
  </w:style>
  <w:style w:type="character" w:styleId="Style10" w:customStyle="1">
    <w:name w:val="Верхний колонтитул Знак"/>
    <w:uiPriority w:val="99"/>
    <w:qFormat/>
    <w:rsid w:val="002f31af"/>
    <w:rPr>
      <w:sz w:val="24"/>
      <w:szCs w:val="24"/>
    </w:rPr>
  </w:style>
  <w:style w:type="character" w:styleId="Style11" w:customStyle="1">
    <w:name w:val="Текст примечания Знак"/>
    <w:link w:val="Annotationtext"/>
    <w:semiHidden/>
    <w:qFormat/>
    <w:rsid w:val="00dc0f7d"/>
    <w:rPr/>
  </w:style>
  <w:style w:type="character" w:styleId="Style12" w:customStyle="1">
    <w:name w:val="Текст концевой сноски Знак"/>
    <w:basedOn w:val="DefaultParagraphFont"/>
    <w:qFormat/>
    <w:rsid w:val="003879d4"/>
    <w:rPr/>
  </w:style>
  <w:style w:type="character" w:styleId="Style13" w:customStyle="1">
    <w:name w:val="Символ концевой сноски"/>
    <w:qFormat/>
    <w:rsid w:val="003879d4"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character" w:styleId="22" w:customStyle="1">
    <w:name w:val="Пункт2 Знак"/>
    <w:link w:val="24"/>
    <w:qFormat/>
    <w:rsid w:val="00de52bc"/>
    <w:rPr>
      <w:b/>
      <w:sz w:val="28"/>
    </w:rPr>
  </w:style>
  <w:style w:type="character" w:styleId="12" w:customStyle="1">
    <w:name w:val="УРОВЕНЬ_1. Знак"/>
    <w:link w:val="19"/>
    <w:qFormat/>
    <w:rsid w:val="004a17ae"/>
    <w:rPr>
      <w:rFonts w:eastAsia="Calibri"/>
      <w:caps/>
      <w:sz w:val="28"/>
      <w:szCs w:val="28"/>
      <w:lang w:eastAsia="en-US"/>
    </w:rPr>
  </w:style>
  <w:style w:type="character" w:styleId="Style14" w:customStyle="1">
    <w:name w:val="Основной текст_"/>
    <w:link w:val="110"/>
    <w:uiPriority w:val="99"/>
    <w:qFormat/>
    <w:locked/>
    <w:rsid w:val="003c12f6"/>
    <w:rPr>
      <w:sz w:val="28"/>
      <w:szCs w:val="28"/>
      <w:shd w:fill="FFFFFF" w:val="clear"/>
    </w:rPr>
  </w:style>
  <w:style w:type="character" w:styleId="Style15" w:customStyle="1">
    <w:name w:val="Нижний колонтитул Знак"/>
    <w:basedOn w:val="DefaultParagraphFont"/>
    <w:uiPriority w:val="99"/>
    <w:qFormat/>
    <w:rsid w:val="00fc560b"/>
    <w:rPr>
      <w:sz w:val="28"/>
      <w:szCs w:val="28"/>
    </w:rPr>
  </w:style>
  <w:style w:type="character" w:styleId="Style16" w:customStyle="1">
    <w:name w:val="Текст Знак"/>
    <w:basedOn w:val="DefaultParagraphFont"/>
    <w:link w:val="PlainText"/>
    <w:uiPriority w:val="99"/>
    <w:semiHidden/>
    <w:qFormat/>
    <w:rsid w:val="00fb2c23"/>
    <w:rPr>
      <w:rFonts w:ascii="Calibri" w:hAnsi="Calibri" w:eastAsia="Calibri" w:cs="" w:cstheme="minorBidi" w:eastAsiaTheme="minorHAnsi"/>
      <w:sz w:val="22"/>
      <w:szCs w:val="21"/>
      <w:lang w:eastAsia="en-US"/>
    </w:rPr>
  </w:style>
  <w:style w:type="character" w:styleId="Style17" w:customStyle="1">
    <w:name w:val="Ссылка указателя"/>
    <w:qFormat/>
    <w:rPr/>
  </w:style>
  <w:style w:type="paragraph" w:styleId="Style18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Noto Sans CJK SC" w:cs="Arial Unicode MS"/>
      <w:sz w:val="28"/>
      <w:szCs w:val="28"/>
    </w:rPr>
  </w:style>
  <w:style w:type="paragraph" w:styleId="BodyText">
    <w:name w:val="Body Text"/>
    <w:basedOn w:val="Normal"/>
    <w:link w:val="Style6"/>
    <w:rsid w:val="0076353a"/>
    <w:pPr>
      <w:spacing w:before="0" w:after="120"/>
    </w:pPr>
    <w:rPr/>
  </w:style>
  <w:style w:type="paragraph" w:styleId="List">
    <w:name w:val="List"/>
    <w:basedOn w:val="BodyText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Style19">
    <w:name w:val="Указатель"/>
    <w:basedOn w:val="Normal"/>
    <w:qFormat/>
    <w:pPr>
      <w:suppressLineNumbers/>
    </w:pPr>
    <w:rPr>
      <w:rFonts w:cs="Arial Unicode MS"/>
    </w:rPr>
  </w:style>
  <w:style w:type="paragraph" w:styleId="Title">
    <w:name w:val="Title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Arial Unicode MS" w:cs="Arial Unicode MS"/>
    </w:rPr>
  </w:style>
  <w:style w:type="paragraph" w:styleId="Caption1">
    <w:name w:val="caption1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heading1">
    <w:name w:val="index heading1"/>
    <w:basedOn w:val="Title"/>
    <w:qFormat/>
    <w:pPr/>
    <w:rPr/>
  </w:style>
  <w:style w:type="paragraph" w:styleId="Caption11" w:customStyle="1">
    <w:name w:val="caption11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heading11" w:customStyle="1">
    <w:name w:val="index heading11"/>
    <w:basedOn w:val="Title"/>
    <w:qFormat/>
    <w:pPr/>
    <w:rPr/>
  </w:style>
  <w:style w:type="paragraph" w:styleId="Caption111" w:customStyle="1">
    <w:name w:val="caption111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heading111" w:customStyle="1">
    <w:name w:val="index heading111"/>
    <w:basedOn w:val="Title"/>
    <w:qFormat/>
    <w:pPr/>
    <w:rPr/>
  </w:style>
  <w:style w:type="paragraph" w:styleId="Caption1111" w:customStyle="1">
    <w:name w:val="caption1111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heading1111" w:customStyle="1">
    <w:name w:val="index heading1111"/>
    <w:basedOn w:val="Title"/>
    <w:qFormat/>
    <w:pPr/>
    <w:rPr/>
  </w:style>
  <w:style w:type="paragraph" w:styleId="Caption11111" w:customStyle="1">
    <w:name w:val="caption11111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heading11111" w:customStyle="1">
    <w:name w:val="index heading11111"/>
    <w:basedOn w:val="Title"/>
    <w:qFormat/>
    <w:pPr/>
    <w:rPr/>
  </w:style>
  <w:style w:type="paragraph" w:styleId="Caption111111" w:customStyle="1">
    <w:name w:val="caption111111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heading111111" w:customStyle="1">
    <w:name w:val="index heading111111"/>
    <w:basedOn w:val="Title"/>
    <w:qFormat/>
    <w:pPr/>
    <w:rPr/>
  </w:style>
  <w:style w:type="paragraph" w:styleId="Caption1111111" w:customStyle="1">
    <w:name w:val="caption1111111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heading1111111" w:customStyle="1">
    <w:name w:val="index heading1111111"/>
    <w:basedOn w:val="Title"/>
    <w:qFormat/>
    <w:pPr/>
    <w:rPr/>
  </w:style>
  <w:style w:type="paragraph" w:styleId="13" w:customStyle="1">
    <w:name w:val="Заголовок1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Arial Unicode MS" w:cs="Arial Unicode MS"/>
    </w:rPr>
  </w:style>
  <w:style w:type="paragraph" w:styleId="Caption11111111" w:customStyle="1">
    <w:name w:val="caption11111111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heading11111111" w:customStyle="1">
    <w:name w:val="index heading11111111"/>
    <w:basedOn w:val="13"/>
    <w:qFormat/>
    <w:pPr/>
    <w:rPr/>
  </w:style>
  <w:style w:type="paragraph" w:styleId="Caption111111111" w:customStyle="1">
    <w:name w:val="caption111111111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heading111111111" w:customStyle="1">
    <w:name w:val="index heading111111111"/>
    <w:basedOn w:val="Title"/>
    <w:qFormat/>
    <w:pPr/>
    <w:rPr/>
  </w:style>
  <w:style w:type="paragraph" w:styleId="Style20" w:customStyle="1">
    <w:name w:val="Название раздела инструкции"/>
    <w:basedOn w:val="Normal"/>
    <w:autoRedefine/>
    <w:qFormat/>
    <w:rsid w:val="00275328"/>
    <w:pPr>
      <w:jc w:val="center"/>
    </w:pPr>
    <w:rPr>
      <w:b/>
    </w:rPr>
  </w:style>
  <w:style w:type="paragraph" w:styleId="Style21" w:customStyle="1">
    <w:name w:val="Раздел положения"/>
    <w:basedOn w:val="Normal"/>
    <w:autoRedefine/>
    <w:qFormat/>
    <w:rsid w:val="007475ee"/>
    <w:pPr>
      <w:numPr>
        <w:ilvl w:val="0"/>
        <w:numId w:val="1"/>
      </w:numPr>
      <w:spacing w:before="80" w:after="80"/>
      <w:jc w:val="center"/>
    </w:pPr>
    <w:rPr>
      <w:b/>
      <w:sz w:val="32"/>
      <w:szCs w:val="32"/>
    </w:rPr>
  </w:style>
  <w:style w:type="paragraph" w:styleId="Style22" w:customStyle="1">
    <w:name w:val="Подраздел раздела положения"/>
    <w:basedOn w:val="Normal"/>
    <w:autoRedefine/>
    <w:qFormat/>
    <w:rsid w:val="007475ee"/>
    <w:pPr>
      <w:numPr>
        <w:ilvl w:val="1"/>
        <w:numId w:val="1"/>
      </w:numPr>
      <w:spacing w:before="80" w:after="80"/>
      <w:jc w:val="both"/>
    </w:pPr>
    <w:rPr/>
  </w:style>
  <w:style w:type="paragraph" w:styleId="FootnoteText">
    <w:name w:val="Footnote Text"/>
    <w:basedOn w:val="Normal"/>
    <w:link w:val="Style5"/>
    <w:rsid w:val="00d561d9"/>
    <w:pPr/>
    <w:rPr>
      <w:sz w:val="20"/>
      <w:szCs w:val="20"/>
    </w:rPr>
  </w:style>
  <w:style w:type="paragraph" w:styleId="14" w:customStyle="1">
    <w:name w:val="Шапка 1"/>
    <w:basedOn w:val="Normal"/>
    <w:qFormat/>
    <w:rsid w:val="00d561d9"/>
    <w:pPr>
      <w:pBdr>
        <w:bottom w:val="thickThinSmallGap" w:sz="24" w:space="1" w:color="000000"/>
      </w:pBdr>
      <w:spacing w:before="0" w:after="240"/>
      <w:jc w:val="center"/>
    </w:pPr>
    <w:rPr>
      <w:sz w:val="22"/>
      <w:szCs w:val="22"/>
    </w:rPr>
  </w:style>
  <w:style w:type="paragraph" w:styleId="23" w:customStyle="1">
    <w:name w:val="Шапка 2"/>
    <w:basedOn w:val="Normal"/>
    <w:qFormat/>
    <w:rsid w:val="00d561d9"/>
    <w:pPr>
      <w:pBdr>
        <w:bottom w:val="thickThinSmallGap" w:sz="24" w:space="1" w:color="000000"/>
      </w:pBdr>
      <w:spacing w:before="0" w:after="120"/>
      <w:jc w:val="center"/>
    </w:pPr>
    <w:rPr>
      <w:b/>
      <w:sz w:val="22"/>
      <w:szCs w:val="22"/>
    </w:rPr>
  </w:style>
  <w:style w:type="paragraph" w:styleId="32" w:customStyle="1">
    <w:name w:val="Шапка 3"/>
    <w:basedOn w:val="Normal"/>
    <w:qFormat/>
    <w:rsid w:val="00d561d9"/>
    <w:pPr>
      <w:pBdr>
        <w:bottom w:val="thickThinSmallGap" w:sz="24" w:space="1" w:color="000000"/>
      </w:pBdr>
      <w:spacing w:before="240" w:after="360"/>
      <w:jc w:val="center"/>
    </w:pPr>
    <w:rPr>
      <w:b/>
      <w:sz w:val="24"/>
      <w:szCs w:val="24"/>
    </w:rPr>
  </w:style>
  <w:style w:type="paragraph" w:styleId="15" w:customStyle="1">
    <w:name w:val="Название1"/>
    <w:basedOn w:val="Normal"/>
    <w:link w:val="Style1"/>
    <w:uiPriority w:val="10"/>
    <w:qFormat/>
    <w:rsid w:val="00bd4014"/>
    <w:pPr>
      <w:jc w:val="center"/>
    </w:pPr>
    <w:rPr>
      <w:szCs w:val="20"/>
      <w:lang w:val="x-none" w:eastAsia="x-none"/>
    </w:rPr>
  </w:style>
  <w:style w:type="paragraph" w:styleId="Style23" w:customStyle="1">
    <w:name w:val="Колонтитул"/>
    <w:basedOn w:val="Normal"/>
    <w:qFormat/>
    <w:pPr/>
    <w:rPr/>
  </w:style>
  <w:style w:type="paragraph" w:styleId="Header">
    <w:name w:val="Header"/>
    <w:basedOn w:val="Normal"/>
    <w:link w:val="Style10"/>
    <w:uiPriority w:val="99"/>
    <w:rsid w:val="0076353a"/>
    <w:pPr>
      <w:tabs>
        <w:tab w:val="clear" w:pos="708"/>
        <w:tab w:val="center" w:pos="4677" w:leader="none"/>
        <w:tab w:val="right" w:pos="9355" w:leader="none"/>
      </w:tabs>
    </w:pPr>
    <w:rPr>
      <w:sz w:val="24"/>
      <w:szCs w:val="24"/>
    </w:rPr>
  </w:style>
  <w:style w:type="paragraph" w:styleId="BodyTextIndent">
    <w:name w:val="Body Text Indent"/>
    <w:basedOn w:val="Normal"/>
    <w:rsid w:val="0076353a"/>
    <w:pPr>
      <w:ind w:left="360" w:hanging="0"/>
    </w:pPr>
    <w:rPr>
      <w:sz w:val="24"/>
      <w:szCs w:val="24"/>
    </w:rPr>
  </w:style>
  <w:style w:type="paragraph" w:styleId="Footer">
    <w:name w:val="Footer"/>
    <w:basedOn w:val="Normal"/>
    <w:link w:val="Style15"/>
    <w:uiPriority w:val="99"/>
    <w:rsid w:val="0076353a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BodyTextIndent2">
    <w:name w:val="Body Text Indent 2"/>
    <w:basedOn w:val="Normal"/>
    <w:qFormat/>
    <w:rsid w:val="0076353a"/>
    <w:pPr>
      <w:spacing w:lineRule="auto" w:line="480" w:before="0" w:after="120"/>
      <w:ind w:left="283" w:hanging="0"/>
    </w:pPr>
    <w:rPr/>
  </w:style>
  <w:style w:type="paragraph" w:styleId="BodyText3">
    <w:name w:val="Body Text 3"/>
    <w:basedOn w:val="Normal"/>
    <w:qFormat/>
    <w:rsid w:val="0076353a"/>
    <w:pPr>
      <w:spacing w:before="0" w:after="120"/>
    </w:pPr>
    <w:rPr>
      <w:sz w:val="16"/>
      <w:szCs w:val="16"/>
    </w:rPr>
  </w:style>
  <w:style w:type="paragraph" w:styleId="BodyTextIndent3">
    <w:name w:val="Body Text Indent 3"/>
    <w:basedOn w:val="Normal"/>
    <w:qFormat/>
    <w:rsid w:val="0076353a"/>
    <w:pPr>
      <w:spacing w:before="0" w:after="120"/>
      <w:ind w:left="283" w:hanging="0"/>
    </w:pPr>
    <w:rPr>
      <w:sz w:val="16"/>
      <w:szCs w:val="16"/>
    </w:rPr>
  </w:style>
  <w:style w:type="paragraph" w:styleId="BodyText2">
    <w:name w:val="Body Text 2"/>
    <w:basedOn w:val="Normal"/>
    <w:qFormat/>
    <w:rsid w:val="0076353a"/>
    <w:pPr>
      <w:spacing w:lineRule="auto" w:line="480" w:before="0" w:after="120"/>
    </w:pPr>
    <w:rPr/>
  </w:style>
  <w:style w:type="paragraph" w:styleId="BlockText">
    <w:name w:val="Block Text"/>
    <w:basedOn w:val="Normal"/>
    <w:qFormat/>
    <w:rsid w:val="0076353a"/>
    <w:pPr>
      <w:ind w:left="-567" w:right="-766" w:hanging="0"/>
      <w:jc w:val="center"/>
    </w:pPr>
    <w:rPr>
      <w:b/>
      <w:bCs/>
      <w:sz w:val="24"/>
      <w:szCs w:val="20"/>
    </w:rPr>
  </w:style>
  <w:style w:type="paragraph" w:styleId="Style24" w:customStyle="1">
    <w:name w:val="Подпункт"/>
    <w:basedOn w:val="Normal"/>
    <w:link w:val="11"/>
    <w:qFormat/>
    <w:rsid w:val="0076353a"/>
    <w:pPr>
      <w:tabs>
        <w:tab w:val="clear" w:pos="708"/>
        <w:tab w:val="left" w:pos="1134" w:leader="none"/>
      </w:tabs>
      <w:snapToGrid w:val="false"/>
      <w:spacing w:lineRule="auto" w:line="360"/>
      <w:ind w:left="1134" w:hanging="1134"/>
      <w:jc w:val="both"/>
    </w:pPr>
    <w:rPr>
      <w:szCs w:val="20"/>
      <w:lang w:val="x-none" w:eastAsia="x-none"/>
    </w:rPr>
  </w:style>
  <w:style w:type="paragraph" w:styleId="24" w:customStyle="1">
    <w:name w:val="Пункт2"/>
    <w:basedOn w:val="Normal"/>
    <w:link w:val="22"/>
    <w:qFormat/>
    <w:rsid w:val="0076353a"/>
    <w:pPr>
      <w:keepNext w:val="true"/>
      <w:tabs>
        <w:tab w:val="clear" w:pos="708"/>
        <w:tab w:val="left" w:pos="1134" w:leader="none"/>
      </w:tabs>
      <w:snapToGrid w:val="false"/>
      <w:spacing w:before="240" w:after="120"/>
      <w:ind w:left="1134" w:hanging="1134"/>
      <w:outlineLvl w:val="2"/>
    </w:pPr>
    <w:rPr>
      <w:b/>
      <w:szCs w:val="20"/>
    </w:rPr>
  </w:style>
  <w:style w:type="paragraph" w:styleId="TOC1">
    <w:name w:val="TOC 1"/>
    <w:basedOn w:val="Normal"/>
    <w:next w:val="Normal"/>
    <w:autoRedefine/>
    <w:uiPriority w:val="39"/>
    <w:rsid w:val="00c517de"/>
    <w:pPr>
      <w:spacing w:before="120" w:after="0"/>
    </w:pPr>
    <w:rPr>
      <w:rFonts w:cs="Calibri Light (Заголовки)"/>
      <w:b/>
      <w:bCs/>
      <w:sz w:val="24"/>
      <w:szCs w:val="24"/>
    </w:rPr>
  </w:style>
  <w:style w:type="paragraph" w:styleId="TOC3">
    <w:name w:val="TOC 3"/>
    <w:basedOn w:val="Normal"/>
    <w:next w:val="Normal"/>
    <w:autoRedefine/>
    <w:uiPriority w:val="39"/>
    <w:rsid w:val="00d14d1b"/>
    <w:pPr>
      <w:tabs>
        <w:tab w:val="clear" w:pos="708"/>
        <w:tab w:val="left" w:pos="1120" w:leader="none"/>
        <w:tab w:val="right" w:pos="9911" w:leader="dot"/>
      </w:tabs>
      <w:ind w:left="142" w:hanging="0"/>
    </w:pPr>
    <w:rPr>
      <w:bCs/>
      <w:sz w:val="24"/>
      <w:szCs w:val="24"/>
    </w:rPr>
  </w:style>
  <w:style w:type="paragraph" w:styleId="Style25" w:customStyle="1">
    <w:name w:val="Раздел регламента"/>
    <w:basedOn w:val="Normal"/>
    <w:qFormat/>
    <w:rsid w:val="00e228fa"/>
    <w:pPr/>
    <w:rPr/>
  </w:style>
  <w:style w:type="paragraph" w:styleId="Style26" w:customStyle="1">
    <w:name w:val="Приложение к регламенту"/>
    <w:basedOn w:val="Normal"/>
    <w:qFormat/>
    <w:rsid w:val="00e228fa"/>
    <w:pPr>
      <w:jc w:val="right"/>
    </w:pPr>
    <w:rPr/>
  </w:style>
  <w:style w:type="paragraph" w:styleId="TOC2">
    <w:name w:val="TOC 2"/>
    <w:basedOn w:val="Normal"/>
    <w:next w:val="Normal"/>
    <w:autoRedefine/>
    <w:uiPriority w:val="39"/>
    <w:rsid w:val="00693883"/>
    <w:pPr>
      <w:spacing w:before="240" w:after="0"/>
    </w:pPr>
    <w:rPr>
      <w:rFonts w:cs="Calibri" w:cstheme="minorHAnsi"/>
      <w:bCs/>
      <w:sz w:val="20"/>
      <w:szCs w:val="20"/>
    </w:rPr>
  </w:style>
  <w:style w:type="paragraph" w:styleId="BalloonText">
    <w:name w:val="Balloon Text"/>
    <w:basedOn w:val="Normal"/>
    <w:semiHidden/>
    <w:qFormat/>
    <w:rsid w:val="00197c91"/>
    <w:pPr/>
    <w:rPr>
      <w:rFonts w:ascii="Tahoma" w:hAnsi="Tahoma" w:cs="Tahoma"/>
      <w:sz w:val="16"/>
      <w:szCs w:val="16"/>
    </w:rPr>
  </w:style>
  <w:style w:type="paragraph" w:styleId="Annotationtext">
    <w:name w:val="annotation text"/>
    <w:basedOn w:val="Normal"/>
    <w:link w:val="Style11"/>
    <w:semiHidden/>
    <w:qFormat/>
    <w:rsid w:val="00b714b0"/>
    <w:pPr/>
    <w:rPr>
      <w:sz w:val="20"/>
      <w:szCs w:val="20"/>
    </w:rPr>
  </w:style>
  <w:style w:type="paragraph" w:styleId="Annotationsubject">
    <w:name w:val="annotation subject"/>
    <w:basedOn w:val="Annotationtext"/>
    <w:next w:val="Annotationtext"/>
    <w:semiHidden/>
    <w:qFormat/>
    <w:rsid w:val="00b714b0"/>
    <w:pPr/>
    <w:rPr>
      <w:b/>
      <w:bCs/>
    </w:rPr>
  </w:style>
  <w:style w:type="paragraph" w:styleId="16" w:customStyle="1">
    <w:name w:val="Обычный (веб)1"/>
    <w:basedOn w:val="Normal"/>
    <w:uiPriority w:val="99"/>
    <w:qFormat/>
    <w:rsid w:val="002f559a"/>
    <w:pPr>
      <w:spacing w:beforeAutospacing="1" w:afterAutospacing="1"/>
    </w:pPr>
    <w:rPr>
      <w:rFonts w:ascii="Arial Unicode MS" w:hAnsi="Arial Unicode MS" w:eastAsia="Arial Unicode MS" w:cs="Arial Unicode MS"/>
      <w:sz w:val="24"/>
      <w:szCs w:val="24"/>
    </w:rPr>
  </w:style>
  <w:style w:type="paragraph" w:styleId="TOC9">
    <w:name w:val="TOC 9"/>
    <w:basedOn w:val="Normal"/>
    <w:next w:val="Normal"/>
    <w:autoRedefine/>
    <w:semiHidden/>
    <w:rsid w:val="00f57628"/>
    <w:pPr>
      <w:ind w:left="196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TOC5">
    <w:name w:val="TOC 5"/>
    <w:basedOn w:val="Normal"/>
    <w:next w:val="Normal"/>
    <w:autoRedefine/>
    <w:semiHidden/>
    <w:rsid w:val="00f57628"/>
    <w:pPr>
      <w:ind w:left="84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TOC4">
    <w:name w:val="TOC 4"/>
    <w:basedOn w:val="Normal"/>
    <w:next w:val="Normal"/>
    <w:autoRedefine/>
    <w:uiPriority w:val="39"/>
    <w:rsid w:val="006d4007"/>
    <w:pPr>
      <w:tabs>
        <w:tab w:val="clear" w:pos="708"/>
        <w:tab w:val="left" w:pos="1120" w:leader="none"/>
        <w:tab w:val="right" w:pos="9911" w:leader="none"/>
      </w:tabs>
      <w:ind w:left="560" w:hanging="0"/>
    </w:pPr>
    <w:rPr>
      <w:bCs/>
      <w:sz w:val="24"/>
      <w:szCs w:val="24"/>
    </w:rPr>
  </w:style>
  <w:style w:type="paragraph" w:styleId="25" w:customStyle="1">
    <w:name w:val="Раздел положения 2"/>
    <w:basedOn w:val="Normal"/>
    <w:qFormat/>
    <w:rsid w:val="002c1e0e"/>
    <w:pPr>
      <w:pageBreakBefore/>
      <w:jc w:val="both"/>
      <w:outlineLvl w:val="0"/>
    </w:pPr>
    <w:rPr>
      <w:b/>
    </w:rPr>
  </w:style>
  <w:style w:type="paragraph" w:styleId="Style27" w:customStyle="1">
    <w:name w:val="Знак Знак Знак Знак Знак Знак Знак Знак Знак"/>
    <w:basedOn w:val="Normal"/>
    <w:qFormat/>
    <w:rsid w:val="00d22f6d"/>
    <w:pPr>
      <w:spacing w:lineRule="exact" w:line="240" w:before="0" w:after="160"/>
      <w:jc w:val="both"/>
    </w:pPr>
    <w:rPr>
      <w:rFonts w:ascii="Verdana" w:hAnsi="Verdana" w:cs="Verdana"/>
      <w:sz w:val="22"/>
      <w:szCs w:val="22"/>
      <w:lang w:val="en-US" w:eastAsia="en-US"/>
    </w:rPr>
  </w:style>
  <w:style w:type="paragraph" w:styleId="NoSpacing">
    <w:name w:val="No Spacing"/>
    <w:basedOn w:val="Normal"/>
    <w:uiPriority w:val="1"/>
    <w:qFormat/>
    <w:rsid w:val="00d22f6d"/>
    <w:pPr>
      <w:spacing w:lineRule="auto" w:line="360"/>
    </w:pPr>
    <w:rPr>
      <w:rFonts w:eastAsia="Calibri"/>
      <w:sz w:val="24"/>
      <w:szCs w:val="24"/>
    </w:rPr>
  </w:style>
  <w:style w:type="paragraph" w:styleId="Caption1111111111" w:customStyle="1">
    <w:name w:val="caption1111111111"/>
    <w:basedOn w:val="Normal"/>
    <w:next w:val="Normal"/>
    <w:uiPriority w:val="35"/>
    <w:qFormat/>
    <w:rsid w:val="00d22f6d"/>
    <w:pPr/>
    <w:rPr>
      <w:rFonts w:eastAsia="Calibri"/>
      <w:b/>
      <w:bCs/>
      <w:color w:val="4F81BD"/>
      <w:sz w:val="18"/>
      <w:szCs w:val="18"/>
    </w:rPr>
  </w:style>
  <w:style w:type="paragraph" w:styleId="Subtitle">
    <w:name w:val="Subtitle"/>
    <w:basedOn w:val="Normal"/>
    <w:next w:val="Normal"/>
    <w:link w:val="Style2"/>
    <w:uiPriority w:val="11"/>
    <w:qFormat/>
    <w:rsid w:val="00d22f6d"/>
    <w:pPr>
      <w:ind w:left="1066" w:firstLine="709"/>
    </w:pPr>
    <w:rPr>
      <w:rFonts w:ascii="Cambria" w:hAnsi="Cambria"/>
      <w:i/>
      <w:iCs/>
      <w:color w:val="4F81BD"/>
      <w:spacing w:val="15"/>
      <w:sz w:val="24"/>
      <w:szCs w:val="24"/>
      <w:lang w:val="x-none" w:eastAsia="x-none"/>
    </w:rPr>
  </w:style>
  <w:style w:type="paragraph" w:styleId="ListParagraph">
    <w:name w:val="List Paragraph"/>
    <w:basedOn w:val="Normal"/>
    <w:link w:val="Style7"/>
    <w:uiPriority w:val="99"/>
    <w:qFormat/>
    <w:rsid w:val="00d22f6d"/>
    <w:pPr>
      <w:spacing w:before="0" w:after="0"/>
      <w:ind w:left="720" w:hanging="0"/>
      <w:contextualSpacing/>
    </w:pPr>
    <w:rPr>
      <w:rFonts w:eastAsia="Calibri"/>
      <w:sz w:val="24"/>
      <w:szCs w:val="24"/>
    </w:rPr>
  </w:style>
  <w:style w:type="paragraph" w:styleId="Quote">
    <w:name w:val="Quote"/>
    <w:basedOn w:val="Normal"/>
    <w:next w:val="Normal"/>
    <w:link w:val="21"/>
    <w:uiPriority w:val="29"/>
    <w:qFormat/>
    <w:rsid w:val="00d22f6d"/>
    <w:pPr/>
    <w:rPr>
      <w:rFonts w:ascii="Calibri" w:hAnsi="Calibri" w:eastAsia="Calibri"/>
      <w:i/>
      <w:iCs/>
      <w:color w:val="000000"/>
      <w:sz w:val="20"/>
      <w:szCs w:val="20"/>
      <w:lang w:val="x-none" w:eastAsia="x-none"/>
    </w:rPr>
  </w:style>
  <w:style w:type="paragraph" w:styleId="IntenseQuote">
    <w:name w:val="Intense Quote"/>
    <w:basedOn w:val="Normal"/>
    <w:next w:val="Normal"/>
    <w:link w:val="Style3"/>
    <w:uiPriority w:val="30"/>
    <w:qFormat/>
    <w:rsid w:val="00d22f6d"/>
    <w:pPr>
      <w:pBdr>
        <w:bottom w:val="single" w:sz="4" w:space="4" w:color="4F81BD"/>
      </w:pBdr>
      <w:spacing w:before="200" w:after="280"/>
      <w:ind w:left="936" w:right="936" w:hanging="0"/>
    </w:pPr>
    <w:rPr>
      <w:rFonts w:ascii="Calibri" w:hAnsi="Calibri" w:eastAsia="Calibri"/>
      <w:b/>
      <w:bCs/>
      <w:i/>
      <w:iCs/>
      <w:color w:val="4F81BD"/>
      <w:sz w:val="20"/>
      <w:szCs w:val="20"/>
      <w:lang w:val="x-none" w:eastAsia="x-none"/>
    </w:rPr>
  </w:style>
  <w:style w:type="paragraph" w:styleId="IndexHeading">
    <w:name w:val="Index Heading"/>
    <w:basedOn w:val="Style18"/>
    <w:pPr/>
    <w:rPr/>
  </w:style>
  <w:style w:type="paragraph" w:styleId="TOCHeading">
    <w:name w:val="TOC Heading"/>
    <w:basedOn w:val="Heading1"/>
    <w:next w:val="Normal"/>
    <w:uiPriority w:val="39"/>
    <w:qFormat/>
    <w:rsid w:val="00d22f6d"/>
    <w:pPr>
      <w:keepLines/>
      <w:spacing w:before="480" w:after="60"/>
      <w:outlineLvl w:val="9"/>
    </w:pPr>
    <w:rPr>
      <w:rFonts w:ascii="Cambria" w:hAnsi="Cambria"/>
      <w:color w:val="365F91"/>
    </w:rPr>
  </w:style>
  <w:style w:type="paragraph" w:styleId="E-mailSignature">
    <w:name w:val="E-mail Signature"/>
    <w:basedOn w:val="Normal"/>
    <w:link w:val="Style4"/>
    <w:uiPriority w:val="99"/>
    <w:unhideWhenUsed/>
    <w:qFormat/>
    <w:rsid w:val="00d22f6d"/>
    <w:pPr/>
    <w:rPr>
      <w:rFonts w:eastAsia="Calibri"/>
      <w:sz w:val="24"/>
      <w:szCs w:val="24"/>
      <w:lang w:val="x-none" w:eastAsia="x-none"/>
    </w:rPr>
  </w:style>
  <w:style w:type="paragraph" w:styleId="Style28" w:customStyle="1">
    <w:name w:val="Знак"/>
    <w:basedOn w:val="Normal"/>
    <w:qFormat/>
    <w:rsid w:val="00d22f6d"/>
    <w:pPr>
      <w:spacing w:lineRule="exact" w:line="240" w:before="0" w:after="160"/>
    </w:pPr>
    <w:rPr>
      <w:rFonts w:ascii="Verdana" w:hAnsi="Verdana" w:cs="Verdana"/>
      <w:sz w:val="20"/>
      <w:szCs w:val="20"/>
      <w:lang w:val="en-US" w:eastAsia="en-US"/>
    </w:rPr>
  </w:style>
  <w:style w:type="paragraph" w:styleId="33" w:customStyle="1">
    <w:name w:val="Нумерованный список ур3"/>
    <w:basedOn w:val="Normal"/>
    <w:qFormat/>
    <w:rsid w:val="00d22f6d"/>
    <w:pPr>
      <w:numPr>
        <w:ilvl w:val="2"/>
        <w:numId w:val="2"/>
      </w:numPr>
      <w:jc w:val="both"/>
    </w:pPr>
    <w:rPr>
      <w:rFonts w:ascii="Garamond" w:hAnsi="Garamond"/>
      <w:sz w:val="24"/>
      <w:szCs w:val="20"/>
    </w:rPr>
  </w:style>
  <w:style w:type="paragraph" w:styleId="41" w:customStyle="1">
    <w:name w:val="Маркированный список 41"/>
    <w:basedOn w:val="Normal"/>
    <w:qFormat/>
    <w:rsid w:val="00d22f6d"/>
    <w:pPr>
      <w:numPr>
        <w:ilvl w:val="0"/>
        <w:numId w:val="2"/>
      </w:numPr>
      <w:spacing w:before="120" w:after="0"/>
      <w:jc w:val="both"/>
    </w:pPr>
    <w:rPr>
      <w:rFonts w:ascii="Garamond" w:hAnsi="Garamond"/>
      <w:sz w:val="24"/>
      <w:szCs w:val="20"/>
    </w:rPr>
  </w:style>
  <w:style w:type="paragraph" w:styleId="26" w:customStyle="1">
    <w:name w:val="Нумерованный список ур2"/>
    <w:basedOn w:val="Normal"/>
    <w:qFormat/>
    <w:rsid w:val="00d22f6d"/>
    <w:pPr>
      <w:numPr>
        <w:ilvl w:val="1"/>
        <w:numId w:val="2"/>
      </w:numPr>
      <w:spacing w:before="120" w:after="0"/>
      <w:jc w:val="both"/>
    </w:pPr>
    <w:rPr>
      <w:rFonts w:ascii="Garamond" w:hAnsi="Garamond"/>
      <w:sz w:val="24"/>
      <w:szCs w:val="20"/>
    </w:rPr>
  </w:style>
  <w:style w:type="paragraph" w:styleId="Revision">
    <w:name w:val="Revision"/>
    <w:uiPriority w:val="99"/>
    <w:semiHidden/>
    <w:qFormat/>
    <w:rsid w:val="00d22f6d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Calibri" w:cs="Times New Roman"/>
      <w:color w:val="auto"/>
      <w:kern w:val="0"/>
      <w:sz w:val="24"/>
      <w:szCs w:val="24"/>
      <w:lang w:val="ru-RU" w:eastAsia="ru-RU" w:bidi="ar-SA"/>
    </w:rPr>
  </w:style>
  <w:style w:type="paragraph" w:styleId="ConsPlusNormal" w:customStyle="1">
    <w:name w:val="ConsPlusNormal"/>
    <w:qFormat/>
    <w:rsid w:val="00d22f6d"/>
    <w:pPr>
      <w:widowControl w:val="false"/>
      <w:suppressAutoHyphens w:val="true"/>
      <w:bidi w:val="0"/>
      <w:spacing w:before="0" w:after="0"/>
      <w:ind w:firstLine="720"/>
      <w:jc w:val="left"/>
    </w:pPr>
    <w:rPr>
      <w:rFonts w:ascii="Arial" w:hAnsi="Arial" w:eastAsia="Times New Roman" w:cs="Arial"/>
      <w:color w:val="auto"/>
      <w:kern w:val="0"/>
      <w:sz w:val="20"/>
      <w:szCs w:val="20"/>
      <w:lang w:val="ru-RU" w:eastAsia="ru-RU" w:bidi="ar-SA"/>
    </w:rPr>
  </w:style>
  <w:style w:type="paragraph" w:styleId="34" w:customStyle="1">
    <w:name w:val="Знак Знак3 Знак Знак"/>
    <w:basedOn w:val="Normal"/>
    <w:qFormat/>
    <w:rsid w:val="00d22f6d"/>
    <w:pPr>
      <w:spacing w:lineRule="exact" w:line="240" w:before="0" w:after="160"/>
      <w:jc w:val="both"/>
    </w:pPr>
    <w:rPr>
      <w:rFonts w:ascii="Verdana" w:hAnsi="Verdana" w:cs="Verdana"/>
      <w:sz w:val="22"/>
      <w:szCs w:val="22"/>
      <w:lang w:val="en-US" w:eastAsia="en-US"/>
    </w:rPr>
  </w:style>
  <w:style w:type="paragraph" w:styleId="Style29" w:customStyle="1">
    <w:name w:val="Пункт"/>
    <w:basedOn w:val="Normal"/>
    <w:qFormat/>
    <w:rsid w:val="00d22f6d"/>
    <w:pPr>
      <w:widowControl w:val="false"/>
      <w:tabs>
        <w:tab w:val="clear" w:pos="708"/>
        <w:tab w:val="left" w:pos="1134" w:leader="none"/>
      </w:tabs>
      <w:spacing w:lineRule="auto" w:line="360" w:before="120" w:after="0"/>
      <w:ind w:left="1134" w:right="800" w:hanging="1134"/>
      <w:jc w:val="both"/>
    </w:pPr>
    <w:rPr>
      <w:rFonts w:ascii="Arial" w:hAnsi="Arial"/>
      <w:b/>
      <w:i/>
      <w:szCs w:val="20"/>
    </w:rPr>
  </w:style>
  <w:style w:type="paragraph" w:styleId="17" w:customStyle="1">
    <w:name w:val="Абзац списка1"/>
    <w:basedOn w:val="Normal"/>
    <w:qFormat/>
    <w:rsid w:val="00d22f6d"/>
    <w:pPr>
      <w:spacing w:lineRule="auto" w:line="276" w:before="0" w:after="200"/>
      <w:ind w:left="720" w:hanging="0"/>
      <w:contextualSpacing/>
    </w:pPr>
    <w:rPr>
      <w:rFonts w:ascii="Calibri" w:hAnsi="Calibri"/>
      <w:sz w:val="22"/>
      <w:szCs w:val="22"/>
      <w:lang w:eastAsia="en-US"/>
    </w:rPr>
  </w:style>
  <w:style w:type="paragraph" w:styleId="Style30" w:customStyle="1">
    <w:name w:val="Таблица"/>
    <w:basedOn w:val="Normal"/>
    <w:qFormat/>
    <w:rsid w:val="0041356c"/>
    <w:pPr>
      <w:keepNext w:val="true"/>
      <w:spacing w:before="60" w:after="60"/>
      <w:jc w:val="center"/>
    </w:pPr>
    <w:rPr>
      <w:rFonts w:eastAsia="Calibri"/>
      <w:b/>
      <w:sz w:val="24"/>
      <w:szCs w:val="24"/>
      <w:lang w:val="x-none" w:eastAsia="x-none"/>
    </w:rPr>
  </w:style>
  <w:style w:type="paragraph" w:styleId="Style31" w:customStyle="1">
    <w:name w:val="Таблица шапка"/>
    <w:basedOn w:val="Normal"/>
    <w:qFormat/>
    <w:rsid w:val="00f64089"/>
    <w:pPr>
      <w:keepNext w:val="true"/>
      <w:spacing w:before="40" w:after="40"/>
      <w:ind w:left="57" w:right="57" w:hanging="0"/>
    </w:pPr>
    <w:rPr>
      <w:sz w:val="22"/>
      <w:szCs w:val="26"/>
    </w:rPr>
  </w:style>
  <w:style w:type="paragraph" w:styleId="Style32" w:customStyle="1">
    <w:name w:val="Подподпункт"/>
    <w:basedOn w:val="Style24"/>
    <w:link w:val="Style9"/>
    <w:qFormat/>
    <w:rsid w:val="0025139e"/>
    <w:pPr>
      <w:tabs>
        <w:tab w:val="clear" w:pos="1134"/>
        <w:tab w:val="left" w:pos="5104" w:leader="none"/>
      </w:tabs>
      <w:snapToGrid w:val="true"/>
      <w:spacing w:lineRule="auto" w:line="240" w:before="120" w:after="0"/>
      <w:ind w:left="5104" w:hanging="567"/>
    </w:pPr>
    <w:rPr>
      <w:sz w:val="26"/>
      <w:szCs w:val="26"/>
      <w:lang w:val="ru-RU" w:eastAsia="ru-RU"/>
    </w:rPr>
  </w:style>
  <w:style w:type="paragraph" w:styleId="Style33" w:customStyle="1">
    <w:name w:val="УРОВЕНЬ_(а)"/>
    <w:basedOn w:val="ListParagraph"/>
    <w:qFormat/>
    <w:rsid w:val="00b56f46"/>
    <w:pPr>
      <w:numPr>
        <w:ilvl w:val="3"/>
        <w:numId w:val="4"/>
      </w:numPr>
      <w:spacing w:lineRule="exact" w:line="360" w:before="120" w:after="0"/>
      <w:contextualSpacing w:val="false"/>
      <w:jc w:val="both"/>
      <w:outlineLvl w:val="3"/>
    </w:pPr>
    <w:rPr>
      <w:sz w:val="26"/>
      <w:szCs w:val="28"/>
      <w:lang w:eastAsia="en-US"/>
    </w:rPr>
  </w:style>
  <w:style w:type="paragraph" w:styleId="-" w:customStyle="1">
    <w:name w:val="УРОВЕНЬ_-"/>
    <w:basedOn w:val="ListParagraph"/>
    <w:qFormat/>
    <w:rsid w:val="00b56f46"/>
    <w:pPr>
      <w:numPr>
        <w:ilvl w:val="4"/>
        <w:numId w:val="4"/>
      </w:numPr>
      <w:spacing w:lineRule="exact" w:line="360" w:before="120" w:after="0"/>
      <w:contextualSpacing w:val="false"/>
      <w:jc w:val="both"/>
      <w:outlineLvl w:val="4"/>
    </w:pPr>
    <w:rPr>
      <w:sz w:val="26"/>
      <w:szCs w:val="28"/>
      <w:lang w:eastAsia="en-US"/>
    </w:rPr>
  </w:style>
  <w:style w:type="paragraph" w:styleId="27" w:customStyle="1">
    <w:name w:val="УРОВЕНЬ_Абзац_тип2"/>
    <w:basedOn w:val="ListParagraph"/>
    <w:qFormat/>
    <w:rsid w:val="00b56f46"/>
    <w:pPr>
      <w:numPr>
        <w:ilvl w:val="6"/>
        <w:numId w:val="4"/>
      </w:numPr>
      <w:spacing w:lineRule="exact" w:line="360" w:before="120" w:after="0"/>
      <w:contextualSpacing w:val="false"/>
      <w:jc w:val="both"/>
    </w:pPr>
    <w:rPr>
      <w:sz w:val="26"/>
      <w:szCs w:val="28"/>
      <w:lang w:eastAsia="en-US"/>
    </w:rPr>
  </w:style>
  <w:style w:type="paragraph" w:styleId="35" w:customStyle="1">
    <w:name w:val="УРОВЕНЬ_Абзац_тип3"/>
    <w:basedOn w:val="ListParagraph"/>
    <w:link w:val="31"/>
    <w:qFormat/>
    <w:rsid w:val="00b56f46"/>
    <w:pPr>
      <w:numPr>
        <w:ilvl w:val="7"/>
        <w:numId w:val="4"/>
      </w:numPr>
      <w:spacing w:lineRule="exact" w:line="360" w:before="120" w:after="0"/>
      <w:contextualSpacing w:val="false"/>
      <w:jc w:val="both"/>
    </w:pPr>
    <w:rPr>
      <w:sz w:val="26"/>
      <w:szCs w:val="28"/>
      <w:lang w:eastAsia="en-US"/>
    </w:rPr>
  </w:style>
  <w:style w:type="paragraph" w:styleId="Style34" w:customStyle="1">
    <w:name w:val="УРОВЕНЬ_Подпись"/>
    <w:basedOn w:val="ListParagraph"/>
    <w:qFormat/>
    <w:rsid w:val="00b56f46"/>
    <w:pPr>
      <w:keepNext w:val="true"/>
      <w:numPr>
        <w:ilvl w:val="5"/>
        <w:numId w:val="4"/>
      </w:numPr>
      <w:spacing w:lineRule="exact" w:line="360" w:before="120" w:after="120"/>
      <w:contextualSpacing w:val="false"/>
      <w:jc w:val="right"/>
      <w:outlineLvl w:val="3"/>
    </w:pPr>
    <w:rPr>
      <w:sz w:val="26"/>
      <w:szCs w:val="28"/>
      <w:lang w:eastAsia="en-US"/>
    </w:rPr>
  </w:style>
  <w:style w:type="paragraph" w:styleId="18" w:customStyle="1">
    <w:name w:val="Стиль Заголовок 1 + по ширине"/>
    <w:basedOn w:val="Heading1"/>
    <w:qFormat/>
    <w:rsid w:val="005773b2"/>
    <w:pPr>
      <w:keepLines/>
      <w:tabs>
        <w:tab w:val="clear" w:pos="0"/>
        <w:tab w:val="left" w:pos="567" w:leader="none"/>
        <w:tab w:val="left" w:pos="851" w:leader="none"/>
        <w:tab w:val="left" w:pos="993" w:leader="none"/>
        <w:tab w:val="left" w:pos="1701" w:leader="none"/>
      </w:tabs>
      <w:spacing w:before="480" w:after="240"/>
      <w:ind w:left="567" w:hanging="567"/>
    </w:pPr>
    <w:rPr>
      <w:rFonts w:ascii="Arial" w:hAnsi="Arial" w:eastAsia="Times New Roman"/>
      <w:kern w:val="2"/>
      <w:sz w:val="40"/>
      <w:szCs w:val="20"/>
      <w:lang w:val="ru-RU" w:eastAsia="ru-RU"/>
    </w:rPr>
  </w:style>
  <w:style w:type="paragraph" w:styleId="EndnoteText">
    <w:name w:val="Endnote Text"/>
    <w:basedOn w:val="Normal"/>
    <w:link w:val="Style12"/>
    <w:rsid w:val="003879d4"/>
    <w:pPr/>
    <w:rPr>
      <w:sz w:val="20"/>
      <w:szCs w:val="20"/>
    </w:rPr>
  </w:style>
  <w:style w:type="paragraph" w:styleId="28" w:customStyle="1">
    <w:name w:val="Заголовок 2 КВВ"/>
    <w:basedOn w:val="Normal"/>
    <w:qFormat/>
    <w:rsid w:val="00cb35e8"/>
    <w:pPr>
      <w:keepNext w:val="true"/>
      <w:numPr>
        <w:ilvl w:val="0"/>
        <w:numId w:val="5"/>
      </w:numPr>
      <w:spacing w:before="120" w:after="120"/>
      <w:jc w:val="both"/>
      <w:outlineLvl w:val="0"/>
    </w:pPr>
    <w:rPr>
      <w:b/>
      <w:kern w:val="2"/>
      <w:sz w:val="24"/>
      <w:szCs w:val="20"/>
      <w:lang w:eastAsia="x-none"/>
    </w:rPr>
  </w:style>
  <w:style w:type="paragraph" w:styleId="Style35" w:customStyle="1">
    <w:name w:val="Таблица текст"/>
    <w:basedOn w:val="Normal"/>
    <w:qFormat/>
    <w:rsid w:val="00343e95"/>
    <w:pPr>
      <w:spacing w:before="40" w:after="40"/>
      <w:ind w:left="57" w:right="57" w:hanging="0"/>
    </w:pPr>
    <w:rPr>
      <w:sz w:val="24"/>
      <w:szCs w:val="26"/>
    </w:rPr>
  </w:style>
  <w:style w:type="paragraph" w:styleId="NormalWeb">
    <w:name w:val="Normal (Web)"/>
    <w:basedOn w:val="Normal"/>
    <w:uiPriority w:val="99"/>
    <w:unhideWhenUsed/>
    <w:qFormat/>
    <w:rsid w:val="00265d9f"/>
    <w:pPr>
      <w:spacing w:beforeAutospacing="1" w:afterAutospacing="1"/>
    </w:pPr>
    <w:rPr>
      <w:sz w:val="24"/>
      <w:szCs w:val="24"/>
    </w:rPr>
  </w:style>
  <w:style w:type="paragraph" w:styleId="19" w:customStyle="1">
    <w:name w:val="УРОВЕНЬ_1."/>
    <w:basedOn w:val="ListParagraph"/>
    <w:link w:val="12"/>
    <w:qFormat/>
    <w:rsid w:val="004a17ae"/>
    <w:pPr>
      <w:keepNext w:val="true"/>
      <w:keepLines/>
      <w:spacing w:lineRule="auto" w:line="276" w:before="240" w:after="120"/>
      <w:ind w:left="0" w:hanging="0"/>
      <w:contextualSpacing w:val="false"/>
      <w:jc w:val="both"/>
      <w:outlineLvl w:val="0"/>
    </w:pPr>
    <w:rPr>
      <w:caps/>
      <w:sz w:val="28"/>
      <w:szCs w:val="28"/>
      <w:lang w:eastAsia="en-US"/>
    </w:rPr>
  </w:style>
  <w:style w:type="paragraph" w:styleId="TOC6">
    <w:name w:val="TOC 6"/>
    <w:basedOn w:val="Normal"/>
    <w:next w:val="Normal"/>
    <w:autoRedefine/>
    <w:unhideWhenUsed/>
    <w:rsid w:val="00d849aa"/>
    <w:pPr>
      <w:ind w:left="112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TOC7">
    <w:name w:val="TOC 7"/>
    <w:basedOn w:val="Normal"/>
    <w:next w:val="Normal"/>
    <w:autoRedefine/>
    <w:unhideWhenUsed/>
    <w:rsid w:val="00d849aa"/>
    <w:pPr>
      <w:ind w:left="140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TOC8">
    <w:name w:val="TOC 8"/>
    <w:basedOn w:val="Normal"/>
    <w:next w:val="Normal"/>
    <w:autoRedefine/>
    <w:unhideWhenUsed/>
    <w:rsid w:val="00d849aa"/>
    <w:pPr>
      <w:ind w:left="168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110" w:customStyle="1">
    <w:name w:val="Основной текст1"/>
    <w:basedOn w:val="Normal"/>
    <w:link w:val="Style14"/>
    <w:uiPriority w:val="99"/>
    <w:qFormat/>
    <w:rsid w:val="003c12f6"/>
    <w:pPr>
      <w:widowControl w:val="false"/>
      <w:shd w:val="clear" w:color="auto" w:fill="FFFFFF"/>
      <w:spacing w:lineRule="exact" w:line="302"/>
    </w:pPr>
    <w:rPr/>
  </w:style>
  <w:style w:type="paragraph" w:styleId="Default" w:customStyle="1">
    <w:name w:val="Default"/>
    <w:qFormat/>
    <w:rsid w:val="002d5c4a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Calibri" w:cs="Times New Roman"/>
      <w:color w:val="000000"/>
      <w:kern w:val="0"/>
      <w:sz w:val="24"/>
      <w:szCs w:val="24"/>
      <w:lang w:val="ru-RU" w:eastAsia="ru-RU" w:bidi="ar-SA"/>
    </w:rPr>
  </w:style>
  <w:style w:type="paragraph" w:styleId="PlainText">
    <w:name w:val="Plain Text"/>
    <w:basedOn w:val="Normal"/>
    <w:link w:val="Style16"/>
    <w:uiPriority w:val="99"/>
    <w:semiHidden/>
    <w:unhideWhenUsed/>
    <w:qFormat/>
    <w:rsid w:val="00fb2c23"/>
    <w:pPr/>
    <w:rPr>
      <w:rFonts w:ascii="Calibri" w:hAnsi="Calibri" w:eastAsia="Calibri" w:cs="" w:cstheme="minorBidi" w:eastAsiaTheme="minorHAnsi"/>
      <w:sz w:val="22"/>
      <w:szCs w:val="21"/>
      <w:lang w:eastAsia="en-US"/>
    </w:rPr>
  </w:style>
  <w:style w:type="paragraph" w:styleId="Style36" w:customStyle="1">
    <w:name w:val="Содержимое врезки"/>
    <w:basedOn w:val="Normal"/>
    <w:qFormat/>
    <w:pPr/>
    <w:rPr/>
  </w:style>
  <w:style w:type="paragraph" w:styleId="Style37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paragraph" w:styleId="Style38" w:customStyle="1">
    <w:name w:val="Содержимое таблицы"/>
    <w:basedOn w:val="Normal"/>
    <w:qFormat/>
    <w:pPr>
      <w:widowControl w:val="false"/>
      <w:suppressLineNumbers/>
    </w:pPr>
    <w:rPr/>
  </w:style>
  <w:style w:type="paragraph" w:styleId="Style39" w:customStyle="1">
    <w:name w:val="Заголовок таблицы"/>
    <w:basedOn w:val="Style38"/>
    <w:qFormat/>
    <w:pPr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numbering" w:styleId="111" w:customStyle="1">
    <w:name w:val="Стиль1"/>
    <w:uiPriority w:val="99"/>
    <w:qFormat/>
    <w:rsid w:val="00f001e4"/>
  </w:style>
  <w:style w:type="numbering" w:styleId="29" w:customStyle="1">
    <w:name w:val="Стиль2"/>
    <w:uiPriority w:val="99"/>
    <w:qFormat/>
    <w:rsid w:val="006629c9"/>
  </w:style>
  <w:style w:type="table" w:default="1" w:styleId="a5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ffffc">
    <w:name w:val="Table Grid"/>
    <w:basedOn w:val="a5"/>
    <w:uiPriority w:val="39"/>
    <w:rsid w:val="0076353a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d">
    <w:name w:val="Сетка таблицы1"/>
    <w:basedOn w:val="a5"/>
    <w:uiPriority w:val="39"/>
    <w:rsid w:val="00214b9f"/>
    <w:rPr>
      <w:rFonts w:asciiTheme="minorHAnsi" w:hAnsiTheme="minorHAnsi" w:eastAsiaTheme="minorHAnsi" w:cstheme="minorBidi"/>
      <w:lang w:eastAsia="en-US"/>
      <w:sz w:val="24"/>
      <w:szCs w:val="24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footer" Target="footer1.xml"/><Relationship Id="rId5" Type="http://schemas.openxmlformats.org/officeDocument/2006/relationships/numbering" Target="numbering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<Relationship Id="rId9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BB6C89-99D5-4C40-A654-70AB18B865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4103</TotalTime>
  <Application>AlterOffice/3.4.0.9$Linux_X86_64 LibreOffice_project/b8daf9e823b1a5463a2f48435ddc2e8696e7d4fc</Application>
  <AppVersion>15.0000</AppVersion>
  <Pages>10</Pages>
  <Words>1478</Words>
  <Characters>10241</Characters>
  <CharactersWithSpaces>11610</CharactersWithSpaces>
  <Paragraphs>190</Paragraphs>
  <Company>Microsoft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2023-06-22T06:14:00Z</dcterms:created>
  <dc:creator>Быстров Олег Геннадьевич</dc:creator>
  <dc:description/>
  <dc:language>ru-RU</dc:language>
  <cp:lastModifiedBy/>
  <dcterms:modified xsi:type="dcterms:W3CDTF">2026-06-27T16:14:13Z</dcterms:modified>
  <cp:revision>171</cp:revision>
  <dc:subject/>
  <dc:title>Российское открытое акционерное общество энергетики и электрификации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